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75E2" w:rsidRPr="006E7044" w:rsidRDefault="002075E2" w:rsidP="008D7A42">
      <w:pPr>
        <w:spacing w:before="100" w:beforeAutospacing="1" w:after="100" w:afterAutospacing="1"/>
        <w:ind w:left="1416" w:hanging="1416"/>
        <w:jc w:val="center"/>
        <w:rPr>
          <w:rFonts w:ascii="Arial" w:eastAsia="Arial Unicode MS" w:hAnsi="Arial" w:cs="Arial"/>
          <w:b/>
          <w:sz w:val="28"/>
          <w:szCs w:val="24"/>
        </w:rPr>
      </w:pPr>
      <w:r w:rsidRPr="006E7044">
        <w:rPr>
          <w:rFonts w:ascii="Arial" w:eastAsia="Arial Unicode MS" w:hAnsi="Arial" w:cs="Arial"/>
          <w:b/>
          <w:noProof/>
          <w:sz w:val="28"/>
          <w:szCs w:val="24"/>
          <w:lang w:eastAsia="es-MX"/>
        </w:rPr>
        <w:drawing>
          <wp:anchor distT="0" distB="0" distL="114300" distR="114300" simplePos="0" relativeHeight="251663360" behindDoc="0" locked="0" layoutInCell="1" allowOverlap="1" wp14:anchorId="1A6B36FD" wp14:editId="1E2944AE">
            <wp:simplePos x="0" y="0"/>
            <wp:positionH relativeFrom="column">
              <wp:posOffset>4815840</wp:posOffset>
            </wp:positionH>
            <wp:positionV relativeFrom="paragraph">
              <wp:posOffset>-151765</wp:posOffset>
            </wp:positionV>
            <wp:extent cx="780415" cy="914400"/>
            <wp:effectExtent l="0" t="0" r="635" b="0"/>
            <wp:wrapNone/>
            <wp:docPr id="10" name="Imagen 10" descr="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ER"/>
                    <pic:cNvPicPr>
                      <a:picLocks noChangeAspect="1" noChangeArrowheads="1"/>
                    </pic:cNvPicPr>
                  </pic:nvPicPr>
                  <pic:blipFill>
                    <a:blip r:embed="rId9" cstate="print">
                      <a:lum contrast="12000"/>
                      <a:extLst>
                        <a:ext uri="{28A0092B-C50C-407E-A947-70E740481C1C}">
                          <a14:useLocalDpi xmlns:a14="http://schemas.microsoft.com/office/drawing/2010/main" val="0"/>
                        </a:ext>
                      </a:extLst>
                    </a:blip>
                    <a:srcRect/>
                    <a:stretch>
                      <a:fillRect/>
                    </a:stretch>
                  </pic:blipFill>
                  <pic:spPr bwMode="auto">
                    <a:xfrm>
                      <a:off x="0" y="0"/>
                      <a:ext cx="780415" cy="914400"/>
                    </a:xfrm>
                    <a:prstGeom prst="rect">
                      <a:avLst/>
                    </a:prstGeom>
                    <a:noFill/>
                  </pic:spPr>
                </pic:pic>
              </a:graphicData>
            </a:graphic>
            <wp14:sizeRelH relativeFrom="page">
              <wp14:pctWidth>0</wp14:pctWidth>
            </wp14:sizeRelH>
            <wp14:sizeRelV relativeFrom="page">
              <wp14:pctHeight>0</wp14:pctHeight>
            </wp14:sizeRelV>
          </wp:anchor>
        </w:drawing>
      </w:r>
      <w:r w:rsidRPr="006E7044">
        <w:rPr>
          <w:rFonts w:ascii="Arial" w:eastAsia="Arial Unicode MS" w:hAnsi="Arial" w:cs="Arial"/>
          <w:b/>
          <w:noProof/>
          <w:sz w:val="28"/>
          <w:szCs w:val="24"/>
          <w:lang w:eastAsia="es-MX"/>
        </w:rPr>
        <w:drawing>
          <wp:anchor distT="0" distB="0" distL="114300" distR="114300" simplePos="0" relativeHeight="251664384" behindDoc="0" locked="0" layoutInCell="1" allowOverlap="1" wp14:anchorId="1D048F0D" wp14:editId="52F095AD">
            <wp:simplePos x="0" y="0"/>
            <wp:positionH relativeFrom="column">
              <wp:posOffset>-323215</wp:posOffset>
            </wp:positionH>
            <wp:positionV relativeFrom="paragraph">
              <wp:posOffset>-151765</wp:posOffset>
            </wp:positionV>
            <wp:extent cx="1004570" cy="803275"/>
            <wp:effectExtent l="0" t="0" r="5080" b="0"/>
            <wp:wrapNone/>
            <wp:docPr id="11" name="Imagen 11" descr="esc uaem_or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sc uaem_ori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04570" cy="8032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E7044">
        <w:rPr>
          <w:rFonts w:ascii="Arial" w:eastAsia="Arial Unicode MS" w:hAnsi="Arial" w:cs="Arial"/>
          <w:b/>
          <w:sz w:val="28"/>
          <w:szCs w:val="24"/>
        </w:rPr>
        <w:t xml:space="preserve">UNIVERSIDAD AUTÓNOMA DEL </w:t>
      </w:r>
    </w:p>
    <w:p w:rsidR="002075E2" w:rsidRPr="00AC26BD" w:rsidRDefault="002075E2" w:rsidP="00AC26BD">
      <w:pPr>
        <w:spacing w:before="100" w:beforeAutospacing="1" w:after="100" w:afterAutospacing="1"/>
        <w:jc w:val="center"/>
        <w:rPr>
          <w:rFonts w:ascii="Arial" w:eastAsia="Arial Unicode MS" w:hAnsi="Arial" w:cs="Arial"/>
          <w:b/>
          <w:sz w:val="28"/>
          <w:szCs w:val="24"/>
        </w:rPr>
      </w:pPr>
      <w:r w:rsidRPr="006E7044">
        <w:rPr>
          <w:rFonts w:ascii="Arial" w:eastAsia="Arial Unicode MS" w:hAnsi="Arial" w:cs="Arial"/>
          <w:b/>
          <w:sz w:val="28"/>
          <w:szCs w:val="24"/>
        </w:rPr>
        <w:t>ESTADO DE MÉXICO</w:t>
      </w:r>
      <w:r w:rsidRPr="006E7044">
        <w:rPr>
          <w:rFonts w:ascii="Arial" w:eastAsia="Arial Unicode MS" w:hAnsi="Arial" w:cs="Arial"/>
          <w:noProof/>
          <w:sz w:val="28"/>
          <w:szCs w:val="24"/>
          <w:lang w:eastAsia="es-MX"/>
        </w:rPr>
        <mc:AlternateContent>
          <mc:Choice Requires="wps">
            <w:drawing>
              <wp:anchor distT="0" distB="0" distL="114300" distR="114300" simplePos="0" relativeHeight="251662336" behindDoc="0" locked="0" layoutInCell="1" allowOverlap="1" wp14:anchorId="2DF3BF2E" wp14:editId="7AFA1EC6">
                <wp:simplePos x="0" y="0"/>
                <wp:positionH relativeFrom="column">
                  <wp:posOffset>671830</wp:posOffset>
                </wp:positionH>
                <wp:positionV relativeFrom="paragraph">
                  <wp:posOffset>286385</wp:posOffset>
                </wp:positionV>
                <wp:extent cx="4114800" cy="0"/>
                <wp:effectExtent l="0" t="19050" r="0" b="19050"/>
                <wp:wrapNone/>
                <wp:docPr id="9" name="Conector recto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14800" cy="0"/>
                        </a:xfrm>
                        <a:prstGeom prst="line">
                          <a:avLst/>
                        </a:prstGeom>
                        <a:noFill/>
                        <a:ln w="38100" cmpd="dbl">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ector recto 9"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2.9pt,22.55pt" to="376.9pt,2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" strokeweight="3pt">
                <v:stroke linestyle="thinThin"/>
              </v:line>
            </w:pict>
          </mc:Fallback>
        </mc:AlternateContent>
      </w:r>
    </w:p>
    <w:p w:rsidR="00AC26BD" w:rsidRDefault="00AC26BD" w:rsidP="00AC26BD">
      <w:pPr>
        <w:spacing w:after="0" w:line="240" w:lineRule="auto"/>
        <w:jc w:val="center"/>
        <w:rPr>
          <w:rFonts w:ascii="Arial" w:eastAsia="Arial Unicode MS" w:hAnsi="Arial" w:cs="Arial"/>
          <w:b/>
          <w:sz w:val="28"/>
          <w:szCs w:val="24"/>
        </w:rPr>
      </w:pPr>
    </w:p>
    <w:p w:rsidR="008420E6" w:rsidRPr="006E7044" w:rsidRDefault="002075E2" w:rsidP="00AC26BD">
      <w:pPr>
        <w:spacing w:after="240"/>
        <w:jc w:val="center"/>
        <w:rPr>
          <w:rFonts w:ascii="Arial" w:eastAsia="Arial Unicode MS" w:hAnsi="Arial" w:cs="Arial"/>
          <w:b/>
          <w:sz w:val="28"/>
          <w:szCs w:val="24"/>
        </w:rPr>
      </w:pPr>
      <w:r w:rsidRPr="006E7044">
        <w:rPr>
          <w:rFonts w:ascii="Arial" w:eastAsia="Arial Unicode MS" w:hAnsi="Arial" w:cs="Arial"/>
          <w:b/>
          <w:sz w:val="28"/>
          <w:szCs w:val="24"/>
        </w:rPr>
        <w:t>FACULTAD DE ECONOMÍA</w:t>
      </w:r>
    </w:p>
    <w:p w:rsidR="00AC26BD" w:rsidRDefault="002075E2" w:rsidP="00AC26BD">
      <w:pPr>
        <w:spacing w:after="240"/>
        <w:jc w:val="center"/>
        <w:rPr>
          <w:rFonts w:ascii="Arial" w:eastAsia="Arial Unicode MS" w:hAnsi="Arial" w:cs="Arial"/>
          <w:b/>
          <w:sz w:val="28"/>
          <w:szCs w:val="24"/>
        </w:rPr>
      </w:pPr>
      <w:r w:rsidRPr="006E7044">
        <w:rPr>
          <w:rFonts w:ascii="Arial" w:eastAsia="Arial Unicode MS" w:hAnsi="Arial" w:cs="Arial"/>
          <w:b/>
          <w:sz w:val="28"/>
          <w:szCs w:val="24"/>
        </w:rPr>
        <w:t>“</w:t>
      </w:r>
      <w:r w:rsidR="008420E6" w:rsidRPr="006E7044">
        <w:rPr>
          <w:rFonts w:ascii="Arial" w:eastAsia="Arial Unicode MS" w:hAnsi="Arial" w:cs="Arial"/>
          <w:b/>
          <w:sz w:val="28"/>
          <w:szCs w:val="24"/>
        </w:rPr>
        <w:t>CO</w:t>
      </w:r>
      <w:r w:rsidR="00EA6D7A">
        <w:rPr>
          <w:rFonts w:ascii="Arial" w:eastAsia="Arial Unicode MS" w:hAnsi="Arial" w:cs="Arial"/>
          <w:b/>
          <w:sz w:val="28"/>
          <w:szCs w:val="24"/>
        </w:rPr>
        <w:t xml:space="preserve">NTRASTE ENTRE </w:t>
      </w:r>
      <w:r w:rsidR="008420E6" w:rsidRPr="006E7044">
        <w:rPr>
          <w:rFonts w:ascii="Arial" w:eastAsia="Arial Unicode MS" w:hAnsi="Arial" w:cs="Arial"/>
          <w:b/>
          <w:sz w:val="28"/>
          <w:szCs w:val="24"/>
        </w:rPr>
        <w:t>EL VALOR EN RIESGO (</w:t>
      </w:r>
      <w:proofErr w:type="spellStart"/>
      <w:r w:rsidR="008420E6" w:rsidRPr="006E7044">
        <w:rPr>
          <w:rFonts w:ascii="Arial" w:eastAsia="Arial Unicode MS" w:hAnsi="Arial" w:cs="Arial"/>
          <w:b/>
          <w:sz w:val="28"/>
          <w:szCs w:val="24"/>
        </w:rPr>
        <w:t>VaR</w:t>
      </w:r>
      <w:proofErr w:type="spellEnd"/>
      <w:r w:rsidR="008420E6" w:rsidRPr="006E7044">
        <w:rPr>
          <w:rFonts w:ascii="Arial" w:eastAsia="Arial Unicode MS" w:hAnsi="Arial" w:cs="Arial"/>
          <w:b/>
          <w:sz w:val="28"/>
          <w:szCs w:val="24"/>
        </w:rPr>
        <w:t>) DE UN</w:t>
      </w:r>
      <w:r w:rsidR="00EA6D7A">
        <w:rPr>
          <w:rFonts w:ascii="Arial" w:eastAsia="Arial Unicode MS" w:hAnsi="Arial" w:cs="Arial"/>
          <w:b/>
          <w:sz w:val="28"/>
          <w:szCs w:val="24"/>
        </w:rPr>
        <w:t>A CARTERA DIVERSIFICADA DE MANERA ALEATORIA Y OTRA</w:t>
      </w:r>
      <w:r w:rsidR="008420E6" w:rsidRPr="006E7044">
        <w:rPr>
          <w:rFonts w:ascii="Arial" w:eastAsia="Arial Unicode MS" w:hAnsi="Arial" w:cs="Arial"/>
          <w:b/>
          <w:sz w:val="28"/>
          <w:szCs w:val="24"/>
        </w:rPr>
        <w:t xml:space="preserve"> </w:t>
      </w:r>
      <w:r w:rsidR="00EA6D7A">
        <w:rPr>
          <w:rFonts w:ascii="Arial" w:eastAsia="Arial Unicode MS" w:hAnsi="Arial" w:cs="Arial"/>
          <w:b/>
          <w:sz w:val="28"/>
          <w:szCs w:val="24"/>
        </w:rPr>
        <w:t>DE FORMA CIENTÍFICA</w:t>
      </w:r>
      <w:r w:rsidR="008420E6" w:rsidRPr="006E7044">
        <w:rPr>
          <w:rFonts w:ascii="Arial" w:eastAsia="Arial Unicode MS" w:hAnsi="Arial" w:cs="Arial"/>
          <w:b/>
          <w:sz w:val="28"/>
          <w:szCs w:val="24"/>
        </w:rPr>
        <w:t xml:space="preserve"> CON ACCIONES QUE COTIZAN EN LA BOLSA MEXICANA DE VALORES</w:t>
      </w:r>
      <w:r w:rsidRPr="006E7044">
        <w:rPr>
          <w:rFonts w:ascii="Arial" w:eastAsia="Arial Unicode MS" w:hAnsi="Arial" w:cs="Arial"/>
          <w:b/>
          <w:sz w:val="28"/>
          <w:szCs w:val="24"/>
        </w:rPr>
        <w:t>”</w:t>
      </w:r>
    </w:p>
    <w:p w:rsidR="00645880" w:rsidRDefault="002075E2" w:rsidP="00AC26BD">
      <w:pPr>
        <w:spacing w:after="0"/>
        <w:jc w:val="center"/>
        <w:rPr>
          <w:rFonts w:ascii="Arial" w:eastAsia="Arial Unicode MS" w:hAnsi="Arial" w:cs="Arial"/>
          <w:b/>
          <w:sz w:val="28"/>
          <w:szCs w:val="24"/>
        </w:rPr>
      </w:pPr>
      <w:r w:rsidRPr="006E7044">
        <w:rPr>
          <w:rFonts w:ascii="Arial" w:eastAsia="Arial Unicode MS" w:hAnsi="Arial" w:cs="Arial"/>
          <w:b/>
          <w:sz w:val="28"/>
          <w:szCs w:val="24"/>
        </w:rPr>
        <w:t>TESINA</w:t>
      </w:r>
    </w:p>
    <w:p w:rsidR="00AC26BD" w:rsidRPr="006E7044" w:rsidRDefault="00AC26BD" w:rsidP="00AC26BD">
      <w:pPr>
        <w:spacing w:after="0"/>
        <w:jc w:val="center"/>
        <w:rPr>
          <w:rFonts w:ascii="Arial" w:eastAsia="Arial Unicode MS" w:hAnsi="Arial" w:cs="Arial"/>
          <w:b/>
          <w:sz w:val="28"/>
          <w:szCs w:val="24"/>
        </w:rPr>
      </w:pPr>
    </w:p>
    <w:p w:rsidR="00645880" w:rsidRPr="006E7044" w:rsidRDefault="002075E2" w:rsidP="00AC26BD">
      <w:pPr>
        <w:spacing w:after="240"/>
        <w:jc w:val="center"/>
        <w:rPr>
          <w:rFonts w:ascii="Arial" w:eastAsia="Arial Unicode MS" w:hAnsi="Arial" w:cs="Arial"/>
          <w:sz w:val="28"/>
          <w:szCs w:val="24"/>
        </w:rPr>
      </w:pPr>
      <w:r w:rsidRPr="006E7044">
        <w:rPr>
          <w:rFonts w:ascii="Arial" w:eastAsia="Arial Unicode MS" w:hAnsi="Arial" w:cs="Arial"/>
          <w:sz w:val="28"/>
          <w:szCs w:val="24"/>
        </w:rPr>
        <w:t>QUE PARA OBTENE</w:t>
      </w:r>
      <w:r w:rsidR="00D77C7D">
        <w:rPr>
          <w:rFonts w:ascii="Arial" w:eastAsia="Arial Unicode MS" w:hAnsi="Arial" w:cs="Arial"/>
          <w:sz w:val="28"/>
          <w:szCs w:val="24"/>
        </w:rPr>
        <w:t>R EL TÍTULO DE:</w:t>
      </w:r>
    </w:p>
    <w:p w:rsidR="00DA321C" w:rsidRDefault="002075E2" w:rsidP="00AC26BD">
      <w:pPr>
        <w:spacing w:after="240"/>
        <w:jc w:val="center"/>
        <w:rPr>
          <w:rFonts w:ascii="Arial" w:eastAsia="Arial Unicode MS" w:hAnsi="Arial" w:cs="Arial"/>
          <w:b/>
          <w:sz w:val="28"/>
          <w:szCs w:val="24"/>
        </w:rPr>
      </w:pPr>
      <w:r w:rsidRPr="006E7044">
        <w:rPr>
          <w:rFonts w:ascii="Arial" w:eastAsia="Arial Unicode MS" w:hAnsi="Arial" w:cs="Arial"/>
          <w:b/>
          <w:sz w:val="28"/>
          <w:szCs w:val="24"/>
        </w:rPr>
        <w:t>LICENCIADO EN ACTUARÍA</w:t>
      </w:r>
    </w:p>
    <w:p w:rsidR="00AC26BD" w:rsidRPr="006E7044" w:rsidRDefault="00AC26BD" w:rsidP="00AC26BD">
      <w:pPr>
        <w:spacing w:after="0"/>
        <w:jc w:val="center"/>
        <w:rPr>
          <w:rFonts w:ascii="Arial" w:eastAsia="Arial Unicode MS" w:hAnsi="Arial" w:cs="Arial"/>
          <w:b/>
          <w:sz w:val="28"/>
          <w:szCs w:val="24"/>
        </w:rPr>
      </w:pPr>
    </w:p>
    <w:p w:rsidR="002075E2" w:rsidRPr="006E7044" w:rsidRDefault="002075E2" w:rsidP="00AC26BD">
      <w:pPr>
        <w:spacing w:after="240"/>
        <w:jc w:val="center"/>
        <w:rPr>
          <w:rFonts w:ascii="Arial" w:eastAsia="Arial Unicode MS" w:hAnsi="Arial" w:cs="Arial"/>
          <w:sz w:val="28"/>
          <w:szCs w:val="24"/>
        </w:rPr>
      </w:pPr>
      <w:r w:rsidRPr="006E7044">
        <w:rPr>
          <w:rFonts w:ascii="Arial" w:eastAsia="Arial Unicode MS" w:hAnsi="Arial" w:cs="Arial"/>
          <w:sz w:val="28"/>
          <w:szCs w:val="24"/>
        </w:rPr>
        <w:t>PRESENTA:</w:t>
      </w:r>
    </w:p>
    <w:p w:rsidR="00645880" w:rsidRDefault="00636973" w:rsidP="00AC26BD">
      <w:pPr>
        <w:spacing w:after="240"/>
        <w:jc w:val="center"/>
        <w:rPr>
          <w:rFonts w:ascii="Arial" w:eastAsia="Arial Unicode MS" w:hAnsi="Arial" w:cs="Arial"/>
          <w:b/>
          <w:sz w:val="28"/>
          <w:szCs w:val="24"/>
        </w:rPr>
      </w:pPr>
      <w:r w:rsidRPr="006E7044">
        <w:rPr>
          <w:rFonts w:ascii="Arial" w:eastAsia="Arial Unicode MS" w:hAnsi="Arial" w:cs="Arial"/>
          <w:b/>
          <w:sz w:val="28"/>
          <w:szCs w:val="24"/>
        </w:rPr>
        <w:t>CÉSAR IVÁ</w:t>
      </w:r>
      <w:r w:rsidR="002075E2" w:rsidRPr="006E7044">
        <w:rPr>
          <w:rFonts w:ascii="Arial" w:eastAsia="Arial Unicode MS" w:hAnsi="Arial" w:cs="Arial"/>
          <w:b/>
          <w:sz w:val="28"/>
          <w:szCs w:val="24"/>
        </w:rPr>
        <w:t>N ARROYO RUBALCAVA</w:t>
      </w:r>
    </w:p>
    <w:p w:rsidR="00AC26BD" w:rsidRPr="006E7044" w:rsidRDefault="00AC26BD" w:rsidP="00AC26BD">
      <w:pPr>
        <w:spacing w:after="0"/>
        <w:jc w:val="center"/>
        <w:rPr>
          <w:rFonts w:ascii="Arial" w:eastAsia="Arial Unicode MS" w:hAnsi="Arial" w:cs="Arial"/>
          <w:b/>
          <w:sz w:val="28"/>
          <w:szCs w:val="24"/>
        </w:rPr>
      </w:pPr>
    </w:p>
    <w:p w:rsidR="002075E2" w:rsidRPr="006E7044" w:rsidRDefault="002075E2" w:rsidP="00AC26BD">
      <w:pPr>
        <w:spacing w:after="240"/>
        <w:jc w:val="center"/>
        <w:rPr>
          <w:rFonts w:ascii="Arial" w:eastAsia="Arial Unicode MS" w:hAnsi="Arial" w:cs="Arial"/>
          <w:sz w:val="28"/>
          <w:szCs w:val="24"/>
        </w:rPr>
      </w:pPr>
      <w:r w:rsidRPr="006E7044">
        <w:rPr>
          <w:rFonts w:ascii="Arial" w:eastAsia="Arial Unicode MS" w:hAnsi="Arial" w:cs="Arial"/>
          <w:sz w:val="28"/>
          <w:szCs w:val="24"/>
        </w:rPr>
        <w:t>ASESOR:</w:t>
      </w:r>
    </w:p>
    <w:p w:rsidR="00645880" w:rsidRDefault="002075E2" w:rsidP="00AC26BD">
      <w:pPr>
        <w:spacing w:after="240"/>
        <w:jc w:val="center"/>
        <w:rPr>
          <w:rFonts w:ascii="Arial" w:eastAsia="Arial Unicode MS" w:hAnsi="Arial" w:cs="Arial"/>
          <w:b/>
          <w:sz w:val="28"/>
          <w:szCs w:val="24"/>
        </w:rPr>
      </w:pPr>
      <w:r w:rsidRPr="006E7044">
        <w:rPr>
          <w:rFonts w:ascii="Arial" w:eastAsia="Arial Unicode MS" w:hAnsi="Arial" w:cs="Arial"/>
          <w:b/>
          <w:sz w:val="28"/>
          <w:szCs w:val="24"/>
        </w:rPr>
        <w:t>M. EN E. JUAN JOSÉ LECHUGA ARIZME</w:t>
      </w:r>
      <w:r w:rsidR="00071EC1" w:rsidRPr="006E7044">
        <w:rPr>
          <w:rFonts w:ascii="Arial" w:eastAsia="Arial Unicode MS" w:hAnsi="Arial" w:cs="Arial"/>
          <w:b/>
          <w:sz w:val="28"/>
          <w:szCs w:val="24"/>
        </w:rPr>
        <w:t>N</w:t>
      </w:r>
      <w:r w:rsidRPr="006E7044">
        <w:rPr>
          <w:rFonts w:ascii="Arial" w:eastAsia="Arial Unicode MS" w:hAnsi="Arial" w:cs="Arial"/>
          <w:b/>
          <w:sz w:val="28"/>
          <w:szCs w:val="24"/>
        </w:rPr>
        <w:t xml:space="preserve">DI </w:t>
      </w:r>
    </w:p>
    <w:p w:rsidR="00AC26BD" w:rsidRPr="006E7044" w:rsidRDefault="00AC26BD" w:rsidP="00AC26BD">
      <w:pPr>
        <w:spacing w:after="0"/>
        <w:jc w:val="center"/>
        <w:rPr>
          <w:rFonts w:ascii="Arial" w:eastAsia="Arial Unicode MS" w:hAnsi="Arial" w:cs="Arial"/>
          <w:b/>
          <w:sz w:val="28"/>
          <w:szCs w:val="24"/>
        </w:rPr>
      </w:pPr>
    </w:p>
    <w:p w:rsidR="006E7044" w:rsidRDefault="002075E2" w:rsidP="00AC26BD">
      <w:pPr>
        <w:spacing w:after="240"/>
        <w:jc w:val="center"/>
        <w:rPr>
          <w:rFonts w:ascii="Arial" w:eastAsia="Arial Unicode MS" w:hAnsi="Arial" w:cs="Arial"/>
          <w:sz w:val="28"/>
          <w:szCs w:val="24"/>
        </w:rPr>
      </w:pPr>
      <w:r w:rsidRPr="006E7044">
        <w:rPr>
          <w:rFonts w:ascii="Arial" w:eastAsia="Arial Unicode MS" w:hAnsi="Arial" w:cs="Arial"/>
          <w:sz w:val="28"/>
          <w:szCs w:val="24"/>
        </w:rPr>
        <w:t>REVISOR</w:t>
      </w:r>
      <w:r w:rsidR="00D6645A">
        <w:rPr>
          <w:rFonts w:ascii="Arial" w:eastAsia="Arial Unicode MS" w:hAnsi="Arial" w:cs="Arial"/>
          <w:sz w:val="28"/>
          <w:szCs w:val="24"/>
        </w:rPr>
        <w:t>ES</w:t>
      </w:r>
      <w:r w:rsidRPr="006E7044">
        <w:rPr>
          <w:rFonts w:ascii="Arial" w:eastAsia="Arial Unicode MS" w:hAnsi="Arial" w:cs="Arial"/>
          <w:sz w:val="28"/>
          <w:szCs w:val="24"/>
        </w:rPr>
        <w:t>:</w:t>
      </w:r>
    </w:p>
    <w:p w:rsidR="00DA321C" w:rsidRPr="00DA321C" w:rsidRDefault="00DA321C" w:rsidP="00AC26BD">
      <w:pPr>
        <w:spacing w:after="240"/>
        <w:jc w:val="center"/>
        <w:rPr>
          <w:rFonts w:ascii="Arial" w:eastAsia="Arial Unicode MS" w:hAnsi="Arial" w:cs="Arial"/>
          <w:b/>
          <w:sz w:val="28"/>
          <w:szCs w:val="24"/>
        </w:rPr>
      </w:pPr>
      <w:r w:rsidRPr="00DA321C">
        <w:rPr>
          <w:rFonts w:ascii="Arial" w:eastAsia="Arial Unicode MS" w:hAnsi="Arial" w:cs="Arial"/>
          <w:b/>
          <w:sz w:val="28"/>
          <w:szCs w:val="24"/>
        </w:rPr>
        <w:t>M. EN CI. OSWALDO TAPIA REYNOSO</w:t>
      </w:r>
    </w:p>
    <w:p w:rsidR="00645880" w:rsidRDefault="00DA321C" w:rsidP="00AC26BD">
      <w:pPr>
        <w:spacing w:after="240"/>
        <w:jc w:val="center"/>
        <w:rPr>
          <w:rFonts w:ascii="Arial" w:eastAsia="Arial Unicode MS" w:hAnsi="Arial" w:cs="Arial"/>
          <w:b/>
          <w:sz w:val="28"/>
          <w:szCs w:val="24"/>
        </w:rPr>
      </w:pPr>
      <w:r w:rsidRPr="00DA321C">
        <w:rPr>
          <w:rFonts w:ascii="Arial" w:eastAsia="Arial Unicode MS" w:hAnsi="Arial" w:cs="Arial"/>
          <w:b/>
          <w:sz w:val="28"/>
          <w:szCs w:val="24"/>
        </w:rPr>
        <w:t>DR. EN C.S. RAFAÉL JUÁREZ TOLEDO</w:t>
      </w:r>
    </w:p>
    <w:p w:rsidR="00AC26BD" w:rsidRPr="00DA321C" w:rsidRDefault="00AC26BD" w:rsidP="00AC26BD">
      <w:pPr>
        <w:spacing w:after="0"/>
        <w:jc w:val="center"/>
        <w:rPr>
          <w:rFonts w:ascii="Arial" w:eastAsia="Arial Unicode MS" w:hAnsi="Arial" w:cs="Arial"/>
          <w:b/>
          <w:sz w:val="28"/>
          <w:szCs w:val="24"/>
        </w:rPr>
      </w:pPr>
    </w:p>
    <w:p w:rsidR="00645880" w:rsidRPr="006E7044" w:rsidRDefault="00645880" w:rsidP="00645880">
      <w:pPr>
        <w:spacing w:before="100" w:beforeAutospacing="1" w:after="100" w:afterAutospacing="1"/>
        <w:jc w:val="center"/>
        <w:rPr>
          <w:rFonts w:ascii="Arial" w:eastAsia="Arial Unicode MS" w:hAnsi="Arial" w:cs="Arial"/>
          <w:sz w:val="28"/>
          <w:szCs w:val="24"/>
        </w:rPr>
      </w:pPr>
      <w:r w:rsidRPr="006E7044">
        <w:rPr>
          <w:rFonts w:ascii="Arial" w:eastAsia="Arial Unicode MS" w:hAnsi="Arial" w:cs="Arial"/>
          <w:sz w:val="28"/>
          <w:szCs w:val="24"/>
        </w:rPr>
        <w:t>TOLUCA, ESTADO DE MÉXICO</w:t>
      </w:r>
    </w:p>
    <w:p w:rsidR="00AC26BD" w:rsidRPr="00D77C7D" w:rsidRDefault="004F24D9" w:rsidP="00AC26BD">
      <w:pPr>
        <w:spacing w:before="100" w:beforeAutospacing="1" w:after="100" w:afterAutospacing="1"/>
        <w:jc w:val="right"/>
        <w:rPr>
          <w:rFonts w:ascii="Arial" w:eastAsia="Arial Unicode MS" w:hAnsi="Arial" w:cs="Arial"/>
          <w:sz w:val="28"/>
          <w:szCs w:val="24"/>
        </w:rPr>
      </w:pPr>
      <w:r>
        <w:rPr>
          <w:rFonts w:ascii="Arial" w:eastAsia="Arial Unicode MS" w:hAnsi="Arial" w:cs="Arial"/>
          <w:sz w:val="28"/>
          <w:szCs w:val="24"/>
        </w:rPr>
        <w:t>MARZO 2017</w:t>
      </w:r>
    </w:p>
    <w:sdt>
      <w:sdtPr>
        <w:rPr>
          <w:rFonts w:ascii="Arial" w:eastAsia="Arial Unicode MS" w:hAnsi="Arial" w:cs="Arial"/>
          <w:b w:val="0"/>
          <w:bCs w:val="0"/>
          <w:color w:val="auto"/>
          <w:sz w:val="24"/>
          <w:szCs w:val="24"/>
          <w:lang w:val="es-ES" w:eastAsia="en-US"/>
        </w:rPr>
        <w:id w:val="-751125241"/>
        <w:docPartObj>
          <w:docPartGallery w:val="Table of Contents"/>
          <w:docPartUnique/>
        </w:docPartObj>
      </w:sdtPr>
      <w:sdtContent>
        <w:p w:rsidR="002075E2" w:rsidRPr="00AC26BD" w:rsidRDefault="002075E2" w:rsidP="00645880">
          <w:pPr>
            <w:pStyle w:val="TtulodeTDC"/>
            <w:spacing w:before="120" w:after="120" w:line="240" w:lineRule="auto"/>
            <w:rPr>
              <w:rFonts w:ascii="Arial" w:eastAsia="Arial Unicode MS" w:hAnsi="Arial" w:cs="Arial"/>
              <w:color w:val="auto"/>
              <w:sz w:val="24"/>
              <w:szCs w:val="24"/>
            </w:rPr>
          </w:pPr>
          <w:r w:rsidRPr="00AC26BD">
            <w:rPr>
              <w:rFonts w:ascii="Arial" w:eastAsia="Arial Unicode MS" w:hAnsi="Arial" w:cs="Arial"/>
              <w:color w:val="auto"/>
              <w:sz w:val="24"/>
              <w:szCs w:val="24"/>
              <w:lang w:val="es-ES"/>
            </w:rPr>
            <w:t>Contenido</w:t>
          </w:r>
        </w:p>
        <w:p w:rsidR="00AC26BD" w:rsidRPr="00AC26BD" w:rsidRDefault="002075E2">
          <w:pPr>
            <w:pStyle w:val="TDC1"/>
            <w:tabs>
              <w:tab w:val="right" w:leader="dot" w:pos="8828"/>
            </w:tabs>
            <w:rPr>
              <w:rFonts w:ascii="Arial" w:eastAsiaTheme="minorEastAsia" w:hAnsi="Arial" w:cs="Arial"/>
              <w:noProof/>
              <w:sz w:val="24"/>
              <w:szCs w:val="24"/>
              <w:lang w:eastAsia="es-MX"/>
            </w:rPr>
          </w:pPr>
          <w:r w:rsidRPr="00AC26BD">
            <w:rPr>
              <w:rFonts w:ascii="Arial" w:eastAsia="Arial Unicode MS" w:hAnsi="Arial" w:cs="Arial"/>
              <w:sz w:val="24"/>
              <w:szCs w:val="24"/>
            </w:rPr>
            <w:fldChar w:fldCharType="begin"/>
          </w:r>
          <w:r w:rsidRPr="00AC26BD">
            <w:rPr>
              <w:rFonts w:ascii="Arial" w:eastAsia="Arial Unicode MS" w:hAnsi="Arial" w:cs="Arial"/>
              <w:sz w:val="24"/>
              <w:szCs w:val="24"/>
            </w:rPr>
            <w:instrText xml:space="preserve"> TOC \o "1-3" \h \z \u </w:instrText>
          </w:r>
          <w:r w:rsidRPr="00AC26BD">
            <w:rPr>
              <w:rFonts w:ascii="Arial" w:eastAsia="Arial Unicode MS" w:hAnsi="Arial" w:cs="Arial"/>
              <w:sz w:val="24"/>
              <w:szCs w:val="24"/>
            </w:rPr>
            <w:fldChar w:fldCharType="separate"/>
          </w:r>
          <w:hyperlink w:anchor="_Toc488230477" w:history="1">
            <w:r w:rsidR="00AC26BD" w:rsidRPr="00AC26BD">
              <w:rPr>
                <w:rStyle w:val="Hipervnculo"/>
                <w:rFonts w:ascii="Arial" w:eastAsia="Arial Unicode MS" w:hAnsi="Arial" w:cs="Arial"/>
                <w:noProof/>
                <w:sz w:val="24"/>
                <w:szCs w:val="24"/>
              </w:rPr>
              <w:t>Introducción</w:t>
            </w:r>
            <w:r w:rsidR="00AC26BD" w:rsidRPr="00AC26BD">
              <w:rPr>
                <w:rFonts w:ascii="Arial" w:hAnsi="Arial" w:cs="Arial"/>
                <w:noProof/>
                <w:webHidden/>
                <w:sz w:val="24"/>
                <w:szCs w:val="24"/>
              </w:rPr>
              <w:tab/>
            </w:r>
            <w:r w:rsidR="00AC26BD" w:rsidRPr="00AC26BD">
              <w:rPr>
                <w:rFonts w:ascii="Arial" w:hAnsi="Arial" w:cs="Arial"/>
                <w:noProof/>
                <w:webHidden/>
                <w:sz w:val="24"/>
                <w:szCs w:val="24"/>
              </w:rPr>
              <w:fldChar w:fldCharType="begin"/>
            </w:r>
            <w:r w:rsidR="00AC26BD" w:rsidRPr="00AC26BD">
              <w:rPr>
                <w:rFonts w:ascii="Arial" w:hAnsi="Arial" w:cs="Arial"/>
                <w:noProof/>
                <w:webHidden/>
                <w:sz w:val="24"/>
                <w:szCs w:val="24"/>
              </w:rPr>
              <w:instrText xml:space="preserve"> PAGEREF _Toc488230477 \h </w:instrText>
            </w:r>
            <w:r w:rsidR="00AC26BD" w:rsidRPr="00AC26BD">
              <w:rPr>
                <w:rFonts w:ascii="Arial" w:hAnsi="Arial" w:cs="Arial"/>
                <w:noProof/>
                <w:webHidden/>
                <w:sz w:val="24"/>
                <w:szCs w:val="24"/>
              </w:rPr>
            </w:r>
            <w:r w:rsidR="00AC26BD" w:rsidRPr="00AC26BD">
              <w:rPr>
                <w:rFonts w:ascii="Arial" w:hAnsi="Arial" w:cs="Arial"/>
                <w:noProof/>
                <w:webHidden/>
                <w:sz w:val="24"/>
                <w:szCs w:val="24"/>
              </w:rPr>
              <w:fldChar w:fldCharType="separate"/>
            </w:r>
            <w:r w:rsidR="00AC26BD" w:rsidRPr="00AC26BD">
              <w:rPr>
                <w:rFonts w:ascii="Arial" w:hAnsi="Arial" w:cs="Arial"/>
                <w:noProof/>
                <w:webHidden/>
                <w:sz w:val="24"/>
                <w:szCs w:val="24"/>
              </w:rPr>
              <w:t>4</w:t>
            </w:r>
            <w:r w:rsidR="00AC26BD" w:rsidRPr="00AC26BD">
              <w:rPr>
                <w:rFonts w:ascii="Arial" w:hAnsi="Arial" w:cs="Arial"/>
                <w:noProof/>
                <w:webHidden/>
                <w:sz w:val="24"/>
                <w:szCs w:val="24"/>
              </w:rPr>
              <w:fldChar w:fldCharType="end"/>
            </w:r>
          </w:hyperlink>
        </w:p>
        <w:p w:rsidR="00AC26BD" w:rsidRPr="00AC26BD" w:rsidRDefault="00AC26BD">
          <w:pPr>
            <w:pStyle w:val="TDC1"/>
            <w:tabs>
              <w:tab w:val="right" w:leader="dot" w:pos="8828"/>
            </w:tabs>
            <w:rPr>
              <w:rFonts w:ascii="Arial" w:eastAsiaTheme="minorEastAsia" w:hAnsi="Arial" w:cs="Arial"/>
              <w:noProof/>
              <w:sz w:val="24"/>
              <w:szCs w:val="24"/>
              <w:lang w:eastAsia="es-MX"/>
            </w:rPr>
          </w:pPr>
          <w:hyperlink w:anchor="_Toc488230478" w:history="1">
            <w:r w:rsidRPr="00AC26BD">
              <w:rPr>
                <w:rStyle w:val="Hipervnculo"/>
                <w:rFonts w:ascii="Arial" w:eastAsia="Arial Unicode MS" w:hAnsi="Arial" w:cs="Arial"/>
                <w:noProof/>
                <w:sz w:val="24"/>
                <w:szCs w:val="24"/>
              </w:rPr>
              <w:t>Capítulo 1. Sistema Financiero Mexicano</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_Toc488230478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7</w:t>
            </w:r>
            <w:r w:rsidRPr="00AC26BD">
              <w:rPr>
                <w:rFonts w:ascii="Arial" w:hAnsi="Arial" w:cs="Arial"/>
                <w:noProof/>
                <w:webHidden/>
                <w:sz w:val="24"/>
                <w:szCs w:val="24"/>
              </w:rPr>
              <w:fldChar w:fldCharType="end"/>
            </w:r>
          </w:hyperlink>
        </w:p>
        <w:p w:rsidR="00AC26BD" w:rsidRPr="00AC26BD" w:rsidRDefault="00AC26BD">
          <w:pPr>
            <w:pStyle w:val="TDC2"/>
            <w:tabs>
              <w:tab w:val="left" w:pos="880"/>
              <w:tab w:val="right" w:leader="dot" w:pos="8828"/>
            </w:tabs>
            <w:rPr>
              <w:rFonts w:ascii="Arial" w:eastAsiaTheme="minorEastAsia" w:hAnsi="Arial" w:cs="Arial"/>
              <w:noProof/>
              <w:sz w:val="24"/>
              <w:szCs w:val="24"/>
              <w:lang w:eastAsia="es-MX"/>
            </w:rPr>
          </w:pPr>
          <w:hyperlink w:anchor="_Toc488230479" w:history="1">
            <w:r w:rsidRPr="00AC26BD">
              <w:rPr>
                <w:rStyle w:val="Hipervnculo"/>
                <w:rFonts w:ascii="Arial" w:eastAsia="Arial Unicode MS" w:hAnsi="Arial" w:cs="Arial"/>
                <w:noProof/>
                <w:sz w:val="24"/>
                <w:szCs w:val="24"/>
              </w:rPr>
              <w:t>1.1</w:t>
            </w:r>
            <w:r w:rsidRPr="00AC26BD">
              <w:rPr>
                <w:rFonts w:ascii="Arial" w:eastAsiaTheme="minorEastAsia" w:hAnsi="Arial" w:cs="Arial"/>
                <w:noProof/>
                <w:sz w:val="24"/>
                <w:szCs w:val="24"/>
                <w:lang w:eastAsia="es-MX"/>
              </w:rPr>
              <w:tab/>
            </w:r>
            <w:r w:rsidRPr="00AC26BD">
              <w:rPr>
                <w:rStyle w:val="Hipervnculo"/>
                <w:rFonts w:ascii="Arial" w:eastAsia="Arial Unicode MS" w:hAnsi="Arial" w:cs="Arial"/>
                <w:noProof/>
                <w:sz w:val="24"/>
                <w:szCs w:val="24"/>
              </w:rPr>
              <w:t>Definición</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_Toc488230479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7</w:t>
            </w:r>
            <w:r w:rsidRPr="00AC26BD">
              <w:rPr>
                <w:rFonts w:ascii="Arial" w:hAnsi="Arial" w:cs="Arial"/>
                <w:noProof/>
                <w:webHidden/>
                <w:sz w:val="24"/>
                <w:szCs w:val="24"/>
              </w:rPr>
              <w:fldChar w:fldCharType="end"/>
            </w:r>
          </w:hyperlink>
        </w:p>
        <w:p w:rsidR="00AC26BD" w:rsidRPr="00AC26BD" w:rsidRDefault="00AC26BD">
          <w:pPr>
            <w:pStyle w:val="TDC2"/>
            <w:tabs>
              <w:tab w:val="right" w:leader="dot" w:pos="8828"/>
            </w:tabs>
            <w:rPr>
              <w:rFonts w:ascii="Arial" w:eastAsiaTheme="minorEastAsia" w:hAnsi="Arial" w:cs="Arial"/>
              <w:noProof/>
              <w:sz w:val="24"/>
              <w:szCs w:val="24"/>
              <w:lang w:eastAsia="es-MX"/>
            </w:rPr>
          </w:pPr>
          <w:hyperlink w:anchor="_Toc488230480" w:history="1">
            <w:r w:rsidRPr="00AC26BD">
              <w:rPr>
                <w:rStyle w:val="Hipervnculo"/>
                <w:rFonts w:ascii="Arial" w:eastAsia="Arial Unicode MS" w:hAnsi="Arial" w:cs="Arial"/>
                <w:noProof/>
                <w:sz w:val="24"/>
                <w:szCs w:val="24"/>
              </w:rPr>
              <w:t>1.2  Componentes</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_Toc488230480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8</w:t>
            </w:r>
            <w:r w:rsidRPr="00AC26BD">
              <w:rPr>
                <w:rFonts w:ascii="Arial" w:hAnsi="Arial" w:cs="Arial"/>
                <w:noProof/>
                <w:webHidden/>
                <w:sz w:val="24"/>
                <w:szCs w:val="24"/>
              </w:rPr>
              <w:fldChar w:fldCharType="end"/>
            </w:r>
          </w:hyperlink>
        </w:p>
        <w:p w:rsidR="00AC26BD" w:rsidRPr="00AC26BD" w:rsidRDefault="00AC26BD">
          <w:pPr>
            <w:pStyle w:val="TDC3"/>
            <w:tabs>
              <w:tab w:val="right" w:leader="dot" w:pos="8828"/>
            </w:tabs>
            <w:rPr>
              <w:rFonts w:ascii="Arial" w:eastAsiaTheme="minorEastAsia" w:hAnsi="Arial" w:cs="Arial"/>
              <w:noProof/>
              <w:sz w:val="24"/>
              <w:szCs w:val="24"/>
              <w:lang w:eastAsia="es-MX"/>
            </w:rPr>
          </w:pPr>
          <w:hyperlink w:anchor="_Toc488230481" w:history="1">
            <w:r w:rsidRPr="00AC26BD">
              <w:rPr>
                <w:rStyle w:val="Hipervnculo"/>
                <w:rFonts w:ascii="Arial" w:eastAsia="Arial Unicode MS" w:hAnsi="Arial" w:cs="Arial"/>
                <w:noProof/>
                <w:sz w:val="24"/>
                <w:szCs w:val="24"/>
              </w:rPr>
              <w:t>1.2.1. El Sistema Bursátil Mexicano</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_Toc488230481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9</w:t>
            </w:r>
            <w:r w:rsidRPr="00AC26BD">
              <w:rPr>
                <w:rFonts w:ascii="Arial" w:hAnsi="Arial" w:cs="Arial"/>
                <w:noProof/>
                <w:webHidden/>
                <w:sz w:val="24"/>
                <w:szCs w:val="24"/>
              </w:rPr>
              <w:fldChar w:fldCharType="end"/>
            </w:r>
          </w:hyperlink>
        </w:p>
        <w:p w:rsidR="00AC26BD" w:rsidRPr="00AC26BD" w:rsidRDefault="00AC26BD">
          <w:pPr>
            <w:pStyle w:val="TDC3"/>
            <w:tabs>
              <w:tab w:val="right" w:leader="dot" w:pos="8828"/>
            </w:tabs>
            <w:rPr>
              <w:rFonts w:ascii="Arial" w:eastAsiaTheme="minorEastAsia" w:hAnsi="Arial" w:cs="Arial"/>
              <w:noProof/>
              <w:sz w:val="24"/>
              <w:szCs w:val="24"/>
              <w:lang w:eastAsia="es-MX"/>
            </w:rPr>
          </w:pPr>
          <w:hyperlink w:anchor="_Toc488230482" w:history="1">
            <w:r w:rsidRPr="00AC26BD">
              <w:rPr>
                <w:rStyle w:val="Hipervnculo"/>
                <w:rFonts w:ascii="Arial" w:eastAsia="Arial Unicode MS" w:hAnsi="Arial" w:cs="Arial"/>
                <w:noProof/>
                <w:sz w:val="24"/>
                <w:szCs w:val="24"/>
              </w:rPr>
              <w:t>1.2.2. El Sistema Bancario Mexicano</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_Toc488230482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13</w:t>
            </w:r>
            <w:r w:rsidRPr="00AC26BD">
              <w:rPr>
                <w:rFonts w:ascii="Arial" w:hAnsi="Arial" w:cs="Arial"/>
                <w:noProof/>
                <w:webHidden/>
                <w:sz w:val="24"/>
                <w:szCs w:val="24"/>
              </w:rPr>
              <w:fldChar w:fldCharType="end"/>
            </w:r>
          </w:hyperlink>
        </w:p>
        <w:p w:rsidR="00AC26BD" w:rsidRPr="00AC26BD" w:rsidRDefault="00AC26BD">
          <w:pPr>
            <w:pStyle w:val="TDC3"/>
            <w:tabs>
              <w:tab w:val="right" w:leader="dot" w:pos="8828"/>
            </w:tabs>
            <w:rPr>
              <w:rFonts w:ascii="Arial" w:eastAsiaTheme="minorEastAsia" w:hAnsi="Arial" w:cs="Arial"/>
              <w:noProof/>
              <w:sz w:val="24"/>
              <w:szCs w:val="24"/>
              <w:lang w:eastAsia="es-MX"/>
            </w:rPr>
          </w:pPr>
          <w:hyperlink w:anchor="_Toc488230483" w:history="1">
            <w:r w:rsidRPr="00AC26BD">
              <w:rPr>
                <w:rStyle w:val="Hipervnculo"/>
                <w:rFonts w:ascii="Arial" w:eastAsia="Arial Unicode MS" w:hAnsi="Arial" w:cs="Arial"/>
                <w:noProof/>
                <w:sz w:val="24"/>
                <w:szCs w:val="24"/>
              </w:rPr>
              <w:t>1.2.3. Organismos Reguladores</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_Toc488230483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19</w:t>
            </w:r>
            <w:r w:rsidRPr="00AC26BD">
              <w:rPr>
                <w:rFonts w:ascii="Arial" w:hAnsi="Arial" w:cs="Arial"/>
                <w:noProof/>
                <w:webHidden/>
                <w:sz w:val="24"/>
                <w:szCs w:val="24"/>
              </w:rPr>
              <w:fldChar w:fldCharType="end"/>
            </w:r>
          </w:hyperlink>
        </w:p>
        <w:p w:rsidR="00AC26BD" w:rsidRPr="00AC26BD" w:rsidRDefault="00AC26BD">
          <w:pPr>
            <w:pStyle w:val="TDC2"/>
            <w:tabs>
              <w:tab w:val="right" w:leader="dot" w:pos="8828"/>
            </w:tabs>
            <w:rPr>
              <w:rFonts w:ascii="Arial" w:eastAsiaTheme="minorEastAsia" w:hAnsi="Arial" w:cs="Arial"/>
              <w:noProof/>
              <w:sz w:val="24"/>
              <w:szCs w:val="24"/>
              <w:lang w:eastAsia="es-MX"/>
            </w:rPr>
          </w:pPr>
          <w:hyperlink w:anchor="_Toc488230484" w:history="1">
            <w:r w:rsidRPr="00AC26BD">
              <w:rPr>
                <w:rStyle w:val="Hipervnculo"/>
                <w:rFonts w:ascii="Arial" w:eastAsia="Arial Unicode MS" w:hAnsi="Arial" w:cs="Arial"/>
                <w:noProof/>
                <w:sz w:val="24"/>
                <w:szCs w:val="24"/>
              </w:rPr>
              <w:t>1.3  Mercados Financieros</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_Toc488230484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28</w:t>
            </w:r>
            <w:r w:rsidRPr="00AC26BD">
              <w:rPr>
                <w:rFonts w:ascii="Arial" w:hAnsi="Arial" w:cs="Arial"/>
                <w:noProof/>
                <w:webHidden/>
                <w:sz w:val="24"/>
                <w:szCs w:val="24"/>
              </w:rPr>
              <w:fldChar w:fldCharType="end"/>
            </w:r>
          </w:hyperlink>
        </w:p>
        <w:p w:rsidR="00AC26BD" w:rsidRPr="00AC26BD" w:rsidRDefault="00AC26BD">
          <w:pPr>
            <w:pStyle w:val="TDC3"/>
            <w:tabs>
              <w:tab w:val="right" w:leader="dot" w:pos="8828"/>
            </w:tabs>
            <w:rPr>
              <w:rFonts w:ascii="Arial" w:eastAsiaTheme="minorEastAsia" w:hAnsi="Arial" w:cs="Arial"/>
              <w:noProof/>
              <w:sz w:val="24"/>
              <w:szCs w:val="24"/>
              <w:lang w:eastAsia="es-MX"/>
            </w:rPr>
          </w:pPr>
          <w:hyperlink w:anchor="_Toc488230485" w:history="1">
            <w:r w:rsidRPr="00AC26BD">
              <w:rPr>
                <w:rStyle w:val="Hipervnculo"/>
                <w:rFonts w:ascii="Arial" w:eastAsia="Arial Unicode MS" w:hAnsi="Arial" w:cs="Arial"/>
                <w:noProof/>
                <w:sz w:val="24"/>
                <w:szCs w:val="24"/>
              </w:rPr>
              <w:t>1.3.1. Mercado de valores</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_Toc488230485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28</w:t>
            </w:r>
            <w:r w:rsidRPr="00AC26BD">
              <w:rPr>
                <w:rFonts w:ascii="Arial" w:hAnsi="Arial" w:cs="Arial"/>
                <w:noProof/>
                <w:webHidden/>
                <w:sz w:val="24"/>
                <w:szCs w:val="24"/>
              </w:rPr>
              <w:fldChar w:fldCharType="end"/>
            </w:r>
          </w:hyperlink>
        </w:p>
        <w:p w:rsidR="00AC26BD" w:rsidRPr="00AC26BD" w:rsidRDefault="00AC26BD">
          <w:pPr>
            <w:pStyle w:val="TDC3"/>
            <w:tabs>
              <w:tab w:val="right" w:leader="dot" w:pos="8828"/>
            </w:tabs>
            <w:rPr>
              <w:rFonts w:ascii="Arial" w:eastAsiaTheme="minorEastAsia" w:hAnsi="Arial" w:cs="Arial"/>
              <w:noProof/>
              <w:sz w:val="24"/>
              <w:szCs w:val="24"/>
              <w:lang w:eastAsia="es-MX"/>
            </w:rPr>
          </w:pPr>
          <w:hyperlink w:anchor="_Toc488230486" w:history="1">
            <w:r w:rsidRPr="00AC26BD">
              <w:rPr>
                <w:rStyle w:val="Hipervnculo"/>
                <w:rFonts w:ascii="Arial" w:eastAsia="Arial Unicode MS" w:hAnsi="Arial" w:cs="Arial"/>
                <w:noProof/>
                <w:sz w:val="24"/>
                <w:szCs w:val="24"/>
              </w:rPr>
              <w:t>1.3.2. Mercado cambiario o de divisas</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_Toc488230486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34</w:t>
            </w:r>
            <w:r w:rsidRPr="00AC26BD">
              <w:rPr>
                <w:rFonts w:ascii="Arial" w:hAnsi="Arial" w:cs="Arial"/>
                <w:noProof/>
                <w:webHidden/>
                <w:sz w:val="24"/>
                <w:szCs w:val="24"/>
              </w:rPr>
              <w:fldChar w:fldCharType="end"/>
            </w:r>
          </w:hyperlink>
        </w:p>
        <w:p w:rsidR="00AC26BD" w:rsidRPr="00AC26BD" w:rsidRDefault="00AC26BD">
          <w:pPr>
            <w:pStyle w:val="TDC3"/>
            <w:tabs>
              <w:tab w:val="right" w:leader="dot" w:pos="8828"/>
            </w:tabs>
            <w:rPr>
              <w:rFonts w:ascii="Arial" w:eastAsiaTheme="minorEastAsia" w:hAnsi="Arial" w:cs="Arial"/>
              <w:noProof/>
              <w:sz w:val="24"/>
              <w:szCs w:val="24"/>
              <w:lang w:eastAsia="es-MX"/>
            </w:rPr>
          </w:pPr>
          <w:hyperlink w:anchor="_Toc488230487" w:history="1">
            <w:r w:rsidRPr="00AC26BD">
              <w:rPr>
                <w:rStyle w:val="Hipervnculo"/>
                <w:rFonts w:ascii="Arial" w:eastAsia="Arial Unicode MS" w:hAnsi="Arial" w:cs="Arial"/>
                <w:noProof/>
                <w:sz w:val="24"/>
                <w:szCs w:val="24"/>
              </w:rPr>
              <w:t>1.3.3. Mercado de derivados</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_Toc488230487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35</w:t>
            </w:r>
            <w:r w:rsidRPr="00AC26BD">
              <w:rPr>
                <w:rFonts w:ascii="Arial" w:hAnsi="Arial" w:cs="Arial"/>
                <w:noProof/>
                <w:webHidden/>
                <w:sz w:val="24"/>
                <w:szCs w:val="24"/>
              </w:rPr>
              <w:fldChar w:fldCharType="end"/>
            </w:r>
          </w:hyperlink>
        </w:p>
        <w:p w:rsidR="00AC26BD" w:rsidRPr="00AC26BD" w:rsidRDefault="00AC26BD">
          <w:pPr>
            <w:pStyle w:val="TDC3"/>
            <w:tabs>
              <w:tab w:val="right" w:leader="dot" w:pos="8828"/>
            </w:tabs>
            <w:rPr>
              <w:rFonts w:ascii="Arial" w:eastAsiaTheme="minorEastAsia" w:hAnsi="Arial" w:cs="Arial"/>
              <w:noProof/>
              <w:sz w:val="24"/>
              <w:szCs w:val="24"/>
              <w:lang w:eastAsia="es-MX"/>
            </w:rPr>
          </w:pPr>
          <w:hyperlink w:anchor="_Toc488230488" w:history="1">
            <w:r w:rsidRPr="00AC26BD">
              <w:rPr>
                <w:rStyle w:val="Hipervnculo"/>
                <w:rFonts w:ascii="Arial" w:eastAsia="Arial Unicode MS" w:hAnsi="Arial" w:cs="Arial"/>
                <w:noProof/>
                <w:sz w:val="24"/>
                <w:szCs w:val="24"/>
              </w:rPr>
              <w:t>1.3.3.1 Los Futuros</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_Toc488230488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37</w:t>
            </w:r>
            <w:r w:rsidRPr="00AC26BD">
              <w:rPr>
                <w:rFonts w:ascii="Arial" w:hAnsi="Arial" w:cs="Arial"/>
                <w:noProof/>
                <w:webHidden/>
                <w:sz w:val="24"/>
                <w:szCs w:val="24"/>
              </w:rPr>
              <w:fldChar w:fldCharType="end"/>
            </w:r>
          </w:hyperlink>
        </w:p>
        <w:p w:rsidR="00AC26BD" w:rsidRPr="00AC26BD" w:rsidRDefault="00AC26BD">
          <w:pPr>
            <w:pStyle w:val="TDC3"/>
            <w:tabs>
              <w:tab w:val="right" w:leader="dot" w:pos="8828"/>
            </w:tabs>
            <w:rPr>
              <w:rFonts w:ascii="Arial" w:eastAsiaTheme="minorEastAsia" w:hAnsi="Arial" w:cs="Arial"/>
              <w:noProof/>
              <w:sz w:val="24"/>
              <w:szCs w:val="24"/>
              <w:lang w:eastAsia="es-MX"/>
            </w:rPr>
          </w:pPr>
          <w:hyperlink w:anchor="_Toc488230489" w:history="1">
            <w:r w:rsidRPr="00AC26BD">
              <w:rPr>
                <w:rStyle w:val="Hipervnculo"/>
                <w:rFonts w:ascii="Arial" w:eastAsia="Arial Unicode MS" w:hAnsi="Arial" w:cs="Arial"/>
                <w:noProof/>
                <w:sz w:val="24"/>
                <w:szCs w:val="24"/>
              </w:rPr>
              <w:t>1.3.3.2 Las Opciones</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_Toc488230489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37</w:t>
            </w:r>
            <w:r w:rsidRPr="00AC26BD">
              <w:rPr>
                <w:rFonts w:ascii="Arial" w:hAnsi="Arial" w:cs="Arial"/>
                <w:noProof/>
                <w:webHidden/>
                <w:sz w:val="24"/>
                <w:szCs w:val="24"/>
              </w:rPr>
              <w:fldChar w:fldCharType="end"/>
            </w:r>
          </w:hyperlink>
        </w:p>
        <w:p w:rsidR="00AC26BD" w:rsidRPr="00AC26BD" w:rsidRDefault="00AC26BD">
          <w:pPr>
            <w:pStyle w:val="TDC1"/>
            <w:tabs>
              <w:tab w:val="right" w:leader="dot" w:pos="8828"/>
            </w:tabs>
            <w:rPr>
              <w:rFonts w:ascii="Arial" w:eastAsiaTheme="minorEastAsia" w:hAnsi="Arial" w:cs="Arial"/>
              <w:noProof/>
              <w:sz w:val="24"/>
              <w:szCs w:val="24"/>
              <w:lang w:eastAsia="es-MX"/>
            </w:rPr>
          </w:pPr>
          <w:hyperlink w:anchor="_Toc488230490" w:history="1">
            <w:r w:rsidRPr="00AC26BD">
              <w:rPr>
                <w:rStyle w:val="Hipervnculo"/>
                <w:rFonts w:ascii="Arial" w:eastAsia="Arial Unicode MS" w:hAnsi="Arial" w:cs="Arial"/>
                <w:noProof/>
                <w:sz w:val="24"/>
                <w:szCs w:val="24"/>
              </w:rPr>
              <w:t>Capítulo 2. Mercado de Capitales</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_Toc488230490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38</w:t>
            </w:r>
            <w:r w:rsidRPr="00AC26BD">
              <w:rPr>
                <w:rFonts w:ascii="Arial" w:hAnsi="Arial" w:cs="Arial"/>
                <w:noProof/>
                <w:webHidden/>
                <w:sz w:val="24"/>
                <w:szCs w:val="24"/>
              </w:rPr>
              <w:fldChar w:fldCharType="end"/>
            </w:r>
          </w:hyperlink>
        </w:p>
        <w:p w:rsidR="00AC26BD" w:rsidRPr="00AC26BD" w:rsidRDefault="00AC26BD">
          <w:pPr>
            <w:pStyle w:val="TDC2"/>
            <w:tabs>
              <w:tab w:val="right" w:leader="dot" w:pos="8828"/>
            </w:tabs>
            <w:rPr>
              <w:rFonts w:ascii="Arial" w:eastAsiaTheme="minorEastAsia" w:hAnsi="Arial" w:cs="Arial"/>
              <w:noProof/>
              <w:sz w:val="24"/>
              <w:szCs w:val="24"/>
              <w:lang w:eastAsia="es-MX"/>
            </w:rPr>
          </w:pPr>
          <w:hyperlink w:anchor="_Toc488230491" w:history="1">
            <w:r w:rsidRPr="00AC26BD">
              <w:rPr>
                <w:rStyle w:val="Hipervnculo"/>
                <w:rFonts w:ascii="Arial" w:eastAsia="Arial Unicode MS" w:hAnsi="Arial" w:cs="Arial"/>
                <w:noProof/>
                <w:sz w:val="24"/>
                <w:szCs w:val="24"/>
              </w:rPr>
              <w:t>2.1. Instrumentos de renta variable</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_Toc488230491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39</w:t>
            </w:r>
            <w:r w:rsidRPr="00AC26BD">
              <w:rPr>
                <w:rFonts w:ascii="Arial" w:hAnsi="Arial" w:cs="Arial"/>
                <w:noProof/>
                <w:webHidden/>
                <w:sz w:val="24"/>
                <w:szCs w:val="24"/>
              </w:rPr>
              <w:fldChar w:fldCharType="end"/>
            </w:r>
          </w:hyperlink>
        </w:p>
        <w:p w:rsidR="00AC26BD" w:rsidRPr="00AC26BD" w:rsidRDefault="00AC26BD">
          <w:pPr>
            <w:pStyle w:val="TDC3"/>
            <w:tabs>
              <w:tab w:val="right" w:leader="dot" w:pos="8828"/>
            </w:tabs>
            <w:rPr>
              <w:rFonts w:ascii="Arial" w:eastAsiaTheme="minorEastAsia" w:hAnsi="Arial" w:cs="Arial"/>
              <w:noProof/>
              <w:sz w:val="24"/>
              <w:szCs w:val="24"/>
              <w:lang w:eastAsia="es-MX"/>
            </w:rPr>
          </w:pPr>
          <w:hyperlink w:anchor="_Toc488230492" w:history="1">
            <w:r w:rsidRPr="00AC26BD">
              <w:rPr>
                <w:rStyle w:val="Hipervnculo"/>
                <w:rFonts w:ascii="Arial" w:eastAsia="Arial Unicode MS" w:hAnsi="Arial" w:cs="Arial"/>
                <w:noProof/>
                <w:sz w:val="24"/>
                <w:szCs w:val="24"/>
              </w:rPr>
              <w:t>2.1.1. Acciones</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_Toc488230492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40</w:t>
            </w:r>
            <w:r w:rsidRPr="00AC26BD">
              <w:rPr>
                <w:rFonts w:ascii="Arial" w:hAnsi="Arial" w:cs="Arial"/>
                <w:noProof/>
                <w:webHidden/>
                <w:sz w:val="24"/>
                <w:szCs w:val="24"/>
              </w:rPr>
              <w:fldChar w:fldCharType="end"/>
            </w:r>
          </w:hyperlink>
        </w:p>
        <w:p w:rsidR="00AC26BD" w:rsidRPr="00AC26BD" w:rsidRDefault="00AC26BD">
          <w:pPr>
            <w:pStyle w:val="TDC3"/>
            <w:tabs>
              <w:tab w:val="right" w:leader="dot" w:pos="8828"/>
            </w:tabs>
            <w:rPr>
              <w:rFonts w:ascii="Arial" w:eastAsiaTheme="minorEastAsia" w:hAnsi="Arial" w:cs="Arial"/>
              <w:noProof/>
              <w:sz w:val="24"/>
              <w:szCs w:val="24"/>
              <w:lang w:eastAsia="es-MX"/>
            </w:rPr>
          </w:pPr>
          <w:hyperlink w:anchor="_Toc488230493" w:history="1">
            <w:r w:rsidRPr="00AC26BD">
              <w:rPr>
                <w:rStyle w:val="Hipervnculo"/>
                <w:rFonts w:ascii="Arial" w:eastAsia="Arial Unicode MS" w:hAnsi="Arial" w:cs="Arial"/>
                <w:noProof/>
                <w:sz w:val="24"/>
                <w:szCs w:val="24"/>
              </w:rPr>
              <w:t>2.1.2. Valuación de acciones</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_Toc488230493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44</w:t>
            </w:r>
            <w:r w:rsidRPr="00AC26BD">
              <w:rPr>
                <w:rFonts w:ascii="Arial" w:hAnsi="Arial" w:cs="Arial"/>
                <w:noProof/>
                <w:webHidden/>
                <w:sz w:val="24"/>
                <w:szCs w:val="24"/>
              </w:rPr>
              <w:fldChar w:fldCharType="end"/>
            </w:r>
          </w:hyperlink>
        </w:p>
        <w:p w:rsidR="00AC26BD" w:rsidRPr="00AC26BD" w:rsidRDefault="00AC26BD">
          <w:pPr>
            <w:pStyle w:val="TDC2"/>
            <w:tabs>
              <w:tab w:val="right" w:leader="dot" w:pos="8828"/>
            </w:tabs>
            <w:rPr>
              <w:rFonts w:ascii="Arial" w:eastAsiaTheme="minorEastAsia" w:hAnsi="Arial" w:cs="Arial"/>
              <w:noProof/>
              <w:sz w:val="24"/>
              <w:szCs w:val="24"/>
              <w:lang w:eastAsia="es-MX"/>
            </w:rPr>
          </w:pPr>
          <w:hyperlink w:anchor="_Toc488230494" w:history="1">
            <w:r w:rsidRPr="00AC26BD">
              <w:rPr>
                <w:rStyle w:val="Hipervnculo"/>
                <w:rFonts w:ascii="Arial" w:eastAsia="Arial Unicode MS" w:hAnsi="Arial" w:cs="Arial"/>
                <w:noProof/>
                <w:sz w:val="24"/>
                <w:szCs w:val="24"/>
              </w:rPr>
              <w:t>2.2. Instrumentos de renta fija</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_Toc488230494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46</w:t>
            </w:r>
            <w:r w:rsidRPr="00AC26BD">
              <w:rPr>
                <w:rFonts w:ascii="Arial" w:hAnsi="Arial" w:cs="Arial"/>
                <w:noProof/>
                <w:webHidden/>
                <w:sz w:val="24"/>
                <w:szCs w:val="24"/>
              </w:rPr>
              <w:fldChar w:fldCharType="end"/>
            </w:r>
          </w:hyperlink>
        </w:p>
        <w:p w:rsidR="00AC26BD" w:rsidRPr="00AC26BD" w:rsidRDefault="00AC26BD">
          <w:pPr>
            <w:pStyle w:val="TDC3"/>
            <w:tabs>
              <w:tab w:val="right" w:leader="dot" w:pos="8828"/>
            </w:tabs>
            <w:rPr>
              <w:rFonts w:ascii="Arial" w:eastAsiaTheme="minorEastAsia" w:hAnsi="Arial" w:cs="Arial"/>
              <w:noProof/>
              <w:sz w:val="24"/>
              <w:szCs w:val="24"/>
              <w:lang w:eastAsia="es-MX"/>
            </w:rPr>
          </w:pPr>
          <w:hyperlink w:anchor="_Toc488230495" w:history="1">
            <w:r w:rsidRPr="00AC26BD">
              <w:rPr>
                <w:rStyle w:val="Hipervnculo"/>
                <w:rFonts w:ascii="Arial" w:eastAsia="Arial Unicode MS" w:hAnsi="Arial" w:cs="Arial"/>
                <w:noProof/>
                <w:sz w:val="24"/>
                <w:szCs w:val="24"/>
              </w:rPr>
              <w:t>2.2.1. Certificados de participación ordinaria</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_Toc488230495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47</w:t>
            </w:r>
            <w:r w:rsidRPr="00AC26BD">
              <w:rPr>
                <w:rFonts w:ascii="Arial" w:hAnsi="Arial" w:cs="Arial"/>
                <w:noProof/>
                <w:webHidden/>
                <w:sz w:val="24"/>
                <w:szCs w:val="24"/>
              </w:rPr>
              <w:fldChar w:fldCharType="end"/>
            </w:r>
          </w:hyperlink>
        </w:p>
        <w:p w:rsidR="00AC26BD" w:rsidRPr="00AC26BD" w:rsidRDefault="00AC26BD">
          <w:pPr>
            <w:pStyle w:val="TDC3"/>
            <w:tabs>
              <w:tab w:val="right" w:leader="dot" w:pos="8828"/>
            </w:tabs>
            <w:rPr>
              <w:rFonts w:ascii="Arial" w:eastAsiaTheme="minorEastAsia" w:hAnsi="Arial" w:cs="Arial"/>
              <w:noProof/>
              <w:sz w:val="24"/>
              <w:szCs w:val="24"/>
              <w:lang w:eastAsia="es-MX"/>
            </w:rPr>
          </w:pPr>
          <w:hyperlink w:anchor="_Toc488230496" w:history="1">
            <w:r w:rsidRPr="00AC26BD">
              <w:rPr>
                <w:rStyle w:val="Hipervnculo"/>
                <w:rFonts w:ascii="Arial" w:eastAsia="Arial Unicode MS" w:hAnsi="Arial" w:cs="Arial"/>
                <w:noProof/>
                <w:sz w:val="24"/>
                <w:szCs w:val="24"/>
              </w:rPr>
              <w:t>2.2.2. Obligaciones</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_Toc488230496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48</w:t>
            </w:r>
            <w:r w:rsidRPr="00AC26BD">
              <w:rPr>
                <w:rFonts w:ascii="Arial" w:hAnsi="Arial" w:cs="Arial"/>
                <w:noProof/>
                <w:webHidden/>
                <w:sz w:val="24"/>
                <w:szCs w:val="24"/>
              </w:rPr>
              <w:fldChar w:fldCharType="end"/>
            </w:r>
          </w:hyperlink>
        </w:p>
        <w:p w:rsidR="00AC26BD" w:rsidRPr="00AC26BD" w:rsidRDefault="00AC26BD">
          <w:pPr>
            <w:pStyle w:val="TDC3"/>
            <w:tabs>
              <w:tab w:val="right" w:leader="dot" w:pos="8828"/>
            </w:tabs>
            <w:rPr>
              <w:rFonts w:ascii="Arial" w:eastAsiaTheme="minorEastAsia" w:hAnsi="Arial" w:cs="Arial"/>
              <w:noProof/>
              <w:sz w:val="24"/>
              <w:szCs w:val="24"/>
              <w:lang w:eastAsia="es-MX"/>
            </w:rPr>
          </w:pPr>
          <w:hyperlink w:anchor="_Toc488230497" w:history="1">
            <w:r w:rsidRPr="00AC26BD">
              <w:rPr>
                <w:rStyle w:val="Hipervnculo"/>
                <w:rFonts w:ascii="Arial" w:eastAsia="Arial Unicode MS" w:hAnsi="Arial" w:cs="Arial"/>
                <w:noProof/>
                <w:sz w:val="24"/>
                <w:szCs w:val="24"/>
              </w:rPr>
              <w:t>2.2.3. Contrato opcional (Warrants)</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_Toc488230497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49</w:t>
            </w:r>
            <w:r w:rsidRPr="00AC26BD">
              <w:rPr>
                <w:rFonts w:ascii="Arial" w:hAnsi="Arial" w:cs="Arial"/>
                <w:noProof/>
                <w:webHidden/>
                <w:sz w:val="24"/>
                <w:szCs w:val="24"/>
              </w:rPr>
              <w:fldChar w:fldCharType="end"/>
            </w:r>
          </w:hyperlink>
        </w:p>
        <w:p w:rsidR="00AC26BD" w:rsidRPr="00AC26BD" w:rsidRDefault="00AC26BD">
          <w:pPr>
            <w:pStyle w:val="TDC2"/>
            <w:tabs>
              <w:tab w:val="right" w:leader="dot" w:pos="8828"/>
            </w:tabs>
            <w:rPr>
              <w:rFonts w:ascii="Arial" w:eastAsiaTheme="minorEastAsia" w:hAnsi="Arial" w:cs="Arial"/>
              <w:noProof/>
              <w:sz w:val="24"/>
              <w:szCs w:val="24"/>
              <w:lang w:eastAsia="es-MX"/>
            </w:rPr>
          </w:pPr>
          <w:hyperlink w:anchor="_Toc488230498" w:history="1">
            <w:r w:rsidRPr="00AC26BD">
              <w:rPr>
                <w:rStyle w:val="Hipervnculo"/>
                <w:rFonts w:ascii="Arial" w:eastAsia="Arial Unicode MS" w:hAnsi="Arial" w:cs="Arial"/>
                <w:noProof/>
                <w:sz w:val="24"/>
                <w:szCs w:val="24"/>
              </w:rPr>
              <w:t>2.3. Sistema electrónico de negociación, transacción, registro y asignación de la Bolsa Mexicana de Valores (BMV-SENTRA Capitales)</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_Toc488230498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49</w:t>
            </w:r>
            <w:r w:rsidRPr="00AC26BD">
              <w:rPr>
                <w:rFonts w:ascii="Arial" w:hAnsi="Arial" w:cs="Arial"/>
                <w:noProof/>
                <w:webHidden/>
                <w:sz w:val="24"/>
                <w:szCs w:val="24"/>
              </w:rPr>
              <w:fldChar w:fldCharType="end"/>
            </w:r>
          </w:hyperlink>
        </w:p>
        <w:p w:rsidR="00AC26BD" w:rsidRPr="00AC26BD" w:rsidRDefault="00AC26BD">
          <w:pPr>
            <w:pStyle w:val="TDC2"/>
            <w:tabs>
              <w:tab w:val="right" w:leader="dot" w:pos="8828"/>
            </w:tabs>
            <w:rPr>
              <w:rFonts w:ascii="Arial" w:eastAsiaTheme="minorEastAsia" w:hAnsi="Arial" w:cs="Arial"/>
              <w:noProof/>
              <w:sz w:val="24"/>
              <w:szCs w:val="24"/>
              <w:lang w:eastAsia="es-MX"/>
            </w:rPr>
          </w:pPr>
          <w:hyperlink w:anchor="_Toc488230499" w:history="1">
            <w:r w:rsidRPr="00AC26BD">
              <w:rPr>
                <w:rStyle w:val="Hipervnculo"/>
                <w:rFonts w:ascii="Arial" w:eastAsia="Arial Unicode MS" w:hAnsi="Arial" w:cs="Arial"/>
                <w:noProof/>
                <w:sz w:val="24"/>
                <w:szCs w:val="24"/>
              </w:rPr>
              <w:t>2.4. Índice de Precios y Cotizaciones</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_Toc488230499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51</w:t>
            </w:r>
            <w:r w:rsidRPr="00AC26BD">
              <w:rPr>
                <w:rFonts w:ascii="Arial" w:hAnsi="Arial" w:cs="Arial"/>
                <w:noProof/>
                <w:webHidden/>
                <w:sz w:val="24"/>
                <w:szCs w:val="24"/>
              </w:rPr>
              <w:fldChar w:fldCharType="end"/>
            </w:r>
          </w:hyperlink>
        </w:p>
        <w:p w:rsidR="00AC26BD" w:rsidRPr="00AC26BD" w:rsidRDefault="00AC26BD">
          <w:pPr>
            <w:pStyle w:val="TDC1"/>
            <w:tabs>
              <w:tab w:val="right" w:leader="dot" w:pos="8828"/>
            </w:tabs>
            <w:rPr>
              <w:rFonts w:ascii="Arial" w:eastAsiaTheme="minorEastAsia" w:hAnsi="Arial" w:cs="Arial"/>
              <w:noProof/>
              <w:sz w:val="24"/>
              <w:szCs w:val="24"/>
              <w:lang w:eastAsia="es-MX"/>
            </w:rPr>
          </w:pPr>
          <w:hyperlink w:anchor="_Toc488230500" w:history="1">
            <w:r w:rsidRPr="00AC26BD">
              <w:rPr>
                <w:rStyle w:val="Hipervnculo"/>
                <w:rFonts w:ascii="Arial" w:eastAsia="Arial Unicode MS" w:hAnsi="Arial" w:cs="Arial"/>
                <w:noProof/>
                <w:sz w:val="24"/>
                <w:szCs w:val="24"/>
              </w:rPr>
              <w:t>Capítulo 3. El Riesgo y su evolución a través de los años</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_Toc488230500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54</w:t>
            </w:r>
            <w:r w:rsidRPr="00AC26BD">
              <w:rPr>
                <w:rFonts w:ascii="Arial" w:hAnsi="Arial" w:cs="Arial"/>
                <w:noProof/>
                <w:webHidden/>
                <w:sz w:val="24"/>
                <w:szCs w:val="24"/>
              </w:rPr>
              <w:fldChar w:fldCharType="end"/>
            </w:r>
          </w:hyperlink>
        </w:p>
        <w:p w:rsidR="00AC26BD" w:rsidRPr="00AC26BD" w:rsidRDefault="00AC26BD">
          <w:pPr>
            <w:pStyle w:val="TDC2"/>
            <w:tabs>
              <w:tab w:val="right" w:leader="dot" w:pos="8828"/>
            </w:tabs>
            <w:rPr>
              <w:rFonts w:ascii="Arial" w:eastAsiaTheme="minorEastAsia" w:hAnsi="Arial" w:cs="Arial"/>
              <w:noProof/>
              <w:sz w:val="24"/>
              <w:szCs w:val="24"/>
              <w:lang w:eastAsia="es-MX"/>
            </w:rPr>
          </w:pPr>
          <w:hyperlink w:anchor="_Toc488230501" w:history="1">
            <w:r w:rsidRPr="00AC26BD">
              <w:rPr>
                <w:rStyle w:val="Hipervnculo"/>
                <w:rFonts w:ascii="Arial" w:eastAsia="Arial Unicode MS" w:hAnsi="Arial" w:cs="Arial"/>
                <w:noProof/>
                <w:sz w:val="24"/>
                <w:szCs w:val="24"/>
              </w:rPr>
              <w:t>3.1.  Modelo de Markowitz: Selección de Carteras de Inversión.</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_Toc488230501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54</w:t>
            </w:r>
            <w:r w:rsidRPr="00AC26BD">
              <w:rPr>
                <w:rFonts w:ascii="Arial" w:hAnsi="Arial" w:cs="Arial"/>
                <w:noProof/>
                <w:webHidden/>
                <w:sz w:val="24"/>
                <w:szCs w:val="24"/>
              </w:rPr>
              <w:fldChar w:fldCharType="end"/>
            </w:r>
          </w:hyperlink>
        </w:p>
        <w:p w:rsidR="00AC26BD" w:rsidRPr="00AC26BD" w:rsidRDefault="00AC26BD">
          <w:pPr>
            <w:pStyle w:val="TDC2"/>
            <w:tabs>
              <w:tab w:val="right" w:leader="dot" w:pos="8828"/>
            </w:tabs>
            <w:rPr>
              <w:rFonts w:ascii="Arial" w:eastAsiaTheme="minorEastAsia" w:hAnsi="Arial" w:cs="Arial"/>
              <w:noProof/>
              <w:sz w:val="24"/>
              <w:szCs w:val="24"/>
              <w:lang w:eastAsia="es-MX"/>
            </w:rPr>
          </w:pPr>
          <w:hyperlink w:anchor="_Toc488230502" w:history="1">
            <w:r w:rsidRPr="00AC26BD">
              <w:rPr>
                <w:rStyle w:val="Hipervnculo"/>
                <w:rFonts w:ascii="Arial" w:eastAsia="Arial Unicode MS" w:hAnsi="Arial" w:cs="Arial"/>
                <w:noProof/>
                <w:sz w:val="24"/>
                <w:szCs w:val="24"/>
              </w:rPr>
              <w:t>3.2. Capital Asset Pricing Model (CAPM)</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_Toc488230502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56</w:t>
            </w:r>
            <w:r w:rsidRPr="00AC26BD">
              <w:rPr>
                <w:rFonts w:ascii="Arial" w:hAnsi="Arial" w:cs="Arial"/>
                <w:noProof/>
                <w:webHidden/>
                <w:sz w:val="24"/>
                <w:szCs w:val="24"/>
              </w:rPr>
              <w:fldChar w:fldCharType="end"/>
            </w:r>
          </w:hyperlink>
        </w:p>
        <w:p w:rsidR="00AC26BD" w:rsidRPr="00AC26BD" w:rsidRDefault="00AC26BD">
          <w:pPr>
            <w:pStyle w:val="TDC2"/>
            <w:tabs>
              <w:tab w:val="right" w:leader="dot" w:pos="8828"/>
            </w:tabs>
            <w:rPr>
              <w:rFonts w:ascii="Arial" w:eastAsiaTheme="minorEastAsia" w:hAnsi="Arial" w:cs="Arial"/>
              <w:noProof/>
              <w:sz w:val="24"/>
              <w:szCs w:val="24"/>
              <w:lang w:eastAsia="es-MX"/>
            </w:rPr>
          </w:pPr>
          <w:hyperlink w:anchor="_Toc488230503" w:history="1">
            <w:r w:rsidRPr="00AC26BD">
              <w:rPr>
                <w:rStyle w:val="Hipervnculo"/>
                <w:rFonts w:ascii="Arial" w:eastAsia="Arial Unicode MS" w:hAnsi="Arial" w:cs="Arial"/>
                <w:noProof/>
                <w:sz w:val="24"/>
                <w:szCs w:val="24"/>
              </w:rPr>
              <w:t>3.3.  Riesgo</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_Toc488230503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59</w:t>
            </w:r>
            <w:r w:rsidRPr="00AC26BD">
              <w:rPr>
                <w:rFonts w:ascii="Arial" w:hAnsi="Arial" w:cs="Arial"/>
                <w:noProof/>
                <w:webHidden/>
                <w:sz w:val="24"/>
                <w:szCs w:val="24"/>
              </w:rPr>
              <w:fldChar w:fldCharType="end"/>
            </w:r>
          </w:hyperlink>
        </w:p>
        <w:p w:rsidR="00AC26BD" w:rsidRPr="00AC26BD" w:rsidRDefault="00AC26BD">
          <w:pPr>
            <w:pStyle w:val="TDC3"/>
            <w:tabs>
              <w:tab w:val="right" w:leader="dot" w:pos="8828"/>
            </w:tabs>
            <w:rPr>
              <w:rFonts w:ascii="Arial" w:eastAsiaTheme="minorEastAsia" w:hAnsi="Arial" w:cs="Arial"/>
              <w:noProof/>
              <w:sz w:val="24"/>
              <w:szCs w:val="24"/>
              <w:lang w:eastAsia="es-MX"/>
            </w:rPr>
          </w:pPr>
          <w:hyperlink w:anchor="_Toc488230504" w:history="1">
            <w:r w:rsidRPr="00AC26BD">
              <w:rPr>
                <w:rStyle w:val="Hipervnculo"/>
                <w:rFonts w:ascii="Arial" w:eastAsia="Arial Unicode MS" w:hAnsi="Arial" w:cs="Arial"/>
                <w:noProof/>
                <w:sz w:val="24"/>
                <w:szCs w:val="24"/>
              </w:rPr>
              <w:t>3.3.1. Tipos de riesgo</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_Toc488230504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60</w:t>
            </w:r>
            <w:r w:rsidRPr="00AC26BD">
              <w:rPr>
                <w:rFonts w:ascii="Arial" w:hAnsi="Arial" w:cs="Arial"/>
                <w:noProof/>
                <w:webHidden/>
                <w:sz w:val="24"/>
                <w:szCs w:val="24"/>
              </w:rPr>
              <w:fldChar w:fldCharType="end"/>
            </w:r>
          </w:hyperlink>
        </w:p>
        <w:p w:rsidR="00AC26BD" w:rsidRPr="00AC26BD" w:rsidRDefault="00AC26BD">
          <w:pPr>
            <w:pStyle w:val="TDC3"/>
            <w:tabs>
              <w:tab w:val="right" w:leader="dot" w:pos="8828"/>
            </w:tabs>
            <w:rPr>
              <w:rFonts w:ascii="Arial" w:eastAsiaTheme="minorEastAsia" w:hAnsi="Arial" w:cs="Arial"/>
              <w:noProof/>
              <w:sz w:val="24"/>
              <w:szCs w:val="24"/>
              <w:lang w:eastAsia="es-MX"/>
            </w:rPr>
          </w:pPr>
          <w:hyperlink w:anchor="_Toc488230505" w:history="1">
            <w:r w:rsidRPr="00AC26BD">
              <w:rPr>
                <w:rStyle w:val="Hipervnculo"/>
                <w:rFonts w:ascii="Arial" w:eastAsia="Arial Unicode MS" w:hAnsi="Arial" w:cs="Arial"/>
                <w:noProof/>
                <w:sz w:val="24"/>
                <w:szCs w:val="24"/>
                <w:lang w:val="en-US"/>
              </w:rPr>
              <w:t>3.3.2. Administración del riesgo</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_Toc488230505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69</w:t>
            </w:r>
            <w:r w:rsidRPr="00AC26BD">
              <w:rPr>
                <w:rFonts w:ascii="Arial" w:hAnsi="Arial" w:cs="Arial"/>
                <w:noProof/>
                <w:webHidden/>
                <w:sz w:val="24"/>
                <w:szCs w:val="24"/>
              </w:rPr>
              <w:fldChar w:fldCharType="end"/>
            </w:r>
          </w:hyperlink>
        </w:p>
        <w:p w:rsidR="00AC26BD" w:rsidRPr="00AC26BD" w:rsidRDefault="00AC26BD">
          <w:pPr>
            <w:pStyle w:val="TDC2"/>
            <w:tabs>
              <w:tab w:val="right" w:leader="dot" w:pos="8828"/>
            </w:tabs>
            <w:rPr>
              <w:rFonts w:ascii="Arial" w:eastAsiaTheme="minorEastAsia" w:hAnsi="Arial" w:cs="Arial"/>
              <w:noProof/>
              <w:sz w:val="24"/>
              <w:szCs w:val="24"/>
              <w:lang w:eastAsia="es-MX"/>
            </w:rPr>
          </w:pPr>
          <w:hyperlink w:anchor="_Toc488230506" w:history="1">
            <w:r w:rsidRPr="00AC26BD">
              <w:rPr>
                <w:rStyle w:val="Hipervnculo"/>
                <w:rFonts w:ascii="Arial" w:eastAsia="Arial Unicode MS" w:hAnsi="Arial" w:cs="Arial"/>
                <w:noProof/>
                <w:sz w:val="24"/>
                <w:szCs w:val="24"/>
              </w:rPr>
              <w:t>3.4.  Valor en Riesgo (VaR)</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_Toc488230506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70</w:t>
            </w:r>
            <w:r w:rsidRPr="00AC26BD">
              <w:rPr>
                <w:rFonts w:ascii="Arial" w:hAnsi="Arial" w:cs="Arial"/>
                <w:noProof/>
                <w:webHidden/>
                <w:sz w:val="24"/>
                <w:szCs w:val="24"/>
              </w:rPr>
              <w:fldChar w:fldCharType="end"/>
            </w:r>
          </w:hyperlink>
        </w:p>
        <w:p w:rsidR="00AC26BD" w:rsidRPr="00AC26BD" w:rsidRDefault="00AC26BD">
          <w:pPr>
            <w:pStyle w:val="TDC3"/>
            <w:tabs>
              <w:tab w:val="right" w:leader="dot" w:pos="8828"/>
            </w:tabs>
            <w:rPr>
              <w:rFonts w:ascii="Arial" w:eastAsiaTheme="minorEastAsia" w:hAnsi="Arial" w:cs="Arial"/>
              <w:noProof/>
              <w:sz w:val="24"/>
              <w:szCs w:val="24"/>
              <w:lang w:eastAsia="es-MX"/>
            </w:rPr>
          </w:pPr>
          <w:hyperlink w:anchor="_Toc488230507" w:history="1">
            <w:r w:rsidRPr="00AC26BD">
              <w:rPr>
                <w:rStyle w:val="Hipervnculo"/>
                <w:rFonts w:ascii="Arial" w:eastAsia="Arial Unicode MS" w:hAnsi="Arial" w:cs="Arial"/>
                <w:noProof/>
                <w:sz w:val="24"/>
                <w:szCs w:val="24"/>
              </w:rPr>
              <w:t>3.4.1. Cálculo del Valor en Riesgo (VaR)</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_Toc488230507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71</w:t>
            </w:r>
            <w:r w:rsidRPr="00AC26BD">
              <w:rPr>
                <w:rFonts w:ascii="Arial" w:hAnsi="Arial" w:cs="Arial"/>
                <w:noProof/>
                <w:webHidden/>
                <w:sz w:val="24"/>
                <w:szCs w:val="24"/>
              </w:rPr>
              <w:fldChar w:fldCharType="end"/>
            </w:r>
          </w:hyperlink>
        </w:p>
        <w:p w:rsidR="00AC26BD" w:rsidRPr="00AC26BD" w:rsidRDefault="00AC26BD">
          <w:pPr>
            <w:pStyle w:val="TDC1"/>
            <w:tabs>
              <w:tab w:val="right" w:leader="dot" w:pos="8828"/>
            </w:tabs>
            <w:rPr>
              <w:rFonts w:ascii="Arial" w:eastAsiaTheme="minorEastAsia" w:hAnsi="Arial" w:cs="Arial"/>
              <w:noProof/>
              <w:sz w:val="24"/>
              <w:szCs w:val="24"/>
              <w:lang w:eastAsia="es-MX"/>
            </w:rPr>
          </w:pPr>
          <w:hyperlink w:anchor="_Toc488230508" w:history="1">
            <w:r w:rsidRPr="00AC26BD">
              <w:rPr>
                <w:rStyle w:val="Hipervnculo"/>
                <w:rFonts w:ascii="Arial" w:eastAsia="Arial Unicode MS" w:hAnsi="Arial" w:cs="Arial"/>
                <w:noProof/>
                <w:sz w:val="24"/>
                <w:szCs w:val="24"/>
              </w:rPr>
              <w:t>Capítulo 4. Contraste del VaR de una cartera diversificada de manera aleatoria y otra de forma científica</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_Toc488230508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76</w:t>
            </w:r>
            <w:r w:rsidRPr="00AC26BD">
              <w:rPr>
                <w:rFonts w:ascii="Arial" w:hAnsi="Arial" w:cs="Arial"/>
                <w:noProof/>
                <w:webHidden/>
                <w:sz w:val="24"/>
                <w:szCs w:val="24"/>
              </w:rPr>
              <w:fldChar w:fldCharType="end"/>
            </w:r>
          </w:hyperlink>
        </w:p>
        <w:p w:rsidR="00AC26BD" w:rsidRPr="00AC26BD" w:rsidRDefault="00AC26BD">
          <w:pPr>
            <w:pStyle w:val="TDC2"/>
            <w:tabs>
              <w:tab w:val="right" w:leader="dot" w:pos="8828"/>
            </w:tabs>
            <w:rPr>
              <w:rFonts w:ascii="Arial" w:eastAsiaTheme="minorEastAsia" w:hAnsi="Arial" w:cs="Arial"/>
              <w:noProof/>
              <w:sz w:val="24"/>
              <w:szCs w:val="24"/>
              <w:lang w:eastAsia="es-MX"/>
            </w:rPr>
          </w:pPr>
          <w:hyperlink w:anchor="_Toc488230509" w:history="1">
            <w:r w:rsidRPr="00AC26BD">
              <w:rPr>
                <w:rStyle w:val="Hipervnculo"/>
                <w:rFonts w:ascii="Arial" w:eastAsia="Arial Unicode MS" w:hAnsi="Arial" w:cs="Arial"/>
                <w:noProof/>
                <w:sz w:val="24"/>
                <w:szCs w:val="24"/>
              </w:rPr>
              <w:t>4.1.  Selección de la muestra</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_Toc488230509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76</w:t>
            </w:r>
            <w:r w:rsidRPr="00AC26BD">
              <w:rPr>
                <w:rFonts w:ascii="Arial" w:hAnsi="Arial" w:cs="Arial"/>
                <w:noProof/>
                <w:webHidden/>
                <w:sz w:val="24"/>
                <w:szCs w:val="24"/>
              </w:rPr>
              <w:fldChar w:fldCharType="end"/>
            </w:r>
          </w:hyperlink>
        </w:p>
        <w:p w:rsidR="00AC26BD" w:rsidRPr="00AC26BD" w:rsidRDefault="00AC26BD">
          <w:pPr>
            <w:pStyle w:val="TDC2"/>
            <w:tabs>
              <w:tab w:val="left" w:pos="880"/>
              <w:tab w:val="right" w:leader="dot" w:pos="8828"/>
            </w:tabs>
            <w:rPr>
              <w:rFonts w:ascii="Arial" w:eastAsiaTheme="minorEastAsia" w:hAnsi="Arial" w:cs="Arial"/>
              <w:noProof/>
              <w:sz w:val="24"/>
              <w:szCs w:val="24"/>
              <w:lang w:eastAsia="es-MX"/>
            </w:rPr>
          </w:pPr>
          <w:hyperlink w:anchor="_Toc488230510" w:history="1">
            <w:r w:rsidRPr="00AC26BD">
              <w:rPr>
                <w:rStyle w:val="Hipervnculo"/>
                <w:rFonts w:ascii="Arial" w:eastAsia="Arial Unicode MS" w:hAnsi="Arial" w:cs="Arial"/>
                <w:noProof/>
                <w:sz w:val="24"/>
                <w:szCs w:val="24"/>
              </w:rPr>
              <w:t>4.2.</w:t>
            </w:r>
            <w:r w:rsidRPr="00AC26BD">
              <w:rPr>
                <w:rFonts w:ascii="Arial" w:eastAsiaTheme="minorEastAsia" w:hAnsi="Arial" w:cs="Arial"/>
                <w:noProof/>
                <w:sz w:val="24"/>
                <w:szCs w:val="24"/>
                <w:lang w:eastAsia="es-MX"/>
              </w:rPr>
              <w:tab/>
            </w:r>
            <w:r w:rsidRPr="00AC26BD">
              <w:rPr>
                <w:rStyle w:val="Hipervnculo"/>
                <w:rFonts w:ascii="Arial" w:eastAsia="Arial Unicode MS" w:hAnsi="Arial" w:cs="Arial"/>
                <w:noProof/>
                <w:sz w:val="24"/>
                <w:szCs w:val="24"/>
              </w:rPr>
              <w:t>Integración de las carteras de inversión</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_Toc488230510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78</w:t>
            </w:r>
            <w:r w:rsidRPr="00AC26BD">
              <w:rPr>
                <w:rFonts w:ascii="Arial" w:hAnsi="Arial" w:cs="Arial"/>
                <w:noProof/>
                <w:webHidden/>
                <w:sz w:val="24"/>
                <w:szCs w:val="24"/>
              </w:rPr>
              <w:fldChar w:fldCharType="end"/>
            </w:r>
          </w:hyperlink>
        </w:p>
        <w:p w:rsidR="00AC26BD" w:rsidRPr="00AC26BD" w:rsidRDefault="00AC26BD">
          <w:pPr>
            <w:pStyle w:val="TDC3"/>
            <w:tabs>
              <w:tab w:val="left" w:pos="1320"/>
              <w:tab w:val="right" w:leader="dot" w:pos="8828"/>
            </w:tabs>
            <w:rPr>
              <w:rFonts w:ascii="Arial" w:eastAsiaTheme="minorEastAsia" w:hAnsi="Arial" w:cs="Arial"/>
              <w:noProof/>
              <w:sz w:val="24"/>
              <w:szCs w:val="24"/>
              <w:lang w:eastAsia="es-MX"/>
            </w:rPr>
          </w:pPr>
          <w:hyperlink w:anchor="_Toc488230511" w:history="1">
            <w:r w:rsidRPr="00AC26BD">
              <w:rPr>
                <w:rStyle w:val="Hipervnculo"/>
                <w:rFonts w:ascii="Arial" w:eastAsia="Arial Unicode MS" w:hAnsi="Arial" w:cs="Arial"/>
                <w:noProof/>
                <w:sz w:val="24"/>
                <w:szCs w:val="24"/>
              </w:rPr>
              <w:t>4.2.1.</w:t>
            </w:r>
            <w:r w:rsidRPr="00AC26BD">
              <w:rPr>
                <w:rFonts w:ascii="Arial" w:eastAsiaTheme="minorEastAsia" w:hAnsi="Arial" w:cs="Arial"/>
                <w:noProof/>
                <w:sz w:val="24"/>
                <w:szCs w:val="24"/>
                <w:lang w:eastAsia="es-MX"/>
              </w:rPr>
              <w:tab/>
            </w:r>
            <w:r w:rsidRPr="00AC26BD">
              <w:rPr>
                <w:rStyle w:val="Hipervnculo"/>
                <w:rFonts w:ascii="Arial" w:eastAsia="Arial Unicode MS" w:hAnsi="Arial" w:cs="Arial"/>
                <w:noProof/>
                <w:sz w:val="24"/>
                <w:szCs w:val="24"/>
              </w:rPr>
              <w:t>Cartera diversificada científicamente</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_Toc488230511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79</w:t>
            </w:r>
            <w:r w:rsidRPr="00AC26BD">
              <w:rPr>
                <w:rFonts w:ascii="Arial" w:hAnsi="Arial" w:cs="Arial"/>
                <w:noProof/>
                <w:webHidden/>
                <w:sz w:val="24"/>
                <w:szCs w:val="24"/>
              </w:rPr>
              <w:fldChar w:fldCharType="end"/>
            </w:r>
          </w:hyperlink>
        </w:p>
        <w:p w:rsidR="00AC26BD" w:rsidRPr="00AC26BD" w:rsidRDefault="00AC26BD">
          <w:pPr>
            <w:pStyle w:val="TDC3"/>
            <w:tabs>
              <w:tab w:val="left" w:pos="1320"/>
              <w:tab w:val="right" w:leader="dot" w:pos="8828"/>
            </w:tabs>
            <w:rPr>
              <w:rFonts w:ascii="Arial" w:eastAsiaTheme="minorEastAsia" w:hAnsi="Arial" w:cs="Arial"/>
              <w:noProof/>
              <w:sz w:val="24"/>
              <w:szCs w:val="24"/>
              <w:lang w:eastAsia="es-MX"/>
            </w:rPr>
          </w:pPr>
          <w:hyperlink w:anchor="_Toc488230512" w:history="1">
            <w:r w:rsidRPr="00AC26BD">
              <w:rPr>
                <w:rStyle w:val="Hipervnculo"/>
                <w:rFonts w:ascii="Arial" w:eastAsia="Arial Unicode MS" w:hAnsi="Arial" w:cs="Arial"/>
                <w:noProof/>
                <w:sz w:val="24"/>
                <w:szCs w:val="24"/>
              </w:rPr>
              <w:t>4.2.2.</w:t>
            </w:r>
            <w:r w:rsidRPr="00AC26BD">
              <w:rPr>
                <w:rFonts w:ascii="Arial" w:eastAsiaTheme="minorEastAsia" w:hAnsi="Arial" w:cs="Arial"/>
                <w:noProof/>
                <w:sz w:val="24"/>
                <w:szCs w:val="24"/>
                <w:lang w:eastAsia="es-MX"/>
              </w:rPr>
              <w:tab/>
            </w:r>
            <w:r w:rsidRPr="00AC26BD">
              <w:rPr>
                <w:rStyle w:val="Hipervnculo"/>
                <w:rFonts w:ascii="Arial" w:eastAsia="Arial Unicode MS" w:hAnsi="Arial" w:cs="Arial"/>
                <w:noProof/>
                <w:sz w:val="24"/>
                <w:szCs w:val="24"/>
              </w:rPr>
              <w:t>Cartera diversificada aleatoriamente</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_Toc488230512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80</w:t>
            </w:r>
            <w:r w:rsidRPr="00AC26BD">
              <w:rPr>
                <w:rFonts w:ascii="Arial" w:hAnsi="Arial" w:cs="Arial"/>
                <w:noProof/>
                <w:webHidden/>
                <w:sz w:val="24"/>
                <w:szCs w:val="24"/>
              </w:rPr>
              <w:fldChar w:fldCharType="end"/>
            </w:r>
          </w:hyperlink>
        </w:p>
        <w:p w:rsidR="00AC26BD" w:rsidRPr="00AC26BD" w:rsidRDefault="00AC26BD">
          <w:pPr>
            <w:pStyle w:val="TDC2"/>
            <w:tabs>
              <w:tab w:val="left" w:pos="880"/>
              <w:tab w:val="right" w:leader="dot" w:pos="8828"/>
            </w:tabs>
            <w:rPr>
              <w:rFonts w:ascii="Arial" w:eastAsiaTheme="minorEastAsia" w:hAnsi="Arial" w:cs="Arial"/>
              <w:noProof/>
              <w:sz w:val="24"/>
              <w:szCs w:val="24"/>
              <w:lang w:eastAsia="es-MX"/>
            </w:rPr>
          </w:pPr>
          <w:hyperlink w:anchor="_Toc488230513" w:history="1">
            <w:r w:rsidRPr="00AC26BD">
              <w:rPr>
                <w:rStyle w:val="Hipervnculo"/>
                <w:rFonts w:ascii="Arial" w:eastAsia="Arial Unicode MS" w:hAnsi="Arial" w:cs="Arial"/>
                <w:noProof/>
                <w:sz w:val="24"/>
                <w:szCs w:val="24"/>
              </w:rPr>
              <w:t>4.3.</w:t>
            </w:r>
            <w:r w:rsidRPr="00AC26BD">
              <w:rPr>
                <w:rFonts w:ascii="Arial" w:eastAsiaTheme="minorEastAsia" w:hAnsi="Arial" w:cs="Arial"/>
                <w:noProof/>
                <w:sz w:val="24"/>
                <w:szCs w:val="24"/>
                <w:lang w:eastAsia="es-MX"/>
              </w:rPr>
              <w:tab/>
            </w:r>
            <w:r w:rsidRPr="00AC26BD">
              <w:rPr>
                <w:rStyle w:val="Hipervnculo"/>
                <w:rFonts w:ascii="Arial" w:eastAsia="Arial Unicode MS" w:hAnsi="Arial" w:cs="Arial"/>
                <w:noProof/>
                <w:sz w:val="24"/>
                <w:szCs w:val="24"/>
              </w:rPr>
              <w:t>Cálculo del rendimiento y riesgo</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_Toc488230513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80</w:t>
            </w:r>
            <w:r w:rsidRPr="00AC26BD">
              <w:rPr>
                <w:rFonts w:ascii="Arial" w:hAnsi="Arial" w:cs="Arial"/>
                <w:noProof/>
                <w:webHidden/>
                <w:sz w:val="24"/>
                <w:szCs w:val="24"/>
              </w:rPr>
              <w:fldChar w:fldCharType="end"/>
            </w:r>
          </w:hyperlink>
        </w:p>
        <w:p w:rsidR="00AC26BD" w:rsidRPr="00AC26BD" w:rsidRDefault="00AC26BD">
          <w:pPr>
            <w:pStyle w:val="TDC3"/>
            <w:tabs>
              <w:tab w:val="left" w:pos="1320"/>
              <w:tab w:val="right" w:leader="dot" w:pos="8828"/>
            </w:tabs>
            <w:rPr>
              <w:rFonts w:ascii="Arial" w:eastAsiaTheme="minorEastAsia" w:hAnsi="Arial" w:cs="Arial"/>
              <w:noProof/>
              <w:sz w:val="24"/>
              <w:szCs w:val="24"/>
              <w:lang w:eastAsia="es-MX"/>
            </w:rPr>
          </w:pPr>
          <w:hyperlink w:anchor="_Toc488230514" w:history="1">
            <w:r w:rsidRPr="00AC26BD">
              <w:rPr>
                <w:rStyle w:val="Hipervnculo"/>
                <w:rFonts w:ascii="Arial" w:eastAsia="Arial Unicode MS" w:hAnsi="Arial" w:cs="Arial"/>
                <w:noProof/>
                <w:sz w:val="24"/>
                <w:szCs w:val="24"/>
              </w:rPr>
              <w:t>4.3.1.</w:t>
            </w:r>
            <w:r w:rsidRPr="00AC26BD">
              <w:rPr>
                <w:rFonts w:ascii="Arial" w:eastAsiaTheme="minorEastAsia" w:hAnsi="Arial" w:cs="Arial"/>
                <w:noProof/>
                <w:sz w:val="24"/>
                <w:szCs w:val="24"/>
                <w:lang w:eastAsia="es-MX"/>
              </w:rPr>
              <w:tab/>
            </w:r>
            <w:r w:rsidRPr="00AC26BD">
              <w:rPr>
                <w:rStyle w:val="Hipervnculo"/>
                <w:rFonts w:ascii="Arial" w:eastAsia="Arial Unicode MS" w:hAnsi="Arial" w:cs="Arial"/>
                <w:noProof/>
                <w:sz w:val="24"/>
                <w:szCs w:val="24"/>
              </w:rPr>
              <w:t>Cartera diversificada científicamente</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_Toc488230514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80</w:t>
            </w:r>
            <w:r w:rsidRPr="00AC26BD">
              <w:rPr>
                <w:rFonts w:ascii="Arial" w:hAnsi="Arial" w:cs="Arial"/>
                <w:noProof/>
                <w:webHidden/>
                <w:sz w:val="24"/>
                <w:szCs w:val="24"/>
              </w:rPr>
              <w:fldChar w:fldCharType="end"/>
            </w:r>
          </w:hyperlink>
        </w:p>
        <w:p w:rsidR="00AC26BD" w:rsidRPr="00AC26BD" w:rsidRDefault="00AC26BD">
          <w:pPr>
            <w:pStyle w:val="TDC3"/>
            <w:tabs>
              <w:tab w:val="left" w:pos="1320"/>
              <w:tab w:val="right" w:leader="dot" w:pos="8828"/>
            </w:tabs>
            <w:rPr>
              <w:rFonts w:ascii="Arial" w:eastAsiaTheme="minorEastAsia" w:hAnsi="Arial" w:cs="Arial"/>
              <w:noProof/>
              <w:sz w:val="24"/>
              <w:szCs w:val="24"/>
              <w:lang w:eastAsia="es-MX"/>
            </w:rPr>
          </w:pPr>
          <w:hyperlink w:anchor="_Toc488230515" w:history="1">
            <w:r w:rsidRPr="00AC26BD">
              <w:rPr>
                <w:rStyle w:val="Hipervnculo"/>
                <w:rFonts w:ascii="Arial" w:eastAsia="Arial Unicode MS" w:hAnsi="Arial" w:cs="Arial"/>
                <w:noProof/>
                <w:sz w:val="24"/>
                <w:szCs w:val="24"/>
              </w:rPr>
              <w:t>4.3.2.</w:t>
            </w:r>
            <w:r w:rsidRPr="00AC26BD">
              <w:rPr>
                <w:rFonts w:ascii="Arial" w:eastAsiaTheme="minorEastAsia" w:hAnsi="Arial" w:cs="Arial"/>
                <w:noProof/>
                <w:sz w:val="24"/>
                <w:szCs w:val="24"/>
                <w:lang w:eastAsia="es-MX"/>
              </w:rPr>
              <w:tab/>
            </w:r>
            <w:r w:rsidRPr="00AC26BD">
              <w:rPr>
                <w:rStyle w:val="Hipervnculo"/>
                <w:rFonts w:ascii="Arial" w:eastAsia="Arial Unicode MS" w:hAnsi="Arial" w:cs="Arial"/>
                <w:noProof/>
                <w:sz w:val="24"/>
                <w:szCs w:val="24"/>
              </w:rPr>
              <w:t>Cartera diversificada aleatoriamente</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_Toc488230515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82</w:t>
            </w:r>
            <w:r w:rsidRPr="00AC26BD">
              <w:rPr>
                <w:rFonts w:ascii="Arial" w:hAnsi="Arial" w:cs="Arial"/>
                <w:noProof/>
                <w:webHidden/>
                <w:sz w:val="24"/>
                <w:szCs w:val="24"/>
              </w:rPr>
              <w:fldChar w:fldCharType="end"/>
            </w:r>
          </w:hyperlink>
        </w:p>
        <w:p w:rsidR="00AC26BD" w:rsidRPr="00AC26BD" w:rsidRDefault="00AC26BD">
          <w:pPr>
            <w:pStyle w:val="TDC2"/>
            <w:tabs>
              <w:tab w:val="left" w:pos="880"/>
              <w:tab w:val="right" w:leader="dot" w:pos="8828"/>
            </w:tabs>
            <w:rPr>
              <w:rFonts w:ascii="Arial" w:eastAsiaTheme="minorEastAsia" w:hAnsi="Arial" w:cs="Arial"/>
              <w:noProof/>
              <w:sz w:val="24"/>
              <w:szCs w:val="24"/>
              <w:lang w:eastAsia="es-MX"/>
            </w:rPr>
          </w:pPr>
          <w:hyperlink w:anchor="_Toc488230516" w:history="1">
            <w:r w:rsidRPr="00AC26BD">
              <w:rPr>
                <w:rStyle w:val="Hipervnculo"/>
                <w:rFonts w:ascii="Arial" w:eastAsia="Arial Unicode MS" w:hAnsi="Arial" w:cs="Arial"/>
                <w:noProof/>
                <w:sz w:val="24"/>
                <w:szCs w:val="24"/>
              </w:rPr>
              <w:t>4.4.</w:t>
            </w:r>
            <w:r w:rsidRPr="00AC26BD">
              <w:rPr>
                <w:rFonts w:ascii="Arial" w:eastAsiaTheme="minorEastAsia" w:hAnsi="Arial" w:cs="Arial"/>
                <w:noProof/>
                <w:sz w:val="24"/>
                <w:szCs w:val="24"/>
                <w:lang w:eastAsia="es-MX"/>
              </w:rPr>
              <w:tab/>
            </w:r>
            <w:r w:rsidRPr="00AC26BD">
              <w:rPr>
                <w:rStyle w:val="Hipervnculo"/>
                <w:rFonts w:ascii="Arial" w:eastAsia="Arial Unicode MS" w:hAnsi="Arial" w:cs="Arial"/>
                <w:noProof/>
                <w:sz w:val="24"/>
                <w:szCs w:val="24"/>
              </w:rPr>
              <w:t>Cálculo del valor en riesgo (VaR)</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_Toc488230516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84</w:t>
            </w:r>
            <w:r w:rsidRPr="00AC26BD">
              <w:rPr>
                <w:rFonts w:ascii="Arial" w:hAnsi="Arial" w:cs="Arial"/>
                <w:noProof/>
                <w:webHidden/>
                <w:sz w:val="24"/>
                <w:szCs w:val="24"/>
              </w:rPr>
              <w:fldChar w:fldCharType="end"/>
            </w:r>
          </w:hyperlink>
        </w:p>
        <w:p w:rsidR="00AC26BD" w:rsidRPr="00AC26BD" w:rsidRDefault="00AC26BD">
          <w:pPr>
            <w:pStyle w:val="TDC3"/>
            <w:tabs>
              <w:tab w:val="left" w:pos="1320"/>
              <w:tab w:val="right" w:leader="dot" w:pos="8828"/>
            </w:tabs>
            <w:rPr>
              <w:rFonts w:ascii="Arial" w:eastAsiaTheme="minorEastAsia" w:hAnsi="Arial" w:cs="Arial"/>
              <w:noProof/>
              <w:sz w:val="24"/>
              <w:szCs w:val="24"/>
              <w:lang w:eastAsia="es-MX"/>
            </w:rPr>
          </w:pPr>
          <w:hyperlink w:anchor="_Toc488230517" w:history="1">
            <w:r w:rsidRPr="00AC26BD">
              <w:rPr>
                <w:rStyle w:val="Hipervnculo"/>
                <w:rFonts w:ascii="Arial" w:eastAsia="Arial Unicode MS" w:hAnsi="Arial" w:cs="Arial"/>
                <w:noProof/>
                <w:sz w:val="24"/>
                <w:szCs w:val="24"/>
              </w:rPr>
              <w:t>4.4.1.</w:t>
            </w:r>
            <w:r w:rsidRPr="00AC26BD">
              <w:rPr>
                <w:rFonts w:ascii="Arial" w:eastAsiaTheme="minorEastAsia" w:hAnsi="Arial" w:cs="Arial"/>
                <w:noProof/>
                <w:sz w:val="24"/>
                <w:szCs w:val="24"/>
                <w:lang w:eastAsia="es-MX"/>
              </w:rPr>
              <w:tab/>
            </w:r>
            <w:r w:rsidRPr="00AC26BD">
              <w:rPr>
                <w:rStyle w:val="Hipervnculo"/>
                <w:rFonts w:ascii="Arial" w:eastAsia="Arial Unicode MS" w:hAnsi="Arial" w:cs="Arial"/>
                <w:noProof/>
                <w:sz w:val="24"/>
                <w:szCs w:val="24"/>
              </w:rPr>
              <w:t>Cartera diversificada científicamente</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_Toc488230517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85</w:t>
            </w:r>
            <w:r w:rsidRPr="00AC26BD">
              <w:rPr>
                <w:rFonts w:ascii="Arial" w:hAnsi="Arial" w:cs="Arial"/>
                <w:noProof/>
                <w:webHidden/>
                <w:sz w:val="24"/>
                <w:szCs w:val="24"/>
              </w:rPr>
              <w:fldChar w:fldCharType="end"/>
            </w:r>
          </w:hyperlink>
        </w:p>
        <w:p w:rsidR="00AC26BD" w:rsidRPr="00AC26BD" w:rsidRDefault="00AC26BD">
          <w:pPr>
            <w:pStyle w:val="TDC3"/>
            <w:tabs>
              <w:tab w:val="left" w:pos="1320"/>
              <w:tab w:val="right" w:leader="dot" w:pos="8828"/>
            </w:tabs>
            <w:rPr>
              <w:rFonts w:ascii="Arial" w:eastAsiaTheme="minorEastAsia" w:hAnsi="Arial" w:cs="Arial"/>
              <w:noProof/>
              <w:sz w:val="24"/>
              <w:szCs w:val="24"/>
              <w:lang w:eastAsia="es-MX"/>
            </w:rPr>
          </w:pPr>
          <w:hyperlink w:anchor="_Toc488230518" w:history="1">
            <w:r w:rsidRPr="00AC26BD">
              <w:rPr>
                <w:rStyle w:val="Hipervnculo"/>
                <w:rFonts w:ascii="Arial" w:eastAsia="Arial Unicode MS" w:hAnsi="Arial" w:cs="Arial"/>
                <w:noProof/>
                <w:sz w:val="24"/>
                <w:szCs w:val="24"/>
              </w:rPr>
              <w:t>4.4.2.</w:t>
            </w:r>
            <w:r w:rsidRPr="00AC26BD">
              <w:rPr>
                <w:rFonts w:ascii="Arial" w:eastAsiaTheme="minorEastAsia" w:hAnsi="Arial" w:cs="Arial"/>
                <w:noProof/>
                <w:sz w:val="24"/>
                <w:szCs w:val="24"/>
                <w:lang w:eastAsia="es-MX"/>
              </w:rPr>
              <w:tab/>
            </w:r>
            <w:r w:rsidRPr="00AC26BD">
              <w:rPr>
                <w:rStyle w:val="Hipervnculo"/>
                <w:rFonts w:ascii="Arial" w:eastAsia="Arial Unicode MS" w:hAnsi="Arial" w:cs="Arial"/>
                <w:noProof/>
                <w:sz w:val="24"/>
                <w:szCs w:val="24"/>
              </w:rPr>
              <w:t>Cartera diversificada aleatoriamente</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_Toc488230518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86</w:t>
            </w:r>
            <w:r w:rsidRPr="00AC26BD">
              <w:rPr>
                <w:rFonts w:ascii="Arial" w:hAnsi="Arial" w:cs="Arial"/>
                <w:noProof/>
                <w:webHidden/>
                <w:sz w:val="24"/>
                <w:szCs w:val="24"/>
              </w:rPr>
              <w:fldChar w:fldCharType="end"/>
            </w:r>
          </w:hyperlink>
        </w:p>
        <w:p w:rsidR="00AC26BD" w:rsidRPr="00AC26BD" w:rsidRDefault="00AC26BD">
          <w:pPr>
            <w:pStyle w:val="TDC2"/>
            <w:tabs>
              <w:tab w:val="left" w:pos="880"/>
              <w:tab w:val="right" w:leader="dot" w:pos="8828"/>
            </w:tabs>
            <w:rPr>
              <w:rFonts w:ascii="Arial" w:eastAsiaTheme="minorEastAsia" w:hAnsi="Arial" w:cs="Arial"/>
              <w:noProof/>
              <w:sz w:val="24"/>
              <w:szCs w:val="24"/>
              <w:lang w:eastAsia="es-MX"/>
            </w:rPr>
          </w:pPr>
          <w:hyperlink w:anchor="_Toc488230519" w:history="1">
            <w:r w:rsidRPr="00AC26BD">
              <w:rPr>
                <w:rStyle w:val="Hipervnculo"/>
                <w:rFonts w:ascii="Arial" w:eastAsia="Arial Unicode MS" w:hAnsi="Arial" w:cs="Arial"/>
                <w:noProof/>
                <w:sz w:val="24"/>
                <w:szCs w:val="24"/>
              </w:rPr>
              <w:t>4.5.</w:t>
            </w:r>
            <w:r w:rsidRPr="00AC26BD">
              <w:rPr>
                <w:rFonts w:ascii="Arial" w:eastAsiaTheme="minorEastAsia" w:hAnsi="Arial" w:cs="Arial"/>
                <w:noProof/>
                <w:sz w:val="24"/>
                <w:szCs w:val="24"/>
                <w:lang w:eastAsia="es-MX"/>
              </w:rPr>
              <w:tab/>
            </w:r>
            <w:r w:rsidRPr="00AC26BD">
              <w:rPr>
                <w:rStyle w:val="Hipervnculo"/>
                <w:rFonts w:ascii="Arial" w:eastAsia="Arial Unicode MS" w:hAnsi="Arial" w:cs="Arial"/>
                <w:noProof/>
                <w:sz w:val="24"/>
                <w:szCs w:val="24"/>
              </w:rPr>
              <w:t>Análisis de resultados</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_Toc488230519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86</w:t>
            </w:r>
            <w:r w:rsidRPr="00AC26BD">
              <w:rPr>
                <w:rFonts w:ascii="Arial" w:hAnsi="Arial" w:cs="Arial"/>
                <w:noProof/>
                <w:webHidden/>
                <w:sz w:val="24"/>
                <w:szCs w:val="24"/>
              </w:rPr>
              <w:fldChar w:fldCharType="end"/>
            </w:r>
          </w:hyperlink>
        </w:p>
        <w:p w:rsidR="00AC26BD" w:rsidRPr="00AC26BD" w:rsidRDefault="00AC26BD">
          <w:pPr>
            <w:pStyle w:val="TDC1"/>
            <w:tabs>
              <w:tab w:val="right" w:leader="dot" w:pos="8828"/>
            </w:tabs>
            <w:rPr>
              <w:rFonts w:ascii="Arial" w:eastAsiaTheme="minorEastAsia" w:hAnsi="Arial" w:cs="Arial"/>
              <w:noProof/>
              <w:sz w:val="24"/>
              <w:szCs w:val="24"/>
              <w:lang w:eastAsia="es-MX"/>
            </w:rPr>
          </w:pPr>
          <w:hyperlink w:anchor="_Toc488230520" w:history="1">
            <w:r w:rsidRPr="00AC26BD">
              <w:rPr>
                <w:rStyle w:val="Hipervnculo"/>
                <w:rFonts w:ascii="Arial" w:eastAsia="Arial Unicode MS" w:hAnsi="Arial" w:cs="Arial"/>
                <w:noProof/>
                <w:sz w:val="24"/>
                <w:szCs w:val="24"/>
              </w:rPr>
              <w:t>Conclusiones</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_Toc488230520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88</w:t>
            </w:r>
            <w:r w:rsidRPr="00AC26BD">
              <w:rPr>
                <w:rFonts w:ascii="Arial" w:hAnsi="Arial" w:cs="Arial"/>
                <w:noProof/>
                <w:webHidden/>
                <w:sz w:val="24"/>
                <w:szCs w:val="24"/>
              </w:rPr>
              <w:fldChar w:fldCharType="end"/>
            </w:r>
          </w:hyperlink>
        </w:p>
        <w:p w:rsidR="00AC26BD" w:rsidRPr="00AC26BD" w:rsidRDefault="00AC26BD">
          <w:pPr>
            <w:pStyle w:val="TDC1"/>
            <w:tabs>
              <w:tab w:val="right" w:leader="dot" w:pos="8828"/>
            </w:tabs>
            <w:rPr>
              <w:rFonts w:ascii="Arial" w:eastAsiaTheme="minorEastAsia" w:hAnsi="Arial" w:cs="Arial"/>
              <w:noProof/>
              <w:sz w:val="24"/>
              <w:szCs w:val="24"/>
              <w:lang w:eastAsia="es-MX"/>
            </w:rPr>
          </w:pPr>
          <w:hyperlink w:anchor="_Toc488230521" w:history="1">
            <w:r w:rsidRPr="00AC26BD">
              <w:rPr>
                <w:rStyle w:val="Hipervnculo"/>
                <w:rFonts w:ascii="Arial" w:eastAsia="Arial Unicode MS" w:hAnsi="Arial" w:cs="Arial"/>
                <w:noProof/>
                <w:sz w:val="24"/>
                <w:szCs w:val="24"/>
              </w:rPr>
              <w:t>Bibliografía</w:t>
            </w:r>
            <w:r w:rsidRPr="00AC26BD">
              <w:rPr>
                <w:rFonts w:ascii="Arial" w:hAnsi="Arial" w:cs="Arial"/>
                <w:noProof/>
                <w:webHidden/>
                <w:sz w:val="24"/>
                <w:szCs w:val="24"/>
              </w:rPr>
              <w:tab/>
            </w:r>
            <w:r w:rsidRPr="00AC26BD">
              <w:rPr>
                <w:rFonts w:ascii="Arial" w:hAnsi="Arial" w:cs="Arial"/>
                <w:noProof/>
                <w:webHidden/>
                <w:sz w:val="24"/>
                <w:szCs w:val="24"/>
              </w:rPr>
              <w:fldChar w:fldCharType="begin"/>
            </w:r>
            <w:r w:rsidRPr="00AC26BD">
              <w:rPr>
                <w:rFonts w:ascii="Arial" w:hAnsi="Arial" w:cs="Arial"/>
                <w:noProof/>
                <w:webHidden/>
                <w:sz w:val="24"/>
                <w:szCs w:val="24"/>
              </w:rPr>
              <w:instrText xml:space="preserve"> PAGEREF _Toc488230521 \h </w:instrText>
            </w:r>
            <w:r w:rsidRPr="00AC26BD">
              <w:rPr>
                <w:rFonts w:ascii="Arial" w:hAnsi="Arial" w:cs="Arial"/>
                <w:noProof/>
                <w:webHidden/>
                <w:sz w:val="24"/>
                <w:szCs w:val="24"/>
              </w:rPr>
            </w:r>
            <w:r w:rsidRPr="00AC26BD">
              <w:rPr>
                <w:rFonts w:ascii="Arial" w:hAnsi="Arial" w:cs="Arial"/>
                <w:noProof/>
                <w:webHidden/>
                <w:sz w:val="24"/>
                <w:szCs w:val="24"/>
              </w:rPr>
              <w:fldChar w:fldCharType="separate"/>
            </w:r>
            <w:r w:rsidRPr="00AC26BD">
              <w:rPr>
                <w:rFonts w:ascii="Arial" w:hAnsi="Arial" w:cs="Arial"/>
                <w:noProof/>
                <w:webHidden/>
                <w:sz w:val="24"/>
                <w:szCs w:val="24"/>
              </w:rPr>
              <w:t>91</w:t>
            </w:r>
            <w:r w:rsidRPr="00AC26BD">
              <w:rPr>
                <w:rFonts w:ascii="Arial" w:hAnsi="Arial" w:cs="Arial"/>
                <w:noProof/>
                <w:webHidden/>
                <w:sz w:val="24"/>
                <w:szCs w:val="24"/>
              </w:rPr>
              <w:fldChar w:fldCharType="end"/>
            </w:r>
          </w:hyperlink>
        </w:p>
        <w:p w:rsidR="002075E2" w:rsidRPr="006E7044" w:rsidRDefault="002075E2" w:rsidP="00645880">
          <w:pPr>
            <w:spacing w:before="120" w:after="120" w:line="240" w:lineRule="auto"/>
            <w:rPr>
              <w:rFonts w:ascii="Arial" w:eastAsia="Arial Unicode MS" w:hAnsi="Arial" w:cs="Arial"/>
              <w:sz w:val="24"/>
              <w:szCs w:val="24"/>
              <w:lang w:val="es-ES"/>
            </w:rPr>
          </w:pPr>
          <w:r w:rsidRPr="00AC26BD">
            <w:rPr>
              <w:rFonts w:ascii="Arial" w:eastAsia="Arial Unicode MS" w:hAnsi="Arial" w:cs="Arial"/>
              <w:b/>
              <w:bCs/>
              <w:sz w:val="24"/>
              <w:szCs w:val="24"/>
              <w:lang w:val="es-ES"/>
            </w:rPr>
            <w:fldChar w:fldCharType="end"/>
          </w:r>
        </w:p>
      </w:sdtContent>
    </w:sdt>
    <w:p w:rsidR="00EF51CC" w:rsidRPr="006E7044" w:rsidRDefault="00EF51CC" w:rsidP="00645880">
      <w:pPr>
        <w:spacing w:before="100" w:beforeAutospacing="1" w:after="100" w:afterAutospacing="1"/>
        <w:rPr>
          <w:rFonts w:ascii="Arial" w:eastAsia="Arial Unicode MS" w:hAnsi="Arial" w:cs="Arial"/>
          <w:sz w:val="24"/>
          <w:szCs w:val="24"/>
          <w:lang w:val="es-ES"/>
        </w:rPr>
      </w:pPr>
    </w:p>
    <w:p w:rsidR="00EC5055" w:rsidRPr="006E7044" w:rsidRDefault="00EC5055" w:rsidP="00645880">
      <w:pPr>
        <w:spacing w:before="100" w:beforeAutospacing="1" w:after="100" w:afterAutospacing="1"/>
        <w:rPr>
          <w:rFonts w:ascii="Arial" w:eastAsia="Arial Unicode MS" w:hAnsi="Arial" w:cs="Arial"/>
          <w:sz w:val="24"/>
          <w:szCs w:val="24"/>
          <w:lang w:val="es-ES"/>
        </w:rPr>
      </w:pPr>
    </w:p>
    <w:p w:rsidR="00EC5055" w:rsidRPr="006E7044" w:rsidRDefault="00EC5055" w:rsidP="00645880">
      <w:pPr>
        <w:spacing w:before="100" w:beforeAutospacing="1" w:after="100" w:afterAutospacing="1"/>
        <w:rPr>
          <w:rFonts w:ascii="Arial" w:eastAsia="Arial Unicode MS" w:hAnsi="Arial" w:cs="Arial"/>
          <w:sz w:val="24"/>
          <w:szCs w:val="24"/>
          <w:lang w:val="es-ES"/>
        </w:rPr>
      </w:pPr>
    </w:p>
    <w:p w:rsidR="00EC5055" w:rsidRPr="006E7044" w:rsidRDefault="00EC5055" w:rsidP="00645880">
      <w:pPr>
        <w:spacing w:before="100" w:beforeAutospacing="1" w:after="100" w:afterAutospacing="1"/>
        <w:rPr>
          <w:rFonts w:ascii="Arial" w:eastAsia="Arial Unicode MS" w:hAnsi="Arial" w:cs="Arial"/>
          <w:sz w:val="24"/>
          <w:szCs w:val="24"/>
          <w:lang w:val="es-ES"/>
        </w:rPr>
      </w:pPr>
    </w:p>
    <w:p w:rsidR="00EC5055" w:rsidRPr="006E7044" w:rsidRDefault="00EC5055" w:rsidP="00645880">
      <w:pPr>
        <w:spacing w:before="100" w:beforeAutospacing="1" w:after="100" w:afterAutospacing="1"/>
        <w:rPr>
          <w:rFonts w:ascii="Arial" w:eastAsia="Arial Unicode MS" w:hAnsi="Arial" w:cs="Arial"/>
          <w:sz w:val="24"/>
          <w:szCs w:val="24"/>
          <w:lang w:val="es-ES"/>
        </w:rPr>
      </w:pPr>
    </w:p>
    <w:p w:rsidR="00EC5055" w:rsidRPr="006E7044" w:rsidRDefault="00EC5055" w:rsidP="00AC26BD">
      <w:pPr>
        <w:rPr>
          <w:lang w:val="es-ES"/>
        </w:rPr>
      </w:pPr>
    </w:p>
    <w:p w:rsidR="00AC26BD" w:rsidRDefault="00AC26BD" w:rsidP="00AC26BD">
      <w:bookmarkStart w:id="0" w:name="_Toc488230477"/>
    </w:p>
    <w:p w:rsidR="00AC26BD" w:rsidRDefault="00AC26BD" w:rsidP="00AC26BD"/>
    <w:p w:rsidR="009C7A79" w:rsidRPr="00670830" w:rsidRDefault="00CC2EC0" w:rsidP="00670830">
      <w:pPr>
        <w:pStyle w:val="Ttulo1"/>
        <w:spacing w:before="100" w:beforeAutospacing="1" w:after="100" w:afterAutospacing="1" w:line="360" w:lineRule="auto"/>
        <w:jc w:val="center"/>
        <w:rPr>
          <w:rFonts w:ascii="Arial" w:eastAsia="Arial Unicode MS" w:hAnsi="Arial" w:cs="Arial"/>
          <w:color w:val="auto"/>
          <w:sz w:val="24"/>
          <w:szCs w:val="24"/>
        </w:rPr>
      </w:pPr>
      <w:r w:rsidRPr="00670830">
        <w:rPr>
          <w:rFonts w:ascii="Arial" w:eastAsia="Arial Unicode MS" w:hAnsi="Arial" w:cs="Arial"/>
          <w:color w:val="auto"/>
          <w:sz w:val="24"/>
          <w:szCs w:val="24"/>
        </w:rPr>
        <w:t>Introducción</w:t>
      </w:r>
      <w:bookmarkEnd w:id="0"/>
    </w:p>
    <w:p w:rsidR="00EC5055" w:rsidRPr="00670830" w:rsidRDefault="00EF51C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Sin duda, la pala</w:t>
      </w:r>
      <w:r w:rsidR="00676B3D" w:rsidRPr="00670830">
        <w:rPr>
          <w:rFonts w:ascii="Arial" w:eastAsia="Arial Unicode MS" w:hAnsi="Arial" w:cs="Arial"/>
          <w:sz w:val="24"/>
          <w:szCs w:val="24"/>
        </w:rPr>
        <w:t>bra de las últimas décadas es</w:t>
      </w:r>
      <w:r w:rsidRPr="00670830">
        <w:rPr>
          <w:rFonts w:ascii="Arial" w:eastAsia="Arial Unicode MS" w:hAnsi="Arial" w:cs="Arial"/>
          <w:sz w:val="24"/>
          <w:szCs w:val="24"/>
        </w:rPr>
        <w:t xml:space="preserve"> “Globalización”</w:t>
      </w:r>
      <w:r w:rsidR="00EC5055" w:rsidRPr="00670830">
        <w:rPr>
          <w:rFonts w:ascii="Arial" w:eastAsia="Arial Unicode MS" w:hAnsi="Arial" w:cs="Arial"/>
          <w:sz w:val="24"/>
          <w:szCs w:val="24"/>
        </w:rPr>
        <w:t>, la cual podemos definir como un fenómeno que ha acercado a los países del mundo a través del intercambio de bienes, productos, información y conocimientos. Este fenómeno se ha visto acelerado de una manera sin precedentes dados los avances gigantes en tecnología y las comunicaciones.</w:t>
      </w:r>
    </w:p>
    <w:p w:rsidR="009A54B7" w:rsidRPr="00670830" w:rsidRDefault="00EC5055"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 L</w:t>
      </w:r>
      <w:r w:rsidR="00EF51CC" w:rsidRPr="00670830">
        <w:rPr>
          <w:rFonts w:ascii="Arial" w:eastAsia="Arial Unicode MS" w:hAnsi="Arial" w:cs="Arial"/>
          <w:sz w:val="24"/>
          <w:szCs w:val="24"/>
        </w:rPr>
        <w:t xml:space="preserve">os Mercados Financieros son </w:t>
      </w:r>
      <w:r w:rsidR="0095419C" w:rsidRPr="00670830">
        <w:rPr>
          <w:rFonts w:ascii="Arial" w:eastAsia="Arial Unicode MS" w:hAnsi="Arial" w:cs="Arial"/>
          <w:sz w:val="24"/>
          <w:szCs w:val="24"/>
        </w:rPr>
        <w:t xml:space="preserve">uno de </w:t>
      </w:r>
      <w:r w:rsidR="00EF51CC" w:rsidRPr="00670830">
        <w:rPr>
          <w:rFonts w:ascii="Arial" w:eastAsia="Arial Unicode MS" w:hAnsi="Arial" w:cs="Arial"/>
          <w:sz w:val="24"/>
          <w:szCs w:val="24"/>
        </w:rPr>
        <w:t xml:space="preserve">los principales precursores de la </w:t>
      </w:r>
      <w:r w:rsidRPr="00670830">
        <w:rPr>
          <w:rFonts w:ascii="Arial" w:eastAsia="Arial Unicode MS" w:hAnsi="Arial" w:cs="Arial"/>
          <w:sz w:val="24"/>
          <w:szCs w:val="24"/>
        </w:rPr>
        <w:t>globalización</w:t>
      </w:r>
      <w:r w:rsidR="00EF51CC" w:rsidRPr="00670830">
        <w:rPr>
          <w:rFonts w:ascii="Arial" w:eastAsia="Arial Unicode MS" w:hAnsi="Arial" w:cs="Arial"/>
          <w:sz w:val="24"/>
          <w:szCs w:val="24"/>
        </w:rPr>
        <w:t>. El auge que han tomado es</w:t>
      </w:r>
      <w:r w:rsidR="0095419C" w:rsidRPr="00670830">
        <w:rPr>
          <w:rFonts w:ascii="Arial" w:eastAsia="Arial Unicode MS" w:hAnsi="Arial" w:cs="Arial"/>
          <w:sz w:val="24"/>
          <w:szCs w:val="24"/>
        </w:rPr>
        <w:t>tos mercados, ha sido</w:t>
      </w:r>
      <w:r w:rsidR="0019055F" w:rsidRPr="00670830">
        <w:rPr>
          <w:rFonts w:ascii="Arial" w:eastAsia="Arial Unicode MS" w:hAnsi="Arial" w:cs="Arial"/>
          <w:sz w:val="24"/>
          <w:szCs w:val="24"/>
        </w:rPr>
        <w:t xml:space="preserve"> un</w:t>
      </w:r>
      <w:r w:rsidR="0095419C" w:rsidRPr="00670830">
        <w:rPr>
          <w:rFonts w:ascii="Arial" w:eastAsia="Arial Unicode MS" w:hAnsi="Arial" w:cs="Arial"/>
          <w:sz w:val="24"/>
          <w:szCs w:val="24"/>
        </w:rPr>
        <w:t xml:space="preserve"> detonante</w:t>
      </w:r>
      <w:r w:rsidR="00EF51CC" w:rsidRPr="00670830">
        <w:rPr>
          <w:rFonts w:ascii="Arial" w:eastAsia="Arial Unicode MS" w:hAnsi="Arial" w:cs="Arial"/>
          <w:sz w:val="24"/>
          <w:szCs w:val="24"/>
        </w:rPr>
        <w:t xml:space="preserve"> para las economías a nivel mundial, el volumen de los activos de los mercados financieros supera por mucho el comercio de casi cualquier país.</w:t>
      </w:r>
      <w:r w:rsidR="006D088C" w:rsidRPr="00670830">
        <w:rPr>
          <w:rFonts w:ascii="Arial" w:eastAsia="Arial Unicode MS" w:hAnsi="Arial" w:cs="Arial"/>
          <w:sz w:val="24"/>
          <w:szCs w:val="24"/>
        </w:rPr>
        <w:t xml:space="preserve"> </w:t>
      </w:r>
    </w:p>
    <w:p w:rsidR="00EF51CC" w:rsidRPr="00670830" w:rsidRDefault="00EF51C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Si bien la globalización de los mercado</w:t>
      </w:r>
      <w:r w:rsidR="0019055F" w:rsidRPr="00670830">
        <w:rPr>
          <w:rFonts w:ascii="Arial" w:eastAsia="Arial Unicode MS" w:hAnsi="Arial" w:cs="Arial"/>
          <w:sz w:val="24"/>
          <w:szCs w:val="24"/>
        </w:rPr>
        <w:t>s financieros</w:t>
      </w:r>
      <w:r w:rsidRPr="00670830">
        <w:rPr>
          <w:rFonts w:ascii="Arial" w:eastAsia="Arial Unicode MS" w:hAnsi="Arial" w:cs="Arial"/>
          <w:sz w:val="24"/>
          <w:szCs w:val="24"/>
        </w:rPr>
        <w:t xml:space="preserve"> se le puede adjudicar a muchos factores, la desregulación de los mercados, el rompimiento de las barreras comerciales y el fluj</w:t>
      </w:r>
      <w:r w:rsidR="0019055F" w:rsidRPr="00670830">
        <w:rPr>
          <w:rFonts w:ascii="Arial" w:eastAsia="Arial Unicode MS" w:hAnsi="Arial" w:cs="Arial"/>
          <w:sz w:val="24"/>
          <w:szCs w:val="24"/>
        </w:rPr>
        <w:t>o libre de efectivo y capitales</w:t>
      </w:r>
      <w:r w:rsidRPr="00670830">
        <w:rPr>
          <w:rFonts w:ascii="Arial" w:eastAsia="Arial Unicode MS" w:hAnsi="Arial" w:cs="Arial"/>
          <w:sz w:val="24"/>
          <w:szCs w:val="24"/>
        </w:rPr>
        <w:t xml:space="preserve"> y s</w:t>
      </w:r>
      <w:r w:rsidR="0019055F" w:rsidRPr="00670830">
        <w:rPr>
          <w:rFonts w:ascii="Arial" w:eastAsia="Arial Unicode MS" w:hAnsi="Arial" w:cs="Arial"/>
          <w:sz w:val="24"/>
          <w:szCs w:val="24"/>
        </w:rPr>
        <w:t>obre todo el avance tecnológico</w:t>
      </w:r>
      <w:r w:rsidRPr="00670830">
        <w:rPr>
          <w:rFonts w:ascii="Arial" w:eastAsia="Arial Unicode MS" w:hAnsi="Arial" w:cs="Arial"/>
          <w:sz w:val="24"/>
          <w:szCs w:val="24"/>
        </w:rPr>
        <w:t xml:space="preserve"> han pe</w:t>
      </w:r>
      <w:r w:rsidR="0095419C" w:rsidRPr="00670830">
        <w:rPr>
          <w:rFonts w:ascii="Arial" w:eastAsia="Arial Unicode MS" w:hAnsi="Arial" w:cs="Arial"/>
          <w:sz w:val="24"/>
          <w:szCs w:val="24"/>
        </w:rPr>
        <w:t>rmitido el crecimiento</w:t>
      </w:r>
      <w:r w:rsidRPr="00670830">
        <w:rPr>
          <w:rFonts w:ascii="Arial" w:eastAsia="Arial Unicode MS" w:hAnsi="Arial" w:cs="Arial"/>
          <w:sz w:val="24"/>
          <w:szCs w:val="24"/>
        </w:rPr>
        <w:t xml:space="preserve"> de los mercados. La institu</w:t>
      </w:r>
      <w:r w:rsidR="0095419C" w:rsidRPr="00670830">
        <w:rPr>
          <w:rFonts w:ascii="Arial" w:eastAsia="Arial Unicode MS" w:hAnsi="Arial" w:cs="Arial"/>
          <w:sz w:val="24"/>
          <w:szCs w:val="24"/>
        </w:rPr>
        <w:t>cionalización de los mismos, ha</w:t>
      </w:r>
      <w:r w:rsidRPr="00670830">
        <w:rPr>
          <w:rFonts w:ascii="Arial" w:eastAsia="Arial Unicode MS" w:hAnsi="Arial" w:cs="Arial"/>
          <w:sz w:val="24"/>
          <w:szCs w:val="24"/>
        </w:rPr>
        <w:t xml:space="preserve"> dejado a un lado a los inversionistas individuales para abrirle paso a los fondos de pensiones, compañías aseguradoras y grandes fondos comunes, todos en búsqueda de un mayor rendimiento a costa del menor riesgo posible.</w:t>
      </w:r>
    </w:p>
    <w:p w:rsidR="00EF51CC" w:rsidRPr="00670830" w:rsidRDefault="00EF51C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abanico de posibilidades que ofrece un mercado globalizado, incrementa desmesuradamente las opciones de inversión para los inversionistas y exige a las entidades reguladoras, mercados cada vez más establecidos así como un mayor “</w:t>
      </w:r>
      <w:proofErr w:type="spellStart"/>
      <w:r w:rsidRPr="00670830">
        <w:rPr>
          <w:rFonts w:ascii="Arial" w:eastAsia="Arial Unicode MS" w:hAnsi="Arial" w:cs="Arial"/>
          <w:sz w:val="24"/>
          <w:szCs w:val="24"/>
        </w:rPr>
        <w:t>expertise</w:t>
      </w:r>
      <w:proofErr w:type="spellEnd"/>
      <w:r w:rsidRPr="00670830">
        <w:rPr>
          <w:rFonts w:ascii="Arial" w:eastAsia="Arial Unicode MS" w:hAnsi="Arial" w:cs="Arial"/>
          <w:sz w:val="24"/>
          <w:szCs w:val="24"/>
        </w:rPr>
        <w:t>” por p</w:t>
      </w:r>
      <w:r w:rsidR="00E93065" w:rsidRPr="00670830">
        <w:rPr>
          <w:rFonts w:ascii="Arial" w:eastAsia="Arial Unicode MS" w:hAnsi="Arial" w:cs="Arial"/>
          <w:sz w:val="24"/>
          <w:szCs w:val="24"/>
        </w:rPr>
        <w:t>arte de los usuarios</w:t>
      </w:r>
      <w:r w:rsidRPr="00670830">
        <w:rPr>
          <w:rFonts w:ascii="Arial" w:eastAsia="Arial Unicode MS" w:hAnsi="Arial" w:cs="Arial"/>
          <w:sz w:val="24"/>
          <w:szCs w:val="24"/>
        </w:rPr>
        <w:t>.</w:t>
      </w:r>
    </w:p>
    <w:p w:rsidR="00EF51CC" w:rsidRPr="00670830" w:rsidRDefault="00EF51C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Junto con el crecimiento de los mercados, las operaciones de inversión exigen cada vez una mayor atención en el rendimiento que ofrecen al inversionista y al riesgo al que este será expuesto, por lo que la administración de riesgos, ha despertado un creciente interés para los involucrados en las operaciones.</w:t>
      </w:r>
    </w:p>
    <w:p w:rsidR="00203954" w:rsidRPr="00670830" w:rsidRDefault="00EF51C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identificación y evaluación de los riesgos permite a las instituciones e inversionistas, darles un mejor control sobre situaciones adversas y la información necesaria para poder anticiparse a ellas, lo que resulta en una ventaja en el resultado de las operaciones, es decir, tener una mejor relación riesgo – rendimiento en sus inversiones.</w:t>
      </w:r>
      <w:r w:rsidR="00203954" w:rsidRPr="00670830">
        <w:rPr>
          <w:rFonts w:ascii="Arial" w:eastAsia="Arial Unicode MS" w:hAnsi="Arial" w:cs="Arial"/>
          <w:sz w:val="24"/>
          <w:szCs w:val="24"/>
        </w:rPr>
        <w:t xml:space="preserve"> </w:t>
      </w:r>
    </w:p>
    <w:p w:rsidR="00212F2A" w:rsidRPr="00670830" w:rsidRDefault="0020395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tema de la Administración de Riesgos se ha vuelto un t</w:t>
      </w:r>
      <w:r w:rsidR="00822A0A" w:rsidRPr="00670830">
        <w:rPr>
          <w:rFonts w:ascii="Arial" w:eastAsia="Arial Unicode MS" w:hAnsi="Arial" w:cs="Arial"/>
          <w:sz w:val="24"/>
          <w:szCs w:val="24"/>
        </w:rPr>
        <w:t xml:space="preserve">ema fundamental en </w:t>
      </w:r>
      <w:r w:rsidR="00B71FF8" w:rsidRPr="00670830">
        <w:rPr>
          <w:rFonts w:ascii="Arial" w:eastAsia="Arial Unicode MS" w:hAnsi="Arial" w:cs="Arial"/>
          <w:sz w:val="24"/>
          <w:szCs w:val="24"/>
        </w:rPr>
        <w:t xml:space="preserve">el funcionamiento </w:t>
      </w:r>
      <w:r w:rsidR="00822A0A" w:rsidRPr="00670830">
        <w:rPr>
          <w:rFonts w:ascii="Arial" w:eastAsia="Arial Unicode MS" w:hAnsi="Arial" w:cs="Arial"/>
          <w:sz w:val="24"/>
          <w:szCs w:val="24"/>
        </w:rPr>
        <w:t xml:space="preserve">de cualquier institución, una correcta toma de decisiones conlleva el poder contar con la mayor </w:t>
      </w:r>
      <w:r w:rsidR="00212F2A" w:rsidRPr="00670830">
        <w:rPr>
          <w:rFonts w:ascii="Arial" w:eastAsia="Arial Unicode MS" w:hAnsi="Arial" w:cs="Arial"/>
          <w:sz w:val="24"/>
          <w:szCs w:val="24"/>
        </w:rPr>
        <w:t xml:space="preserve">cantidad de </w:t>
      </w:r>
      <w:r w:rsidR="00822A0A" w:rsidRPr="00670830">
        <w:rPr>
          <w:rFonts w:ascii="Arial" w:eastAsia="Arial Unicode MS" w:hAnsi="Arial" w:cs="Arial"/>
          <w:sz w:val="24"/>
          <w:szCs w:val="24"/>
        </w:rPr>
        <w:t xml:space="preserve">información </w:t>
      </w:r>
      <w:r w:rsidR="00212F2A" w:rsidRPr="00670830">
        <w:rPr>
          <w:rFonts w:ascii="Arial" w:eastAsia="Arial Unicode MS" w:hAnsi="Arial" w:cs="Arial"/>
          <w:sz w:val="24"/>
          <w:szCs w:val="24"/>
        </w:rPr>
        <w:t>relevante y oportuna.</w:t>
      </w:r>
    </w:p>
    <w:p w:rsidR="00212F2A" w:rsidRPr="00670830" w:rsidRDefault="00212F2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riesgo de mercado</w:t>
      </w:r>
      <w:r w:rsidR="00F97A2B" w:rsidRPr="00670830">
        <w:rPr>
          <w:rFonts w:ascii="Arial" w:eastAsia="Arial Unicode MS" w:hAnsi="Arial" w:cs="Arial"/>
          <w:sz w:val="24"/>
          <w:szCs w:val="24"/>
        </w:rPr>
        <w:t>, es uno de los tipos de riesgo</w:t>
      </w:r>
      <w:r w:rsidRPr="00670830">
        <w:rPr>
          <w:rFonts w:ascii="Arial" w:eastAsia="Arial Unicode MS" w:hAnsi="Arial" w:cs="Arial"/>
          <w:sz w:val="24"/>
          <w:szCs w:val="24"/>
        </w:rPr>
        <w:t xml:space="preserve"> con mayor avance en su estudio, existen</w:t>
      </w:r>
      <w:r w:rsidR="00A443F3" w:rsidRPr="00670830">
        <w:rPr>
          <w:rFonts w:ascii="Arial" w:eastAsia="Arial Unicode MS" w:hAnsi="Arial" w:cs="Arial"/>
          <w:sz w:val="24"/>
          <w:szCs w:val="24"/>
        </w:rPr>
        <w:t xml:space="preserve"> en la actualidad, distintas </w:t>
      </w:r>
      <w:r w:rsidR="00F97A2B" w:rsidRPr="00670830">
        <w:rPr>
          <w:rFonts w:ascii="Arial" w:eastAsia="Arial Unicode MS" w:hAnsi="Arial" w:cs="Arial"/>
          <w:sz w:val="24"/>
          <w:szCs w:val="24"/>
        </w:rPr>
        <w:t>metodologías que proveen una</w:t>
      </w:r>
      <w:r w:rsidR="00A443F3" w:rsidRPr="00670830">
        <w:rPr>
          <w:rFonts w:ascii="Arial" w:eastAsia="Arial Unicode MS" w:hAnsi="Arial" w:cs="Arial"/>
          <w:sz w:val="24"/>
          <w:szCs w:val="24"/>
        </w:rPr>
        <w:t xml:space="preserve"> medida muy acertada y resumida del riesgo de mercado.</w:t>
      </w:r>
      <w:r w:rsidR="00822A0A" w:rsidRPr="00670830">
        <w:rPr>
          <w:rFonts w:ascii="Arial" w:eastAsia="Arial Unicode MS" w:hAnsi="Arial" w:cs="Arial"/>
          <w:sz w:val="24"/>
          <w:szCs w:val="24"/>
        </w:rPr>
        <w:t xml:space="preserve"> </w:t>
      </w:r>
      <w:r w:rsidR="00203954" w:rsidRPr="00670830">
        <w:rPr>
          <w:rFonts w:ascii="Arial" w:eastAsia="Arial Unicode MS" w:hAnsi="Arial" w:cs="Arial"/>
          <w:sz w:val="24"/>
          <w:szCs w:val="24"/>
        </w:rPr>
        <w:t xml:space="preserve"> </w:t>
      </w:r>
      <w:r w:rsidR="00A443F3" w:rsidRPr="00670830">
        <w:rPr>
          <w:rFonts w:ascii="Arial" w:eastAsia="Arial Unicode MS" w:hAnsi="Arial" w:cs="Arial"/>
          <w:sz w:val="24"/>
          <w:szCs w:val="24"/>
        </w:rPr>
        <w:t>Una de las más utilizadas y aceptadas, tanto por organismos reguladores como por instituciones e inversionistas, es el Valor en Riesgo (</w:t>
      </w:r>
      <w:proofErr w:type="spellStart"/>
      <w:r w:rsidR="00A443F3" w:rsidRPr="00670830">
        <w:rPr>
          <w:rFonts w:ascii="Arial" w:eastAsia="Arial Unicode MS" w:hAnsi="Arial" w:cs="Arial"/>
          <w:sz w:val="24"/>
          <w:szCs w:val="24"/>
        </w:rPr>
        <w:t>VaR</w:t>
      </w:r>
      <w:proofErr w:type="spellEnd"/>
      <w:r w:rsidR="00A443F3" w:rsidRPr="00670830">
        <w:rPr>
          <w:rFonts w:ascii="Arial" w:eastAsia="Arial Unicode MS" w:hAnsi="Arial" w:cs="Arial"/>
          <w:sz w:val="24"/>
          <w:szCs w:val="24"/>
        </w:rPr>
        <w:t xml:space="preserve">) propuesta por </w:t>
      </w:r>
      <w:proofErr w:type="spellStart"/>
      <w:r w:rsidR="00A443F3" w:rsidRPr="00670830">
        <w:rPr>
          <w:rFonts w:ascii="Arial" w:eastAsia="Arial Unicode MS" w:hAnsi="Arial" w:cs="Arial"/>
          <w:sz w:val="24"/>
          <w:szCs w:val="24"/>
        </w:rPr>
        <w:t>Phillippe</w:t>
      </w:r>
      <w:proofErr w:type="spellEnd"/>
      <w:r w:rsidR="00A443F3" w:rsidRPr="00670830">
        <w:rPr>
          <w:rFonts w:ascii="Arial" w:eastAsia="Arial Unicode MS" w:hAnsi="Arial" w:cs="Arial"/>
          <w:sz w:val="24"/>
          <w:szCs w:val="24"/>
        </w:rPr>
        <w:t xml:space="preserve"> </w:t>
      </w:r>
      <w:proofErr w:type="spellStart"/>
      <w:r w:rsidR="00A443F3" w:rsidRPr="00670830">
        <w:rPr>
          <w:rFonts w:ascii="Arial" w:eastAsia="Arial Unicode MS" w:hAnsi="Arial" w:cs="Arial"/>
          <w:sz w:val="24"/>
          <w:szCs w:val="24"/>
        </w:rPr>
        <w:t>Jorion</w:t>
      </w:r>
      <w:proofErr w:type="spellEnd"/>
      <w:r w:rsidR="00A443F3" w:rsidRPr="00670830">
        <w:rPr>
          <w:rFonts w:ascii="Arial" w:eastAsia="Arial Unicode MS" w:hAnsi="Arial" w:cs="Arial"/>
          <w:sz w:val="24"/>
          <w:szCs w:val="24"/>
        </w:rPr>
        <w:t>.</w:t>
      </w:r>
    </w:p>
    <w:p w:rsidR="00E97DD5" w:rsidRPr="00670830" w:rsidRDefault="00A443F3"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El cálculo del </w:t>
      </w:r>
      <w:proofErr w:type="spellStart"/>
      <w:r w:rsidRPr="00670830">
        <w:rPr>
          <w:rFonts w:ascii="Arial" w:eastAsia="Arial Unicode MS" w:hAnsi="Arial" w:cs="Arial"/>
          <w:sz w:val="24"/>
          <w:szCs w:val="24"/>
        </w:rPr>
        <w:t>VaR</w:t>
      </w:r>
      <w:proofErr w:type="spellEnd"/>
      <w:r w:rsidRPr="00670830">
        <w:rPr>
          <w:rFonts w:ascii="Arial" w:eastAsia="Arial Unicode MS" w:hAnsi="Arial" w:cs="Arial"/>
          <w:sz w:val="24"/>
          <w:szCs w:val="24"/>
        </w:rPr>
        <w:t xml:space="preserve"> es una técnica estadística la cual intenta dar una idea sobre la pérdida en que se puede incurrir en un cierto periodo de tiempo pero, al ser inciertas las pérdidas y ganancias, es necesario asociar probabilidades a las diferentes pérdidas potenciales</w:t>
      </w:r>
      <w:r w:rsidR="00E97DD5" w:rsidRPr="00670830">
        <w:rPr>
          <w:rFonts w:ascii="Arial" w:eastAsia="Arial Unicode MS" w:hAnsi="Arial" w:cs="Arial"/>
          <w:sz w:val="24"/>
          <w:szCs w:val="24"/>
        </w:rPr>
        <w:t>.</w:t>
      </w:r>
    </w:p>
    <w:p w:rsidR="006C082A" w:rsidRPr="00670830" w:rsidRDefault="00A443F3"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El </w:t>
      </w:r>
      <w:r w:rsidR="005E770C" w:rsidRPr="00670830">
        <w:rPr>
          <w:rFonts w:ascii="Arial" w:eastAsia="Arial Unicode MS" w:hAnsi="Arial" w:cs="Arial"/>
          <w:sz w:val="24"/>
          <w:szCs w:val="24"/>
        </w:rPr>
        <w:t xml:space="preserve">Valor en Riesgo </w:t>
      </w:r>
      <w:r w:rsidRPr="00670830">
        <w:rPr>
          <w:rFonts w:ascii="Arial" w:eastAsia="Arial Unicode MS" w:hAnsi="Arial" w:cs="Arial"/>
          <w:sz w:val="24"/>
          <w:szCs w:val="24"/>
        </w:rPr>
        <w:t>corresponde</w:t>
      </w:r>
      <w:r w:rsidR="00E97DD5" w:rsidRPr="00670830">
        <w:rPr>
          <w:rFonts w:ascii="Arial" w:eastAsia="Arial Unicode MS" w:hAnsi="Arial" w:cs="Arial"/>
          <w:sz w:val="24"/>
          <w:szCs w:val="24"/>
        </w:rPr>
        <w:t>rá</w:t>
      </w:r>
      <w:r w:rsidR="00A244AD" w:rsidRPr="00670830">
        <w:rPr>
          <w:rFonts w:ascii="Arial" w:eastAsia="Arial Unicode MS" w:hAnsi="Arial" w:cs="Arial"/>
          <w:sz w:val="24"/>
          <w:szCs w:val="24"/>
        </w:rPr>
        <w:t xml:space="preserve"> al </w:t>
      </w:r>
      <w:proofErr w:type="spellStart"/>
      <w:r w:rsidR="00A244AD" w:rsidRPr="00670830">
        <w:rPr>
          <w:rFonts w:ascii="Arial" w:eastAsia="Arial Unicode MS" w:hAnsi="Arial" w:cs="Arial"/>
          <w:sz w:val="24"/>
          <w:szCs w:val="24"/>
        </w:rPr>
        <w:t>cua</w:t>
      </w:r>
      <w:r w:rsidRPr="00670830">
        <w:rPr>
          <w:rFonts w:ascii="Arial" w:eastAsia="Arial Unicode MS" w:hAnsi="Arial" w:cs="Arial"/>
          <w:sz w:val="24"/>
          <w:szCs w:val="24"/>
        </w:rPr>
        <w:t>ntil</w:t>
      </w:r>
      <w:proofErr w:type="spellEnd"/>
      <w:r w:rsidRPr="00670830">
        <w:rPr>
          <w:rFonts w:ascii="Arial" w:eastAsia="Arial Unicode MS" w:hAnsi="Arial" w:cs="Arial"/>
          <w:sz w:val="24"/>
          <w:szCs w:val="24"/>
        </w:rPr>
        <w:t xml:space="preserve"> asociado</w:t>
      </w:r>
      <w:r w:rsidR="00E97DD5" w:rsidRPr="00670830">
        <w:rPr>
          <w:rFonts w:ascii="Arial" w:eastAsia="Arial Unicode MS" w:hAnsi="Arial" w:cs="Arial"/>
          <w:sz w:val="24"/>
          <w:szCs w:val="24"/>
        </w:rPr>
        <w:t xml:space="preserve">, de acuerdo </w:t>
      </w:r>
      <w:r w:rsidRPr="00670830">
        <w:rPr>
          <w:rFonts w:ascii="Arial" w:eastAsia="Arial Unicode MS" w:hAnsi="Arial" w:cs="Arial"/>
          <w:sz w:val="24"/>
          <w:szCs w:val="24"/>
        </w:rPr>
        <w:t>al nivel de confianza fijado, de la distribución de probabilida</w:t>
      </w:r>
      <w:r w:rsidR="00E97DD5" w:rsidRPr="00670830">
        <w:rPr>
          <w:rFonts w:ascii="Arial" w:eastAsia="Arial Unicode MS" w:hAnsi="Arial" w:cs="Arial"/>
          <w:sz w:val="24"/>
          <w:szCs w:val="24"/>
        </w:rPr>
        <w:t xml:space="preserve">des de pérdidas y ganancias </w:t>
      </w:r>
      <w:r w:rsidRPr="00670830">
        <w:rPr>
          <w:rFonts w:ascii="Arial" w:eastAsia="Arial Unicode MS" w:hAnsi="Arial" w:cs="Arial"/>
          <w:sz w:val="24"/>
          <w:szCs w:val="24"/>
        </w:rPr>
        <w:t>que puede tener el conjunto de activos, en un horizonte de tiempo dado</w:t>
      </w:r>
      <w:r w:rsidR="00E97DD5" w:rsidRPr="00670830">
        <w:rPr>
          <w:rFonts w:ascii="Arial" w:eastAsia="Arial Unicode MS" w:hAnsi="Arial" w:cs="Arial"/>
          <w:sz w:val="24"/>
          <w:szCs w:val="24"/>
        </w:rPr>
        <w:t>.</w:t>
      </w:r>
      <w:r w:rsidRPr="00670830">
        <w:rPr>
          <w:rFonts w:ascii="Arial" w:eastAsia="Arial Unicode MS" w:hAnsi="Arial" w:cs="Arial"/>
          <w:sz w:val="24"/>
          <w:szCs w:val="24"/>
        </w:rPr>
        <w:t xml:space="preserve"> </w:t>
      </w:r>
    </w:p>
    <w:p w:rsidR="00645880" w:rsidRPr="00670830" w:rsidRDefault="00EF2231"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presente estud</w:t>
      </w:r>
      <w:r w:rsidR="008D7A42" w:rsidRPr="00670830">
        <w:rPr>
          <w:rFonts w:ascii="Arial" w:eastAsia="Arial Unicode MS" w:hAnsi="Arial" w:cs="Arial"/>
          <w:sz w:val="24"/>
          <w:szCs w:val="24"/>
        </w:rPr>
        <w:t>io tiene como objetivo, contrastar</w:t>
      </w:r>
      <w:r w:rsidRPr="00670830">
        <w:rPr>
          <w:rFonts w:ascii="Arial" w:eastAsia="Arial Unicode MS" w:hAnsi="Arial" w:cs="Arial"/>
          <w:sz w:val="24"/>
          <w:szCs w:val="24"/>
        </w:rPr>
        <w:t xml:space="preserve"> el Va</w:t>
      </w:r>
      <w:r w:rsidR="009A74FD" w:rsidRPr="00670830">
        <w:rPr>
          <w:rFonts w:ascii="Arial" w:eastAsia="Arial Unicode MS" w:hAnsi="Arial" w:cs="Arial"/>
          <w:sz w:val="24"/>
          <w:szCs w:val="24"/>
        </w:rPr>
        <w:t>lor en Riesgo de dos carteras de inversión, la primera</w:t>
      </w:r>
      <w:r w:rsidRPr="00670830">
        <w:rPr>
          <w:rFonts w:ascii="Arial" w:eastAsia="Arial Unicode MS" w:hAnsi="Arial" w:cs="Arial"/>
          <w:sz w:val="24"/>
          <w:szCs w:val="24"/>
        </w:rPr>
        <w:t xml:space="preserve"> con</w:t>
      </w:r>
      <w:r w:rsidR="009A74FD" w:rsidRPr="00670830">
        <w:rPr>
          <w:rFonts w:ascii="Arial" w:eastAsia="Arial Unicode MS" w:hAnsi="Arial" w:cs="Arial"/>
          <w:sz w:val="24"/>
          <w:szCs w:val="24"/>
        </w:rPr>
        <w:t>formado de manera aleatoria y la segunda</w:t>
      </w:r>
      <w:r w:rsidRPr="00670830">
        <w:rPr>
          <w:rFonts w:ascii="Arial" w:eastAsia="Arial Unicode MS" w:hAnsi="Arial" w:cs="Arial"/>
          <w:sz w:val="24"/>
          <w:szCs w:val="24"/>
        </w:rPr>
        <w:t xml:space="preserve"> científicamente</w:t>
      </w:r>
      <w:r w:rsidR="00A244AD" w:rsidRPr="00670830">
        <w:rPr>
          <w:rFonts w:ascii="Arial" w:eastAsia="Arial Unicode MS" w:hAnsi="Arial" w:cs="Arial"/>
          <w:sz w:val="24"/>
          <w:szCs w:val="24"/>
        </w:rPr>
        <w:t>, utilizando la metodologí</w:t>
      </w:r>
      <w:r w:rsidR="00204E71" w:rsidRPr="00670830">
        <w:rPr>
          <w:rFonts w:ascii="Arial" w:eastAsia="Arial Unicode MS" w:hAnsi="Arial" w:cs="Arial"/>
          <w:sz w:val="24"/>
          <w:szCs w:val="24"/>
        </w:rPr>
        <w:t>a de conformación de carteras</w:t>
      </w:r>
      <w:r w:rsidR="00A244AD" w:rsidRPr="00670830">
        <w:rPr>
          <w:rFonts w:ascii="Arial" w:eastAsia="Arial Unicode MS" w:hAnsi="Arial" w:cs="Arial"/>
          <w:sz w:val="24"/>
          <w:szCs w:val="24"/>
        </w:rPr>
        <w:t xml:space="preserve"> de inversión propuesto por Harry </w:t>
      </w:r>
      <w:proofErr w:type="spellStart"/>
      <w:r w:rsidR="00A244AD" w:rsidRPr="00670830">
        <w:rPr>
          <w:rFonts w:ascii="Arial" w:eastAsia="Arial Unicode MS" w:hAnsi="Arial" w:cs="Arial"/>
          <w:sz w:val="24"/>
          <w:szCs w:val="24"/>
        </w:rPr>
        <w:t>Markowitz</w:t>
      </w:r>
      <w:proofErr w:type="spellEnd"/>
      <w:r w:rsidRPr="00670830">
        <w:rPr>
          <w:rFonts w:ascii="Arial" w:eastAsia="Arial Unicode MS" w:hAnsi="Arial" w:cs="Arial"/>
          <w:sz w:val="24"/>
          <w:szCs w:val="24"/>
        </w:rPr>
        <w:t>, ambos, con acciones que cotizan en la Bolsa Mexicana de Valores (BMV) y que forman parte de la muestra del Índice de Precios y Cotizaciones (IPC).</w:t>
      </w:r>
    </w:p>
    <w:p w:rsidR="00645880" w:rsidRPr="00670830" w:rsidRDefault="00D259C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trabajo consiste de 4 capítulos los cuales se detallan a continuación:</w:t>
      </w:r>
    </w:p>
    <w:p w:rsidR="004200C4" w:rsidRPr="00670830" w:rsidRDefault="00D259CD" w:rsidP="00670830">
      <w:pPr>
        <w:pStyle w:val="Prrafodelista"/>
        <w:numPr>
          <w:ilvl w:val="0"/>
          <w:numId w:val="30"/>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Estructura y funciones </w:t>
      </w:r>
      <w:r w:rsidR="004200C4" w:rsidRPr="00670830">
        <w:rPr>
          <w:rFonts w:ascii="Arial" w:eastAsia="Arial Unicode MS" w:hAnsi="Arial" w:cs="Arial"/>
          <w:sz w:val="24"/>
          <w:szCs w:val="24"/>
        </w:rPr>
        <w:t>del Sistema Financiero Mexicano:</w:t>
      </w:r>
    </w:p>
    <w:p w:rsidR="004200C4" w:rsidRPr="00670830" w:rsidRDefault="004200C4" w:rsidP="00670830">
      <w:pPr>
        <w:pStyle w:val="Prrafodelista"/>
        <w:spacing w:before="100" w:beforeAutospacing="1" w:after="100" w:afterAutospacing="1" w:line="360" w:lineRule="auto"/>
        <w:ind w:left="1080"/>
        <w:jc w:val="both"/>
        <w:rPr>
          <w:rFonts w:ascii="Arial" w:eastAsia="Arial Unicode MS" w:hAnsi="Arial" w:cs="Arial"/>
          <w:sz w:val="24"/>
          <w:szCs w:val="24"/>
        </w:rPr>
      </w:pPr>
    </w:p>
    <w:p w:rsidR="00D259CD" w:rsidRPr="00670830" w:rsidRDefault="004200C4" w:rsidP="00670830">
      <w:pPr>
        <w:pStyle w:val="Prrafodelista"/>
        <w:spacing w:before="100" w:beforeAutospacing="1" w:after="100" w:afterAutospacing="1" w:line="360" w:lineRule="auto"/>
        <w:ind w:left="1080"/>
        <w:jc w:val="both"/>
        <w:rPr>
          <w:rFonts w:ascii="Arial" w:eastAsia="Arial Unicode MS" w:hAnsi="Arial" w:cs="Arial"/>
          <w:sz w:val="24"/>
          <w:szCs w:val="24"/>
        </w:rPr>
      </w:pPr>
      <w:r w:rsidRPr="00670830">
        <w:rPr>
          <w:rFonts w:ascii="Arial" w:eastAsia="Arial Unicode MS" w:hAnsi="Arial" w:cs="Arial"/>
          <w:sz w:val="24"/>
          <w:szCs w:val="24"/>
        </w:rPr>
        <w:t>Se</w:t>
      </w:r>
      <w:r w:rsidR="00D259CD" w:rsidRPr="00670830">
        <w:rPr>
          <w:rFonts w:ascii="Arial" w:eastAsia="Arial Unicode MS" w:hAnsi="Arial" w:cs="Arial"/>
          <w:sz w:val="24"/>
          <w:szCs w:val="24"/>
        </w:rPr>
        <w:t xml:space="preserve"> estudian los sistemas por los que está constituido, el Sistema Bancario y el Sistema </w:t>
      </w:r>
      <w:r w:rsidR="00C1045D" w:rsidRPr="00670830">
        <w:rPr>
          <w:rFonts w:ascii="Arial" w:eastAsia="Arial Unicode MS" w:hAnsi="Arial" w:cs="Arial"/>
          <w:sz w:val="24"/>
          <w:szCs w:val="24"/>
        </w:rPr>
        <w:t>Bursátil</w:t>
      </w:r>
      <w:r w:rsidR="00D259CD" w:rsidRPr="00670830">
        <w:rPr>
          <w:rFonts w:ascii="Arial" w:eastAsia="Arial Unicode MS" w:hAnsi="Arial" w:cs="Arial"/>
          <w:sz w:val="24"/>
          <w:szCs w:val="24"/>
        </w:rPr>
        <w:t xml:space="preserve">, se detallan los organismos reguladores que aseguran el buen funcionamiento de los mismos. </w:t>
      </w:r>
      <w:r w:rsidR="00A8158C" w:rsidRPr="00670830">
        <w:rPr>
          <w:rFonts w:ascii="Arial" w:eastAsia="Arial Unicode MS" w:hAnsi="Arial" w:cs="Arial"/>
          <w:sz w:val="24"/>
          <w:szCs w:val="24"/>
        </w:rPr>
        <w:t>También, d</w:t>
      </w:r>
      <w:r w:rsidR="00D259CD" w:rsidRPr="00670830">
        <w:rPr>
          <w:rFonts w:ascii="Arial" w:eastAsia="Arial Unicode MS" w:hAnsi="Arial" w:cs="Arial"/>
          <w:sz w:val="24"/>
          <w:szCs w:val="24"/>
        </w:rPr>
        <w:t>urante este capítulo se analiza la clasificación de los Mercados Financ</w:t>
      </w:r>
      <w:r w:rsidR="00A8158C" w:rsidRPr="00670830">
        <w:rPr>
          <w:rFonts w:ascii="Arial" w:eastAsia="Arial Unicode MS" w:hAnsi="Arial" w:cs="Arial"/>
          <w:sz w:val="24"/>
          <w:szCs w:val="24"/>
        </w:rPr>
        <w:t>i</w:t>
      </w:r>
      <w:r w:rsidR="00D259CD" w:rsidRPr="00670830">
        <w:rPr>
          <w:rFonts w:ascii="Arial" w:eastAsia="Arial Unicode MS" w:hAnsi="Arial" w:cs="Arial"/>
          <w:sz w:val="24"/>
          <w:szCs w:val="24"/>
        </w:rPr>
        <w:t>eros.</w:t>
      </w:r>
    </w:p>
    <w:p w:rsidR="00A8158C" w:rsidRPr="00670830" w:rsidRDefault="00A8158C" w:rsidP="00670830">
      <w:pPr>
        <w:pStyle w:val="Prrafodelista"/>
        <w:spacing w:before="100" w:beforeAutospacing="1" w:after="100" w:afterAutospacing="1" w:line="360" w:lineRule="auto"/>
        <w:ind w:left="1080"/>
        <w:jc w:val="both"/>
        <w:rPr>
          <w:rFonts w:ascii="Arial" w:eastAsia="Arial Unicode MS" w:hAnsi="Arial" w:cs="Arial"/>
          <w:sz w:val="24"/>
          <w:szCs w:val="24"/>
        </w:rPr>
      </w:pPr>
    </w:p>
    <w:p w:rsidR="004200C4" w:rsidRPr="00670830" w:rsidRDefault="00D259CD" w:rsidP="00670830">
      <w:pPr>
        <w:pStyle w:val="Prrafodelista"/>
        <w:numPr>
          <w:ilvl w:val="0"/>
          <w:numId w:val="30"/>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Énfasis en el Mercado de Capitales</w:t>
      </w:r>
      <w:r w:rsidR="004200C4" w:rsidRPr="00670830">
        <w:rPr>
          <w:rFonts w:ascii="Arial" w:eastAsia="Arial Unicode MS" w:hAnsi="Arial" w:cs="Arial"/>
          <w:sz w:val="24"/>
          <w:szCs w:val="24"/>
        </w:rPr>
        <w:t>:</w:t>
      </w:r>
    </w:p>
    <w:p w:rsidR="004200C4" w:rsidRPr="00670830" w:rsidRDefault="004200C4" w:rsidP="00670830">
      <w:pPr>
        <w:pStyle w:val="Prrafodelista"/>
        <w:spacing w:before="100" w:beforeAutospacing="1" w:after="100" w:afterAutospacing="1" w:line="360" w:lineRule="auto"/>
        <w:ind w:left="1080"/>
        <w:jc w:val="both"/>
        <w:rPr>
          <w:rFonts w:ascii="Arial" w:eastAsia="Arial Unicode MS" w:hAnsi="Arial" w:cs="Arial"/>
          <w:sz w:val="24"/>
          <w:szCs w:val="24"/>
        </w:rPr>
      </w:pPr>
    </w:p>
    <w:p w:rsidR="00A8158C" w:rsidRPr="00670830" w:rsidRDefault="004200C4" w:rsidP="00670830">
      <w:pPr>
        <w:pStyle w:val="Prrafodelista"/>
        <w:spacing w:before="100" w:beforeAutospacing="1" w:after="100" w:afterAutospacing="1" w:line="360" w:lineRule="auto"/>
        <w:ind w:left="1080"/>
        <w:jc w:val="both"/>
        <w:rPr>
          <w:rFonts w:ascii="Arial" w:eastAsia="Arial Unicode MS" w:hAnsi="Arial" w:cs="Arial"/>
          <w:sz w:val="24"/>
          <w:szCs w:val="24"/>
        </w:rPr>
      </w:pPr>
      <w:r w:rsidRPr="00670830">
        <w:rPr>
          <w:rFonts w:ascii="Arial" w:eastAsia="Arial Unicode MS" w:hAnsi="Arial" w:cs="Arial"/>
          <w:sz w:val="24"/>
          <w:szCs w:val="24"/>
        </w:rPr>
        <w:t>S</w:t>
      </w:r>
      <w:r w:rsidR="00D259CD" w:rsidRPr="00670830">
        <w:rPr>
          <w:rFonts w:ascii="Arial" w:eastAsia="Arial Unicode MS" w:hAnsi="Arial" w:cs="Arial"/>
          <w:sz w:val="24"/>
          <w:szCs w:val="24"/>
        </w:rPr>
        <w:t xml:space="preserve">e mencionan sus antecedentes, las actividades, </w:t>
      </w:r>
      <w:r w:rsidR="00A8158C" w:rsidRPr="00670830">
        <w:rPr>
          <w:rFonts w:ascii="Arial" w:eastAsia="Arial Unicode MS" w:hAnsi="Arial" w:cs="Arial"/>
          <w:sz w:val="24"/>
          <w:szCs w:val="24"/>
        </w:rPr>
        <w:t xml:space="preserve">la </w:t>
      </w:r>
      <w:r w:rsidR="00D259CD" w:rsidRPr="00670830">
        <w:rPr>
          <w:rFonts w:ascii="Arial" w:eastAsia="Arial Unicode MS" w:hAnsi="Arial" w:cs="Arial"/>
          <w:sz w:val="24"/>
          <w:szCs w:val="24"/>
        </w:rPr>
        <w:t xml:space="preserve">normatividad que lo rige, los tipos de instrumentos que se negocian, renta </w:t>
      </w:r>
      <w:r w:rsidR="00A8158C" w:rsidRPr="00670830">
        <w:rPr>
          <w:rFonts w:ascii="Arial" w:eastAsia="Arial Unicode MS" w:hAnsi="Arial" w:cs="Arial"/>
          <w:sz w:val="24"/>
          <w:szCs w:val="24"/>
        </w:rPr>
        <w:t>fija y variable, y su valuación. S</w:t>
      </w:r>
      <w:r w:rsidR="00D259CD" w:rsidRPr="00670830">
        <w:rPr>
          <w:rFonts w:ascii="Arial" w:eastAsia="Arial Unicode MS" w:hAnsi="Arial" w:cs="Arial"/>
          <w:sz w:val="24"/>
          <w:szCs w:val="24"/>
        </w:rPr>
        <w:t>e describe el sistema por el cual se negocian este tipo de instrumentos. Se estudia el Índice de Precios y Cotizaciones, como se conforma y la muestra qu</w:t>
      </w:r>
      <w:r w:rsidR="00A8158C" w:rsidRPr="00670830">
        <w:rPr>
          <w:rFonts w:ascii="Arial" w:eastAsia="Arial Unicode MS" w:hAnsi="Arial" w:cs="Arial"/>
          <w:sz w:val="24"/>
          <w:szCs w:val="24"/>
        </w:rPr>
        <w:t xml:space="preserve">e lo </w:t>
      </w:r>
      <w:r w:rsidR="00A827AC" w:rsidRPr="00670830">
        <w:rPr>
          <w:rFonts w:ascii="Arial" w:eastAsia="Arial Unicode MS" w:hAnsi="Arial" w:cs="Arial"/>
          <w:sz w:val="24"/>
          <w:szCs w:val="24"/>
        </w:rPr>
        <w:t>compone (al cierre de junio 2015</w:t>
      </w:r>
      <w:r w:rsidR="00D259CD" w:rsidRPr="00670830">
        <w:rPr>
          <w:rFonts w:ascii="Arial" w:eastAsia="Arial Unicode MS" w:hAnsi="Arial" w:cs="Arial"/>
          <w:sz w:val="24"/>
          <w:szCs w:val="24"/>
        </w:rPr>
        <w:t>).</w:t>
      </w:r>
    </w:p>
    <w:p w:rsidR="00A8158C" w:rsidRPr="00670830" w:rsidRDefault="00A8158C" w:rsidP="00670830">
      <w:pPr>
        <w:pStyle w:val="Prrafodelista"/>
        <w:spacing w:before="100" w:beforeAutospacing="1" w:after="100" w:afterAutospacing="1" w:line="360" w:lineRule="auto"/>
        <w:ind w:left="1080"/>
        <w:jc w:val="both"/>
        <w:rPr>
          <w:rFonts w:ascii="Arial" w:eastAsia="Arial Unicode MS" w:hAnsi="Arial" w:cs="Arial"/>
          <w:sz w:val="24"/>
          <w:szCs w:val="24"/>
        </w:rPr>
      </w:pPr>
    </w:p>
    <w:p w:rsidR="004200C4" w:rsidRPr="00670830" w:rsidRDefault="00FA6BF1" w:rsidP="00670830">
      <w:pPr>
        <w:pStyle w:val="Prrafodelista"/>
        <w:numPr>
          <w:ilvl w:val="0"/>
          <w:numId w:val="30"/>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Describe los elementos principales del Riesgo y la relevancia que este término</w:t>
      </w:r>
      <w:r w:rsidR="004200C4" w:rsidRPr="00670830">
        <w:rPr>
          <w:rFonts w:ascii="Arial" w:eastAsia="Arial Unicode MS" w:hAnsi="Arial" w:cs="Arial"/>
          <w:sz w:val="24"/>
          <w:szCs w:val="24"/>
        </w:rPr>
        <w:t xml:space="preserve"> ha tomado a través de los años:</w:t>
      </w:r>
    </w:p>
    <w:p w:rsidR="004200C4" w:rsidRPr="00670830" w:rsidRDefault="004200C4" w:rsidP="00670830">
      <w:pPr>
        <w:pStyle w:val="Prrafodelista"/>
        <w:spacing w:before="100" w:beforeAutospacing="1" w:after="100" w:afterAutospacing="1" w:line="360" w:lineRule="auto"/>
        <w:ind w:left="1080"/>
        <w:jc w:val="both"/>
        <w:rPr>
          <w:rFonts w:ascii="Arial" w:eastAsia="Arial Unicode MS" w:hAnsi="Arial" w:cs="Arial"/>
          <w:sz w:val="24"/>
          <w:szCs w:val="24"/>
        </w:rPr>
      </w:pPr>
    </w:p>
    <w:p w:rsidR="00A8158C" w:rsidRPr="00670830" w:rsidRDefault="00FA6BF1" w:rsidP="00670830">
      <w:pPr>
        <w:pStyle w:val="Prrafodelista"/>
        <w:spacing w:before="100" w:beforeAutospacing="1" w:after="100" w:afterAutospacing="1" w:line="360" w:lineRule="auto"/>
        <w:ind w:left="1080"/>
        <w:jc w:val="both"/>
        <w:rPr>
          <w:rFonts w:ascii="Arial" w:eastAsia="Arial Unicode MS" w:hAnsi="Arial" w:cs="Arial"/>
          <w:sz w:val="24"/>
          <w:szCs w:val="24"/>
        </w:rPr>
      </w:pPr>
      <w:r w:rsidRPr="00670830">
        <w:rPr>
          <w:rFonts w:ascii="Arial" w:eastAsia="Arial Unicode MS" w:hAnsi="Arial" w:cs="Arial"/>
          <w:sz w:val="24"/>
          <w:szCs w:val="24"/>
        </w:rPr>
        <w:t>Se estudian dos grandes teoría</w:t>
      </w:r>
      <w:r w:rsidR="00204E71" w:rsidRPr="00670830">
        <w:rPr>
          <w:rFonts w:ascii="Arial" w:eastAsia="Arial Unicode MS" w:hAnsi="Arial" w:cs="Arial"/>
          <w:sz w:val="24"/>
          <w:szCs w:val="24"/>
        </w:rPr>
        <w:t>s, la de Selección de Cartera</w:t>
      </w:r>
      <w:r w:rsidRPr="00670830">
        <w:rPr>
          <w:rFonts w:ascii="Arial" w:eastAsia="Arial Unicode MS" w:hAnsi="Arial" w:cs="Arial"/>
          <w:sz w:val="24"/>
          <w:szCs w:val="24"/>
        </w:rPr>
        <w:t xml:space="preserve">s de Inversión de Harry </w:t>
      </w:r>
      <w:proofErr w:type="spellStart"/>
      <w:r w:rsidRPr="00670830">
        <w:rPr>
          <w:rFonts w:ascii="Arial" w:eastAsia="Arial Unicode MS" w:hAnsi="Arial" w:cs="Arial"/>
          <w:sz w:val="24"/>
          <w:szCs w:val="24"/>
        </w:rPr>
        <w:t>Markowitz</w:t>
      </w:r>
      <w:proofErr w:type="spellEnd"/>
      <w:r w:rsidRPr="00670830">
        <w:rPr>
          <w:rFonts w:ascii="Arial" w:eastAsia="Arial Unicode MS" w:hAnsi="Arial" w:cs="Arial"/>
          <w:sz w:val="24"/>
          <w:szCs w:val="24"/>
        </w:rPr>
        <w:t xml:space="preserve"> y el Modelo CAPM (Capital </w:t>
      </w:r>
      <w:proofErr w:type="spellStart"/>
      <w:r w:rsidRPr="00670830">
        <w:rPr>
          <w:rFonts w:ascii="Arial" w:eastAsia="Arial Unicode MS" w:hAnsi="Arial" w:cs="Arial"/>
          <w:sz w:val="24"/>
          <w:szCs w:val="24"/>
        </w:rPr>
        <w:t>Asset</w:t>
      </w:r>
      <w:proofErr w:type="spellEnd"/>
      <w:r w:rsidRPr="00670830">
        <w:rPr>
          <w:rFonts w:ascii="Arial" w:eastAsia="Arial Unicode MS" w:hAnsi="Arial" w:cs="Arial"/>
          <w:sz w:val="24"/>
          <w:szCs w:val="24"/>
        </w:rPr>
        <w:t xml:space="preserve"> </w:t>
      </w:r>
      <w:proofErr w:type="spellStart"/>
      <w:r w:rsidRPr="00670830">
        <w:rPr>
          <w:rFonts w:ascii="Arial" w:eastAsia="Arial Unicode MS" w:hAnsi="Arial" w:cs="Arial"/>
          <w:sz w:val="24"/>
          <w:szCs w:val="24"/>
        </w:rPr>
        <w:t>Pricing</w:t>
      </w:r>
      <w:proofErr w:type="spellEnd"/>
      <w:r w:rsidRPr="00670830">
        <w:rPr>
          <w:rFonts w:ascii="Arial" w:eastAsia="Arial Unicode MS" w:hAnsi="Arial" w:cs="Arial"/>
          <w:sz w:val="24"/>
          <w:szCs w:val="24"/>
        </w:rPr>
        <w:t xml:space="preserve"> </w:t>
      </w:r>
      <w:proofErr w:type="spellStart"/>
      <w:r w:rsidRPr="00670830">
        <w:rPr>
          <w:rFonts w:ascii="Arial" w:eastAsia="Arial Unicode MS" w:hAnsi="Arial" w:cs="Arial"/>
          <w:sz w:val="24"/>
          <w:szCs w:val="24"/>
        </w:rPr>
        <w:t>Model</w:t>
      </w:r>
      <w:proofErr w:type="spellEnd"/>
      <w:r w:rsidRPr="00670830">
        <w:rPr>
          <w:rFonts w:ascii="Arial" w:eastAsia="Arial Unicode MS" w:hAnsi="Arial" w:cs="Arial"/>
          <w:sz w:val="24"/>
          <w:szCs w:val="24"/>
        </w:rPr>
        <w:t>). Se define la palabra “riesgo” y su clasificación, se menciona la importancia de la Administ</w:t>
      </w:r>
      <w:r w:rsidR="00A8158C" w:rsidRPr="00670830">
        <w:rPr>
          <w:rFonts w:ascii="Arial" w:eastAsia="Arial Unicode MS" w:hAnsi="Arial" w:cs="Arial"/>
          <w:sz w:val="24"/>
          <w:szCs w:val="24"/>
        </w:rPr>
        <w:t>ración de Riesgos en cualquier i</w:t>
      </w:r>
      <w:r w:rsidR="004200C4" w:rsidRPr="00670830">
        <w:rPr>
          <w:rFonts w:ascii="Arial" w:eastAsia="Arial Unicode MS" w:hAnsi="Arial" w:cs="Arial"/>
          <w:sz w:val="24"/>
          <w:szCs w:val="24"/>
        </w:rPr>
        <w:t xml:space="preserve">nstitución y, </w:t>
      </w:r>
      <w:r w:rsidRPr="00670830">
        <w:rPr>
          <w:rFonts w:ascii="Arial" w:eastAsia="Arial Unicode MS" w:hAnsi="Arial" w:cs="Arial"/>
          <w:sz w:val="24"/>
          <w:szCs w:val="24"/>
        </w:rPr>
        <w:t xml:space="preserve">primordialmente, se estudia el modelo del Valor en Riesgo  o </w:t>
      </w:r>
      <w:proofErr w:type="spellStart"/>
      <w:r w:rsidRPr="00670830">
        <w:rPr>
          <w:rFonts w:ascii="Arial" w:eastAsia="Arial Unicode MS" w:hAnsi="Arial" w:cs="Arial"/>
          <w:sz w:val="24"/>
          <w:szCs w:val="24"/>
        </w:rPr>
        <w:t>Value</w:t>
      </w:r>
      <w:proofErr w:type="spellEnd"/>
      <w:r w:rsidRPr="00670830">
        <w:rPr>
          <w:rFonts w:ascii="Arial" w:eastAsia="Arial Unicode MS" w:hAnsi="Arial" w:cs="Arial"/>
          <w:sz w:val="24"/>
          <w:szCs w:val="24"/>
        </w:rPr>
        <w:t xml:space="preserve"> at </w:t>
      </w:r>
      <w:proofErr w:type="spellStart"/>
      <w:r w:rsidRPr="00670830">
        <w:rPr>
          <w:rFonts w:ascii="Arial" w:eastAsia="Arial Unicode MS" w:hAnsi="Arial" w:cs="Arial"/>
          <w:sz w:val="24"/>
          <w:szCs w:val="24"/>
        </w:rPr>
        <w:t>Risk</w:t>
      </w:r>
      <w:proofErr w:type="spellEnd"/>
      <w:r w:rsidRPr="00670830">
        <w:rPr>
          <w:rFonts w:ascii="Arial" w:eastAsia="Arial Unicode MS" w:hAnsi="Arial" w:cs="Arial"/>
          <w:sz w:val="24"/>
          <w:szCs w:val="24"/>
        </w:rPr>
        <w:t>, herramienta más utilizada y aceptada en la medición de riesgos financieros.</w:t>
      </w:r>
    </w:p>
    <w:p w:rsidR="00A8158C" w:rsidRPr="00670830" w:rsidRDefault="00A8158C" w:rsidP="00670830">
      <w:pPr>
        <w:pStyle w:val="Prrafodelista"/>
        <w:spacing w:before="100" w:beforeAutospacing="1" w:after="100" w:afterAutospacing="1" w:line="360" w:lineRule="auto"/>
        <w:ind w:left="1080"/>
        <w:jc w:val="both"/>
        <w:rPr>
          <w:rFonts w:ascii="Arial" w:eastAsia="Arial Unicode MS" w:hAnsi="Arial" w:cs="Arial"/>
          <w:sz w:val="24"/>
          <w:szCs w:val="24"/>
        </w:rPr>
      </w:pPr>
    </w:p>
    <w:p w:rsidR="004200C4" w:rsidRPr="00670830" w:rsidRDefault="00E52717" w:rsidP="00670830">
      <w:pPr>
        <w:pStyle w:val="Prrafodelista"/>
        <w:numPr>
          <w:ilvl w:val="0"/>
          <w:numId w:val="30"/>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En el cuarto capítulo, se desarrollará el siguiente ejercicio: </w:t>
      </w:r>
    </w:p>
    <w:p w:rsidR="004200C4" w:rsidRPr="00670830" w:rsidRDefault="004200C4" w:rsidP="00670830">
      <w:pPr>
        <w:pStyle w:val="Prrafodelista"/>
        <w:spacing w:before="100" w:beforeAutospacing="1" w:after="100" w:afterAutospacing="1" w:line="360" w:lineRule="auto"/>
        <w:ind w:left="1080"/>
        <w:jc w:val="both"/>
        <w:rPr>
          <w:rFonts w:ascii="Arial" w:eastAsia="Arial Unicode MS" w:hAnsi="Arial" w:cs="Arial"/>
          <w:sz w:val="24"/>
          <w:szCs w:val="24"/>
        </w:rPr>
      </w:pPr>
    </w:p>
    <w:p w:rsidR="004200C4" w:rsidRDefault="004200C4" w:rsidP="00670830">
      <w:pPr>
        <w:pStyle w:val="Prrafodelista"/>
        <w:spacing w:before="100" w:beforeAutospacing="1" w:after="100" w:afterAutospacing="1" w:line="360" w:lineRule="auto"/>
        <w:ind w:left="1080"/>
        <w:jc w:val="both"/>
        <w:rPr>
          <w:rFonts w:ascii="Arial" w:eastAsia="Arial Unicode MS" w:hAnsi="Arial" w:cs="Arial"/>
          <w:sz w:val="24"/>
          <w:szCs w:val="24"/>
        </w:rPr>
      </w:pPr>
      <w:r w:rsidRPr="00670830">
        <w:rPr>
          <w:rFonts w:ascii="Arial" w:eastAsia="Arial Unicode MS" w:hAnsi="Arial" w:cs="Arial"/>
          <w:sz w:val="24"/>
          <w:szCs w:val="24"/>
        </w:rPr>
        <w:t>S</w:t>
      </w:r>
      <w:r w:rsidR="00E52717" w:rsidRPr="00670830">
        <w:rPr>
          <w:rFonts w:ascii="Arial" w:eastAsia="Arial Unicode MS" w:hAnsi="Arial" w:cs="Arial"/>
          <w:sz w:val="24"/>
          <w:szCs w:val="24"/>
        </w:rPr>
        <w:t xml:space="preserve">e construirán dos </w:t>
      </w:r>
      <w:r w:rsidR="00B242A9" w:rsidRPr="00670830">
        <w:rPr>
          <w:rFonts w:ascii="Arial" w:eastAsia="Arial Unicode MS" w:hAnsi="Arial" w:cs="Arial"/>
          <w:sz w:val="24"/>
          <w:szCs w:val="24"/>
        </w:rPr>
        <w:t>carteras</w:t>
      </w:r>
      <w:r w:rsidR="00E52717" w:rsidRPr="00670830">
        <w:rPr>
          <w:rFonts w:ascii="Arial" w:eastAsia="Arial Unicode MS" w:hAnsi="Arial" w:cs="Arial"/>
          <w:sz w:val="24"/>
          <w:szCs w:val="24"/>
        </w:rPr>
        <w:t xml:space="preserve"> de inversión con acciones que cotizan en la BMV y que forman</w:t>
      </w:r>
      <w:r w:rsidR="00B242A9" w:rsidRPr="00670830">
        <w:rPr>
          <w:rFonts w:ascii="Arial" w:eastAsia="Arial Unicode MS" w:hAnsi="Arial" w:cs="Arial"/>
          <w:sz w:val="24"/>
          <w:szCs w:val="24"/>
        </w:rPr>
        <w:t xml:space="preserve"> parte de la muestra del IPC. La primera</w:t>
      </w:r>
      <w:r w:rsidR="00E52717" w:rsidRPr="00670830">
        <w:rPr>
          <w:rFonts w:ascii="Arial" w:eastAsia="Arial Unicode MS" w:hAnsi="Arial" w:cs="Arial"/>
          <w:sz w:val="24"/>
          <w:szCs w:val="24"/>
        </w:rPr>
        <w:t xml:space="preserve"> se confor</w:t>
      </w:r>
      <w:r w:rsidR="00B242A9" w:rsidRPr="00670830">
        <w:rPr>
          <w:rFonts w:ascii="Arial" w:eastAsia="Arial Unicode MS" w:hAnsi="Arial" w:cs="Arial"/>
          <w:sz w:val="24"/>
          <w:szCs w:val="24"/>
        </w:rPr>
        <w:t>mará de manera aleatoria y la segunda</w:t>
      </w:r>
      <w:r w:rsidR="00E52717" w:rsidRPr="00670830">
        <w:rPr>
          <w:rFonts w:ascii="Arial" w:eastAsia="Arial Unicode MS" w:hAnsi="Arial" w:cs="Arial"/>
          <w:sz w:val="24"/>
          <w:szCs w:val="24"/>
        </w:rPr>
        <w:t xml:space="preserve"> con base en la te</w:t>
      </w:r>
      <w:r w:rsidR="00B242A9" w:rsidRPr="00670830">
        <w:rPr>
          <w:rFonts w:ascii="Arial" w:eastAsia="Arial Unicode MS" w:hAnsi="Arial" w:cs="Arial"/>
          <w:sz w:val="24"/>
          <w:szCs w:val="24"/>
        </w:rPr>
        <w:t>oría de Selección de Carteras</w:t>
      </w:r>
      <w:r w:rsidR="00E52717" w:rsidRPr="00670830">
        <w:rPr>
          <w:rFonts w:ascii="Arial" w:eastAsia="Arial Unicode MS" w:hAnsi="Arial" w:cs="Arial"/>
          <w:sz w:val="24"/>
          <w:szCs w:val="24"/>
        </w:rPr>
        <w:t xml:space="preserve"> p</w:t>
      </w:r>
      <w:r w:rsidR="00A8158C" w:rsidRPr="00670830">
        <w:rPr>
          <w:rFonts w:ascii="Arial" w:eastAsia="Arial Unicode MS" w:hAnsi="Arial" w:cs="Arial"/>
          <w:sz w:val="24"/>
          <w:szCs w:val="24"/>
        </w:rPr>
        <w:t xml:space="preserve">ropuesta por Harry </w:t>
      </w:r>
      <w:proofErr w:type="spellStart"/>
      <w:r w:rsidR="00A8158C" w:rsidRPr="00670830">
        <w:rPr>
          <w:rFonts w:ascii="Arial" w:eastAsia="Arial Unicode MS" w:hAnsi="Arial" w:cs="Arial"/>
          <w:sz w:val="24"/>
          <w:szCs w:val="24"/>
        </w:rPr>
        <w:t>Markowitz</w:t>
      </w:r>
      <w:proofErr w:type="spellEnd"/>
      <w:r w:rsidR="00A8158C" w:rsidRPr="00670830">
        <w:rPr>
          <w:rFonts w:ascii="Arial" w:eastAsia="Arial Unicode MS" w:hAnsi="Arial" w:cs="Arial"/>
          <w:sz w:val="24"/>
          <w:szCs w:val="24"/>
        </w:rPr>
        <w:t>. El</w:t>
      </w:r>
      <w:r w:rsidR="00E52717" w:rsidRPr="00670830">
        <w:rPr>
          <w:rFonts w:ascii="Arial" w:eastAsia="Arial Unicode MS" w:hAnsi="Arial" w:cs="Arial"/>
          <w:sz w:val="24"/>
          <w:szCs w:val="24"/>
        </w:rPr>
        <w:t xml:space="preserve"> período de la información es de Enero 20</w:t>
      </w:r>
      <w:r w:rsidR="00A8158C" w:rsidRPr="00670830">
        <w:rPr>
          <w:rFonts w:ascii="Arial" w:eastAsia="Arial Unicode MS" w:hAnsi="Arial" w:cs="Arial"/>
          <w:sz w:val="24"/>
          <w:szCs w:val="24"/>
        </w:rPr>
        <w:t xml:space="preserve">11 al cierre de </w:t>
      </w:r>
      <w:r w:rsidRPr="00670830">
        <w:rPr>
          <w:rFonts w:ascii="Arial" w:eastAsia="Arial Unicode MS" w:hAnsi="Arial" w:cs="Arial"/>
          <w:sz w:val="24"/>
          <w:szCs w:val="24"/>
        </w:rPr>
        <w:t>Junio 2015</w:t>
      </w:r>
      <w:r w:rsidR="00E52717" w:rsidRPr="00670830">
        <w:rPr>
          <w:rFonts w:ascii="Arial" w:eastAsia="Arial Unicode MS" w:hAnsi="Arial" w:cs="Arial"/>
          <w:sz w:val="24"/>
          <w:szCs w:val="24"/>
        </w:rPr>
        <w:t xml:space="preserve">. Se calculará el Valor en Riesgo, </w:t>
      </w:r>
      <w:r w:rsidR="00A8158C" w:rsidRPr="00670830">
        <w:rPr>
          <w:rFonts w:ascii="Arial" w:eastAsia="Arial Unicode MS" w:hAnsi="Arial" w:cs="Arial"/>
          <w:sz w:val="24"/>
          <w:szCs w:val="24"/>
        </w:rPr>
        <w:t xml:space="preserve">en </w:t>
      </w:r>
      <w:r w:rsidR="00E52717" w:rsidRPr="00670830">
        <w:rPr>
          <w:rFonts w:ascii="Arial" w:eastAsia="Arial Unicode MS" w:hAnsi="Arial" w:cs="Arial"/>
          <w:sz w:val="24"/>
          <w:szCs w:val="24"/>
        </w:rPr>
        <w:t>el horizonte de tiempo estudiado,  de a</w:t>
      </w:r>
      <w:r w:rsidR="00B242A9" w:rsidRPr="00670830">
        <w:rPr>
          <w:rFonts w:ascii="Arial" w:eastAsia="Arial Unicode MS" w:hAnsi="Arial" w:cs="Arial"/>
          <w:sz w:val="24"/>
          <w:szCs w:val="24"/>
        </w:rPr>
        <w:t>mba</w:t>
      </w:r>
      <w:r w:rsidR="008D7A42" w:rsidRPr="00670830">
        <w:rPr>
          <w:rFonts w:ascii="Arial" w:eastAsia="Arial Unicode MS" w:hAnsi="Arial" w:cs="Arial"/>
          <w:sz w:val="24"/>
          <w:szCs w:val="24"/>
        </w:rPr>
        <w:t xml:space="preserve">s </w:t>
      </w:r>
      <w:r w:rsidR="00B242A9" w:rsidRPr="00670830">
        <w:rPr>
          <w:rFonts w:ascii="Arial" w:eastAsia="Arial Unicode MS" w:hAnsi="Arial" w:cs="Arial"/>
          <w:sz w:val="24"/>
          <w:szCs w:val="24"/>
        </w:rPr>
        <w:t>carteras</w:t>
      </w:r>
      <w:r w:rsidR="008D7A42" w:rsidRPr="00670830">
        <w:rPr>
          <w:rFonts w:ascii="Arial" w:eastAsia="Arial Unicode MS" w:hAnsi="Arial" w:cs="Arial"/>
          <w:sz w:val="24"/>
          <w:szCs w:val="24"/>
        </w:rPr>
        <w:t xml:space="preserve"> y se contrastarán</w:t>
      </w:r>
      <w:r w:rsidR="00E52717" w:rsidRPr="00670830">
        <w:rPr>
          <w:rFonts w:ascii="Arial" w:eastAsia="Arial Unicode MS" w:hAnsi="Arial" w:cs="Arial"/>
          <w:sz w:val="24"/>
          <w:szCs w:val="24"/>
        </w:rPr>
        <w:t xml:space="preserve"> los resultados.</w:t>
      </w:r>
    </w:p>
    <w:p w:rsidR="00670830" w:rsidRPr="00670830" w:rsidRDefault="00670830" w:rsidP="00670830">
      <w:pPr>
        <w:pStyle w:val="Prrafodelista"/>
        <w:spacing w:before="100" w:beforeAutospacing="1" w:after="100" w:afterAutospacing="1" w:line="360" w:lineRule="auto"/>
        <w:ind w:left="1080"/>
        <w:jc w:val="both"/>
        <w:rPr>
          <w:rFonts w:ascii="Arial" w:eastAsia="Arial Unicode MS" w:hAnsi="Arial" w:cs="Arial"/>
          <w:sz w:val="24"/>
          <w:szCs w:val="24"/>
        </w:rPr>
      </w:pPr>
    </w:p>
    <w:p w:rsidR="00F82815" w:rsidRPr="00670830" w:rsidRDefault="00F13122" w:rsidP="00670830">
      <w:pPr>
        <w:pStyle w:val="Ttulo1"/>
        <w:spacing w:before="100" w:beforeAutospacing="1" w:after="100" w:afterAutospacing="1" w:line="360" w:lineRule="auto"/>
        <w:jc w:val="center"/>
        <w:rPr>
          <w:rFonts w:ascii="Arial" w:eastAsia="Arial Unicode MS" w:hAnsi="Arial" w:cs="Arial"/>
          <w:color w:val="auto"/>
          <w:sz w:val="24"/>
          <w:szCs w:val="24"/>
        </w:rPr>
      </w:pPr>
      <w:bookmarkStart w:id="1" w:name="_Toc488230478"/>
      <w:r w:rsidRPr="00670830">
        <w:rPr>
          <w:rFonts w:ascii="Arial" w:eastAsia="Arial Unicode MS" w:hAnsi="Arial" w:cs="Arial"/>
          <w:color w:val="auto"/>
          <w:sz w:val="24"/>
          <w:szCs w:val="24"/>
        </w:rPr>
        <w:t>Capítulo 1. Sistema Financiero Mexicano</w:t>
      </w:r>
      <w:bookmarkEnd w:id="1"/>
    </w:p>
    <w:p w:rsidR="00146511" w:rsidRPr="00670830" w:rsidRDefault="00F82815" w:rsidP="00670830">
      <w:pPr>
        <w:pStyle w:val="Ttulo2"/>
        <w:numPr>
          <w:ilvl w:val="1"/>
          <w:numId w:val="38"/>
        </w:numPr>
        <w:spacing w:before="100" w:beforeAutospacing="1" w:after="100" w:afterAutospacing="1" w:line="360" w:lineRule="auto"/>
        <w:jc w:val="both"/>
        <w:rPr>
          <w:rFonts w:ascii="Arial" w:eastAsia="Arial Unicode MS" w:hAnsi="Arial" w:cs="Arial"/>
          <w:color w:val="auto"/>
          <w:sz w:val="24"/>
          <w:szCs w:val="24"/>
        </w:rPr>
      </w:pPr>
      <w:bookmarkStart w:id="2" w:name="_Toc488230479"/>
      <w:r w:rsidRPr="00670830">
        <w:rPr>
          <w:rFonts w:ascii="Arial" w:eastAsia="Arial Unicode MS" w:hAnsi="Arial" w:cs="Arial"/>
          <w:color w:val="auto"/>
          <w:sz w:val="24"/>
          <w:szCs w:val="24"/>
        </w:rPr>
        <w:t>Definición</w:t>
      </w:r>
      <w:bookmarkEnd w:id="2"/>
    </w:p>
    <w:p w:rsidR="00CC2EC0" w:rsidRPr="00670830" w:rsidRDefault="008E5DC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Sistema Financiero Mexicano es el conjunto de personas y organizaciones, tanto públicas como privadas, a través de las cuales, se captan, administran, regulan y dirigen los recursos financieros que se negocian entre los diversos agentes económicos, dentro del marco de la legislación correspondiente.</w:t>
      </w:r>
    </w:p>
    <w:p w:rsidR="00E21736" w:rsidRPr="00670830" w:rsidRDefault="00E2173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sistema financiero desempeña un papel central en el funcionamiento y desarrollo de la economía. Está integrado principalmente por diferentes intermediarios y mercados financieros, a través de los cuales una variedad de instrumentos movilizan el ahorro hacia sus usos más productivos. Los bancos son quizá los intermediarios financieros más conocidos, puesto que ofrecen directamente sus servicios al público y forman parte medular del sistema de pagos. Sin embargo, en el sistema financiero participan muchos otros intermediarios y organizaciones que ofrecen servicios de gran utilidad para la sociedad. [http://www.banxico.org.mx]</w:t>
      </w:r>
    </w:p>
    <w:p w:rsidR="008E5DCC" w:rsidRPr="00670830" w:rsidRDefault="008E5DC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Un sistema financiero estable, eficiente, competitivo e innovador contribuye a elevar el crecimiento económico sostenido y el bienestar de la población. Para lograr dichos objetivos, es indispensable contar con un marco institucional sólido y una regulación y supervisión financieras que salvaguarden la integridad del mismo sistema y protejan los intereses del público.</w:t>
      </w:r>
      <w:r w:rsidR="00097CC2" w:rsidRPr="00670830">
        <w:rPr>
          <w:rFonts w:ascii="Arial" w:eastAsia="Arial Unicode MS" w:hAnsi="Arial" w:cs="Arial"/>
          <w:sz w:val="24"/>
          <w:szCs w:val="24"/>
        </w:rPr>
        <w:t xml:space="preserve"> [http://www.banxico.org.mx]</w:t>
      </w:r>
    </w:p>
    <w:p w:rsidR="00DA24CF" w:rsidRPr="00670830" w:rsidRDefault="00DA24CF"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A través del Sistema Financiero Mexicano se llevan a cabo y se regulan las actividades de:</w:t>
      </w:r>
    </w:p>
    <w:p w:rsidR="0068357F" w:rsidRPr="00670830" w:rsidRDefault="00CC2EC0" w:rsidP="00670830">
      <w:pPr>
        <w:pStyle w:val="Prrafodelista"/>
        <w:numPr>
          <w:ilvl w:val="0"/>
          <w:numId w:val="2"/>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Otorgamiento y obtención de créditos (financiamientos),</w:t>
      </w:r>
    </w:p>
    <w:p w:rsidR="00DA24CF" w:rsidRPr="00670830" w:rsidRDefault="00CC2EC0" w:rsidP="00670830">
      <w:pPr>
        <w:pStyle w:val="Prrafodelista"/>
        <w:numPr>
          <w:ilvl w:val="0"/>
          <w:numId w:val="2"/>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Realización de inversiones con y sin riesgo,</w:t>
      </w:r>
    </w:p>
    <w:p w:rsidR="00DA24CF" w:rsidRPr="00670830" w:rsidRDefault="00CC2EC0" w:rsidP="00670830">
      <w:pPr>
        <w:pStyle w:val="Prrafodelista"/>
        <w:numPr>
          <w:ilvl w:val="0"/>
          <w:numId w:val="2"/>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Prestación de diversos servicios bancarios que van de lo doméstico, hasta los que por disposiciones legales (pago de impuestos, IMSS, INFONAVIT), los usuarios deban pagar y puedan llevar a cabo en estas instituciones,</w:t>
      </w:r>
    </w:p>
    <w:p w:rsidR="00DA24CF" w:rsidRPr="00670830" w:rsidRDefault="00CC2EC0" w:rsidP="00670830">
      <w:pPr>
        <w:pStyle w:val="Prrafodelista"/>
        <w:numPr>
          <w:ilvl w:val="0"/>
          <w:numId w:val="2"/>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Emisión y colocación de instrumentos bursátiles,</w:t>
      </w:r>
    </w:p>
    <w:p w:rsidR="00CC2EC0" w:rsidRPr="00670830" w:rsidRDefault="00CC2EC0" w:rsidP="00670830">
      <w:pPr>
        <w:pStyle w:val="Prrafodelista"/>
        <w:numPr>
          <w:ilvl w:val="0"/>
          <w:numId w:val="2"/>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Y todas aquellas inherentes a la actividad financiera (seguros, fianzas, arrendamientos financieros, compra venta de divisas y metales preciosos, factoraje financiero entre otras</w:t>
      </w:r>
    </w:p>
    <w:p w:rsidR="00997692" w:rsidRPr="00670830" w:rsidRDefault="00CC2EC0"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Es importante resaltar que, son las instituciones públicas las encargadas de llevar a cabo </w:t>
      </w:r>
      <w:r w:rsidR="00B4295E" w:rsidRPr="00670830">
        <w:rPr>
          <w:rFonts w:ascii="Arial" w:eastAsia="Arial Unicode MS" w:hAnsi="Arial" w:cs="Arial"/>
          <w:sz w:val="24"/>
          <w:szCs w:val="24"/>
        </w:rPr>
        <w:t>las actividades reguladoras que</w:t>
      </w:r>
      <w:r w:rsidRPr="00670830">
        <w:rPr>
          <w:rFonts w:ascii="Arial" w:eastAsia="Arial Unicode MS" w:hAnsi="Arial" w:cs="Arial"/>
          <w:sz w:val="24"/>
          <w:szCs w:val="24"/>
        </w:rPr>
        <w:t xml:space="preserve"> supervisan y reglamentan las operaciones c</w:t>
      </w:r>
      <w:r w:rsidR="00B4295E" w:rsidRPr="00670830">
        <w:rPr>
          <w:rFonts w:ascii="Arial" w:eastAsia="Arial Unicode MS" w:hAnsi="Arial" w:cs="Arial"/>
          <w:sz w:val="24"/>
          <w:szCs w:val="24"/>
        </w:rPr>
        <w:t>rediticias que se llevan a cabo</w:t>
      </w:r>
      <w:r w:rsidRPr="00670830">
        <w:rPr>
          <w:rFonts w:ascii="Arial" w:eastAsia="Arial Unicode MS" w:hAnsi="Arial" w:cs="Arial"/>
          <w:sz w:val="24"/>
          <w:szCs w:val="24"/>
        </w:rPr>
        <w:t xml:space="preserve"> y la política general mone</w:t>
      </w:r>
      <w:r w:rsidR="00B4295E" w:rsidRPr="00670830">
        <w:rPr>
          <w:rFonts w:ascii="Arial" w:eastAsia="Arial Unicode MS" w:hAnsi="Arial" w:cs="Arial"/>
          <w:sz w:val="24"/>
          <w:szCs w:val="24"/>
        </w:rPr>
        <w:t xml:space="preserve">taria fijada </w:t>
      </w:r>
      <w:r w:rsidRPr="00670830">
        <w:rPr>
          <w:rFonts w:ascii="Arial" w:eastAsia="Arial Unicode MS" w:hAnsi="Arial" w:cs="Arial"/>
          <w:sz w:val="24"/>
          <w:szCs w:val="24"/>
        </w:rPr>
        <w:t>por el gobierno mexicano, a través de la secretaría de Hacienda y Crédito Público, además del propio Banco de México.</w:t>
      </w:r>
      <w:r w:rsidR="00651D49" w:rsidRPr="00670830">
        <w:rPr>
          <w:rFonts w:ascii="Arial" w:eastAsia="Arial Unicode MS" w:hAnsi="Arial" w:cs="Arial"/>
          <w:sz w:val="24"/>
          <w:szCs w:val="24"/>
        </w:rPr>
        <w:t xml:space="preserve"> [García, 2007]</w:t>
      </w:r>
    </w:p>
    <w:p w:rsidR="00146511" w:rsidRPr="00670830" w:rsidRDefault="009B5468" w:rsidP="00670830">
      <w:pPr>
        <w:pStyle w:val="Ttulo2"/>
        <w:spacing w:before="100" w:beforeAutospacing="1" w:after="100" w:afterAutospacing="1" w:line="360" w:lineRule="auto"/>
        <w:jc w:val="both"/>
        <w:rPr>
          <w:rFonts w:ascii="Arial" w:eastAsia="Arial Unicode MS" w:hAnsi="Arial" w:cs="Arial"/>
          <w:color w:val="auto"/>
          <w:sz w:val="24"/>
          <w:szCs w:val="24"/>
        </w:rPr>
      </w:pPr>
      <w:bookmarkStart w:id="3" w:name="_Toc488230480"/>
      <w:r w:rsidRPr="00670830">
        <w:rPr>
          <w:rFonts w:ascii="Arial" w:eastAsia="Arial Unicode MS" w:hAnsi="Arial" w:cs="Arial"/>
          <w:color w:val="auto"/>
          <w:sz w:val="24"/>
          <w:szCs w:val="24"/>
        </w:rPr>
        <w:t>1.2  Componentes</w:t>
      </w:r>
      <w:bookmarkEnd w:id="3"/>
    </w:p>
    <w:p w:rsidR="004468CD" w:rsidRPr="00670830" w:rsidRDefault="009B546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Las organizaciones más representativas del Sistema Financiero Mexicano las podemos agrupar en cuatro ramificaciones:</w:t>
      </w:r>
    </w:p>
    <w:p w:rsidR="009B5468" w:rsidRPr="00670830" w:rsidRDefault="009B546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noProof/>
          <w:sz w:val="24"/>
          <w:szCs w:val="24"/>
          <w:lang w:eastAsia="es-MX"/>
        </w:rPr>
        <w:drawing>
          <wp:inline distT="0" distB="0" distL="0" distR="0" wp14:anchorId="30FCB767" wp14:editId="6A14B9FD">
            <wp:extent cx="5343525" cy="2085975"/>
            <wp:effectExtent l="0" t="38100" r="0" b="104775"/>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146511" w:rsidRPr="00670830" w:rsidRDefault="00961EE0" w:rsidP="00670830">
      <w:pPr>
        <w:spacing w:before="100" w:beforeAutospacing="1" w:after="100" w:afterAutospacing="1" w:line="360" w:lineRule="auto"/>
        <w:jc w:val="both"/>
        <w:rPr>
          <w:rFonts w:ascii="Arial" w:eastAsia="Arial Unicode MS" w:hAnsi="Arial" w:cs="Arial"/>
          <w:i/>
          <w:sz w:val="24"/>
          <w:szCs w:val="24"/>
        </w:rPr>
      </w:pPr>
      <w:r w:rsidRPr="00670830">
        <w:rPr>
          <w:rFonts w:ascii="Arial" w:eastAsia="Arial Unicode MS" w:hAnsi="Arial" w:cs="Arial"/>
          <w:i/>
          <w:sz w:val="24"/>
          <w:szCs w:val="24"/>
        </w:rPr>
        <w:t>Fuente: Elaboración Propia</w:t>
      </w:r>
    </w:p>
    <w:p w:rsidR="009C5D02" w:rsidRPr="00670830" w:rsidRDefault="002E2912" w:rsidP="00670830">
      <w:pPr>
        <w:pStyle w:val="Prrafodelista"/>
        <w:numPr>
          <w:ilvl w:val="0"/>
          <w:numId w:val="1"/>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Sistema Bursátil Mexicano:</w:t>
      </w:r>
      <w:r w:rsidRPr="00670830">
        <w:rPr>
          <w:rFonts w:ascii="Arial" w:eastAsia="Arial Unicode MS" w:hAnsi="Arial" w:cs="Arial"/>
          <w:sz w:val="24"/>
          <w:szCs w:val="24"/>
        </w:rPr>
        <w:t xml:space="preserve"> </w:t>
      </w:r>
      <w:r w:rsidR="003F121F" w:rsidRPr="00670830">
        <w:rPr>
          <w:rFonts w:ascii="Arial" w:eastAsia="Arial Unicode MS" w:hAnsi="Arial" w:cs="Arial"/>
          <w:sz w:val="24"/>
          <w:szCs w:val="24"/>
        </w:rPr>
        <w:t>conjunto de organizaciones e instituciones, tanto públicas como privadas, a través de las cuales se llevan a cabo actividades financieras mediante títulos-valor que son negociadas en la Bolsa Mexicana de Valores.</w:t>
      </w:r>
      <w:r w:rsidR="00B96748" w:rsidRPr="00670830">
        <w:rPr>
          <w:rFonts w:ascii="Arial" w:eastAsia="Arial Unicode MS" w:hAnsi="Arial" w:cs="Arial"/>
          <w:sz w:val="24"/>
          <w:szCs w:val="24"/>
        </w:rPr>
        <w:t xml:space="preserve"> [García, 2007]</w:t>
      </w:r>
    </w:p>
    <w:p w:rsidR="003F121F" w:rsidRPr="00670830" w:rsidRDefault="003F121F" w:rsidP="00670830">
      <w:pPr>
        <w:pStyle w:val="Prrafodelista"/>
        <w:spacing w:before="100" w:beforeAutospacing="1" w:after="100" w:afterAutospacing="1" w:line="360" w:lineRule="auto"/>
        <w:jc w:val="both"/>
        <w:rPr>
          <w:rFonts w:ascii="Arial" w:eastAsia="Arial Unicode MS" w:hAnsi="Arial" w:cs="Arial"/>
          <w:sz w:val="24"/>
          <w:szCs w:val="24"/>
        </w:rPr>
      </w:pPr>
    </w:p>
    <w:p w:rsidR="00B96748" w:rsidRPr="00670830" w:rsidRDefault="002E2912" w:rsidP="00670830">
      <w:pPr>
        <w:pStyle w:val="Prrafodelista"/>
        <w:numPr>
          <w:ilvl w:val="0"/>
          <w:numId w:val="1"/>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Sistema Bancario Mexicano:</w:t>
      </w:r>
      <w:r w:rsidRPr="00670830">
        <w:rPr>
          <w:rFonts w:ascii="Arial" w:eastAsia="Arial Unicode MS" w:hAnsi="Arial" w:cs="Arial"/>
          <w:sz w:val="24"/>
          <w:szCs w:val="24"/>
        </w:rPr>
        <w:t xml:space="preserve"> </w:t>
      </w:r>
      <w:r w:rsidR="00B96748" w:rsidRPr="00670830">
        <w:rPr>
          <w:rFonts w:ascii="Arial" w:eastAsia="Arial Unicode MS" w:hAnsi="Arial" w:cs="Arial"/>
          <w:sz w:val="24"/>
          <w:szCs w:val="24"/>
        </w:rPr>
        <w:t>Conjunto de instituciones y organismos reguladores cuya principal función consiste en captar los rec</w:t>
      </w:r>
      <w:r w:rsidR="00146511" w:rsidRPr="00670830">
        <w:rPr>
          <w:rFonts w:ascii="Arial" w:eastAsia="Arial Unicode MS" w:hAnsi="Arial" w:cs="Arial"/>
          <w:sz w:val="24"/>
          <w:szCs w:val="24"/>
        </w:rPr>
        <w:t>ursos dispersos en la economía,</w:t>
      </w:r>
      <w:r w:rsidR="00B96748" w:rsidRPr="00670830">
        <w:rPr>
          <w:rFonts w:ascii="Arial" w:eastAsia="Arial Unicode MS" w:hAnsi="Arial" w:cs="Arial"/>
          <w:sz w:val="24"/>
          <w:szCs w:val="24"/>
        </w:rPr>
        <w:t xml:space="preserve"> conjuntarlos en ahorro y canalizarlos en forma de financiamiento hacia individuos o empresas que generen valor agregado en la economía. [www.cnbv.gob.mx]</w:t>
      </w:r>
    </w:p>
    <w:p w:rsidR="009B5468" w:rsidRPr="00670830" w:rsidRDefault="00B96748" w:rsidP="00670830">
      <w:pPr>
        <w:pStyle w:val="Prrafodelista"/>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 </w:t>
      </w:r>
    </w:p>
    <w:p w:rsidR="00B96748" w:rsidRPr="00670830" w:rsidRDefault="002E2912" w:rsidP="00670830">
      <w:pPr>
        <w:pStyle w:val="Prrafodelista"/>
        <w:numPr>
          <w:ilvl w:val="0"/>
          <w:numId w:val="1"/>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Organismos Reguladores:</w:t>
      </w:r>
      <w:r w:rsidRPr="00670830">
        <w:rPr>
          <w:rFonts w:ascii="Arial" w:eastAsia="Arial Unicode MS" w:hAnsi="Arial" w:cs="Arial"/>
          <w:sz w:val="24"/>
          <w:szCs w:val="24"/>
        </w:rPr>
        <w:t xml:space="preserve"> </w:t>
      </w:r>
      <w:r w:rsidR="009B5468" w:rsidRPr="00670830">
        <w:rPr>
          <w:rFonts w:ascii="Arial" w:eastAsia="Arial Unicode MS" w:hAnsi="Arial" w:cs="Arial"/>
          <w:sz w:val="24"/>
          <w:szCs w:val="24"/>
        </w:rPr>
        <w:t>Las organizaciones que regulan y supervisa</w:t>
      </w:r>
      <w:r w:rsidRPr="00670830">
        <w:rPr>
          <w:rFonts w:ascii="Arial" w:eastAsia="Arial Unicode MS" w:hAnsi="Arial" w:cs="Arial"/>
          <w:sz w:val="24"/>
          <w:szCs w:val="24"/>
        </w:rPr>
        <w:t>n las actividades financieras.</w:t>
      </w:r>
      <w:r w:rsidR="00B96748" w:rsidRPr="00670830">
        <w:rPr>
          <w:rFonts w:ascii="Arial" w:eastAsia="Arial Unicode MS" w:hAnsi="Arial" w:cs="Arial"/>
          <w:sz w:val="24"/>
          <w:szCs w:val="24"/>
        </w:rPr>
        <w:t xml:space="preserve"> Cabe señalar que las instituciones y organismos reguladores en México son instituciones públicas.</w:t>
      </w:r>
    </w:p>
    <w:p w:rsidR="00B96748" w:rsidRPr="00670830" w:rsidRDefault="00B96748" w:rsidP="00670830">
      <w:pPr>
        <w:pStyle w:val="Prrafodelista"/>
        <w:spacing w:line="360" w:lineRule="auto"/>
        <w:rPr>
          <w:rFonts w:ascii="Arial" w:eastAsia="Arial Unicode MS" w:hAnsi="Arial" w:cs="Arial"/>
          <w:sz w:val="24"/>
          <w:szCs w:val="24"/>
        </w:rPr>
      </w:pPr>
    </w:p>
    <w:p w:rsidR="00CC2EC0" w:rsidRPr="00670830" w:rsidRDefault="009B5468" w:rsidP="00670830">
      <w:pPr>
        <w:pStyle w:val="Prrafodelista"/>
        <w:numPr>
          <w:ilvl w:val="0"/>
          <w:numId w:val="1"/>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Otras figura</w:t>
      </w:r>
      <w:r w:rsidR="002E2912" w:rsidRPr="00670830">
        <w:rPr>
          <w:rFonts w:ascii="Arial" w:eastAsia="Arial Unicode MS" w:hAnsi="Arial" w:cs="Arial"/>
          <w:b/>
          <w:sz w:val="24"/>
          <w:szCs w:val="24"/>
        </w:rPr>
        <w:t>s financieras:</w:t>
      </w:r>
      <w:r w:rsidR="002E2912" w:rsidRPr="00670830">
        <w:rPr>
          <w:rFonts w:ascii="Arial" w:eastAsia="Arial Unicode MS" w:hAnsi="Arial" w:cs="Arial"/>
          <w:sz w:val="24"/>
          <w:szCs w:val="24"/>
        </w:rPr>
        <w:t xml:space="preserve"> </w:t>
      </w:r>
      <w:r w:rsidRPr="00670830">
        <w:rPr>
          <w:rFonts w:ascii="Arial" w:eastAsia="Arial Unicode MS" w:hAnsi="Arial" w:cs="Arial"/>
          <w:sz w:val="24"/>
          <w:szCs w:val="24"/>
        </w:rPr>
        <w:t>Casas de Cambio, Afianzado</w:t>
      </w:r>
      <w:r w:rsidR="00B96748" w:rsidRPr="00670830">
        <w:rPr>
          <w:rFonts w:ascii="Arial" w:eastAsia="Arial Unicode MS" w:hAnsi="Arial" w:cs="Arial"/>
          <w:sz w:val="24"/>
          <w:szCs w:val="24"/>
        </w:rPr>
        <w:t>ras, Aseguradoras, Afores, entre otras</w:t>
      </w:r>
      <w:r w:rsidR="002E2912" w:rsidRPr="00670830">
        <w:rPr>
          <w:rFonts w:ascii="Arial" w:eastAsia="Arial Unicode MS" w:hAnsi="Arial" w:cs="Arial"/>
          <w:sz w:val="24"/>
          <w:szCs w:val="24"/>
        </w:rPr>
        <w:t>.</w:t>
      </w:r>
    </w:p>
    <w:p w:rsidR="0095611F" w:rsidRPr="00670830" w:rsidRDefault="0095611F" w:rsidP="00670830">
      <w:pPr>
        <w:spacing w:before="100" w:beforeAutospacing="1" w:after="100" w:afterAutospacing="1" w:line="360" w:lineRule="auto"/>
        <w:jc w:val="both"/>
        <w:rPr>
          <w:rFonts w:ascii="Arial" w:eastAsia="Arial Unicode MS" w:hAnsi="Arial" w:cs="Arial"/>
          <w:sz w:val="24"/>
          <w:szCs w:val="24"/>
        </w:rPr>
      </w:pPr>
    </w:p>
    <w:p w:rsidR="00165ACE" w:rsidRPr="00670830" w:rsidRDefault="00706AC4" w:rsidP="00670830">
      <w:pPr>
        <w:pStyle w:val="Ttulo3"/>
        <w:spacing w:before="100" w:beforeAutospacing="1" w:after="100" w:afterAutospacing="1" w:line="360" w:lineRule="auto"/>
        <w:jc w:val="both"/>
        <w:rPr>
          <w:rFonts w:ascii="Arial" w:eastAsia="Arial Unicode MS" w:hAnsi="Arial" w:cs="Arial"/>
          <w:color w:val="auto"/>
          <w:sz w:val="24"/>
          <w:szCs w:val="24"/>
        </w:rPr>
      </w:pPr>
      <w:bookmarkStart w:id="4" w:name="_Toc488230481"/>
      <w:r w:rsidRPr="00670830">
        <w:rPr>
          <w:rFonts w:ascii="Arial" w:eastAsia="Arial Unicode MS" w:hAnsi="Arial" w:cs="Arial"/>
          <w:color w:val="auto"/>
          <w:sz w:val="24"/>
          <w:szCs w:val="24"/>
        </w:rPr>
        <w:t>1.2.1. El Sistema Bursátil Mexicano</w:t>
      </w:r>
      <w:bookmarkEnd w:id="4"/>
    </w:p>
    <w:p w:rsidR="00B512DB" w:rsidRPr="00670830" w:rsidRDefault="00165ACE"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El crecimiento económico del país depende en gran medida de la acumulación de capital físico y humano. A su vez, dicha acumulación se basa, en buena parte, en la eficiencia y eficacia de la intermediación financiera para captar el ahorro y canalizarlo hacia los proyectos más rentables. </w:t>
      </w:r>
    </w:p>
    <w:p w:rsidR="00165ACE" w:rsidRPr="00670830" w:rsidRDefault="00165ACE"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En el proceso de intermediación existen dos pilares fundamentales: por un lado el crédito bancario y por el otro, los mercados de capital y deuda, que integran el mercado de valores. [http://www.cnbv.gob.mx]</w:t>
      </w:r>
    </w:p>
    <w:p w:rsidR="00165ACE" w:rsidRPr="00670830" w:rsidRDefault="00165ACE"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Mercado de Valores juega un papel fundamental en la canalización del ahorro, permitiendo a empresas y otras entidades como las gubernamentales, acceder a fuentes de financiamiento no bancario a precios competitivos, permitiendo a los inversionistas contar con mayores alternativas para encausar sus ahorros.</w:t>
      </w:r>
      <w:r w:rsidR="00B52006" w:rsidRPr="00670830">
        <w:rPr>
          <w:rFonts w:ascii="Arial" w:eastAsia="Arial Unicode MS" w:hAnsi="Arial" w:cs="Arial"/>
          <w:sz w:val="24"/>
          <w:szCs w:val="24"/>
        </w:rPr>
        <w:t xml:space="preserve"> [http://www.cnbv.gob.mx]</w:t>
      </w:r>
    </w:p>
    <w:p w:rsidR="00B96748" w:rsidRPr="00670830" w:rsidRDefault="00B9674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Sistema Bursátil Mexicano s</w:t>
      </w:r>
      <w:r w:rsidR="00165ACE" w:rsidRPr="00670830">
        <w:rPr>
          <w:rFonts w:ascii="Arial" w:eastAsia="Arial Unicode MS" w:hAnsi="Arial" w:cs="Arial"/>
          <w:sz w:val="24"/>
          <w:szCs w:val="24"/>
        </w:rPr>
        <w:t>e define como el conjunto de organizaciones, tanto públicas como privadas, a través de las cuales se regulan y llevan a cabo actividades financieras mediante títulos-valor que son negociadas en la Bolsa Mexicana de Valores, de acuerdo a lo dispuesto con la Ley del Mercado de Valores. Dichas operaciones son llevadas a cabo por los intermediarios bursátiles, quienes se encuentran inscritos en la Sección de Intermediarios del Registro Nacional de Valores e Intermediarios. [García, 2007]</w:t>
      </w:r>
    </w:p>
    <w:p w:rsidR="00B96748" w:rsidRPr="00670830" w:rsidRDefault="00B96748" w:rsidP="00670830">
      <w:pPr>
        <w:spacing w:before="100" w:beforeAutospacing="1" w:after="100" w:afterAutospacing="1" w:line="360" w:lineRule="auto"/>
        <w:jc w:val="both"/>
        <w:rPr>
          <w:rFonts w:ascii="Arial" w:eastAsia="Arial Unicode MS" w:hAnsi="Arial" w:cs="Arial"/>
          <w:sz w:val="24"/>
          <w:szCs w:val="24"/>
        </w:rPr>
      </w:pPr>
    </w:p>
    <w:p w:rsidR="009355DB" w:rsidRPr="00670830" w:rsidRDefault="009355DB" w:rsidP="00670830">
      <w:pPr>
        <w:pStyle w:val="Ttulo4"/>
        <w:tabs>
          <w:tab w:val="center" w:pos="4419"/>
        </w:tabs>
        <w:spacing w:before="100" w:beforeAutospacing="1" w:after="100" w:afterAutospacing="1" w:line="360" w:lineRule="auto"/>
        <w:jc w:val="both"/>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1.2.1.1. Bolsa Mexicana de Valores</w:t>
      </w:r>
      <w:r w:rsidR="00E125FA" w:rsidRPr="00670830">
        <w:rPr>
          <w:rFonts w:ascii="Arial" w:eastAsia="Arial Unicode MS" w:hAnsi="Arial" w:cs="Arial"/>
          <w:i w:val="0"/>
          <w:color w:val="auto"/>
          <w:sz w:val="24"/>
          <w:szCs w:val="24"/>
        </w:rPr>
        <w:tab/>
      </w:r>
    </w:p>
    <w:p w:rsidR="00403C1C" w:rsidRPr="00670830" w:rsidRDefault="00403C1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Bolsa Mexicana de Valores, S.A.B. de C.V. es una entidad financiera, que opera por concesión de la Secretaría de Hacienda y Crédito Público, con apego a la Ley del Mercado de Valores.</w:t>
      </w:r>
      <w:r w:rsidR="004E6846" w:rsidRPr="00670830">
        <w:rPr>
          <w:rFonts w:ascii="Arial" w:eastAsia="Arial Unicode MS" w:hAnsi="Arial" w:cs="Arial"/>
          <w:sz w:val="24"/>
          <w:szCs w:val="24"/>
        </w:rPr>
        <w:t xml:space="preserve"> [http://www.bmv.com.mx]</w:t>
      </w:r>
    </w:p>
    <w:p w:rsidR="004E6846" w:rsidRPr="00670830" w:rsidRDefault="0032753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La BMV forma parte del Sistema Bursátil Mexicano y es una entidad privada, en ésta, se llevan a cabo las operaciones del mercado de valores organizado en el país. </w:t>
      </w:r>
    </w:p>
    <w:p w:rsidR="00403C1C" w:rsidRPr="00670830" w:rsidRDefault="0032753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Su estructura social está conformada por las Casas de Bolsa, mismas que poseen las acciones de la BMV.</w:t>
      </w:r>
    </w:p>
    <w:p w:rsidR="00142286" w:rsidRPr="00670830" w:rsidRDefault="00E12AE5"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Las principales funciones de la BMV son: </w:t>
      </w:r>
    </w:p>
    <w:p w:rsidR="00674A45" w:rsidRPr="00670830" w:rsidRDefault="00E12AE5" w:rsidP="00670830">
      <w:pPr>
        <w:pStyle w:val="Prrafodelista"/>
        <w:numPr>
          <w:ilvl w:val="0"/>
          <w:numId w:val="3"/>
        </w:numPr>
        <w:spacing w:before="120" w:after="12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 xml:space="preserve">Establecer los locales, instalaciones y mecanismos que faciliten las relaciones y operaciones entre la oferta y demanda de valores, títulos de crédito y demás documentos inscritos en el Registro Nacional de Valores (RNV), así como prestar los servicios necesarios para la realización de los procesos de emisión, colocación en intercambio de los referidos valores; </w:t>
      </w:r>
    </w:p>
    <w:p w:rsidR="00974C6F" w:rsidRPr="00670830" w:rsidRDefault="00E12AE5" w:rsidP="00670830">
      <w:pPr>
        <w:pStyle w:val="Prrafodelista"/>
        <w:numPr>
          <w:ilvl w:val="0"/>
          <w:numId w:val="3"/>
        </w:numPr>
        <w:spacing w:before="120" w:after="12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Proporcionar, mantener a disposición del público y hacer publicaciones sobre la información relativa a los valores inscritos en la Bolsa Mexicana y los listados en el Sistema Internacional de Cotizaciones de la propia Bolsa, sobre sus emisores y las operaciones que en ella se realicen;</w:t>
      </w:r>
    </w:p>
    <w:p w:rsidR="00974C6F" w:rsidRPr="00670830" w:rsidRDefault="00974C6F" w:rsidP="00670830">
      <w:pPr>
        <w:pStyle w:val="Prrafodelista"/>
        <w:spacing w:before="120" w:after="120" w:line="360" w:lineRule="auto"/>
        <w:ind w:left="714"/>
        <w:jc w:val="both"/>
        <w:rPr>
          <w:rFonts w:ascii="Arial" w:eastAsia="Arial Unicode MS" w:hAnsi="Arial" w:cs="Arial"/>
          <w:sz w:val="24"/>
          <w:szCs w:val="24"/>
        </w:rPr>
      </w:pPr>
    </w:p>
    <w:p w:rsidR="00974C6F" w:rsidRPr="00670830" w:rsidRDefault="00E12AE5" w:rsidP="00670830">
      <w:pPr>
        <w:pStyle w:val="Prrafodelista"/>
        <w:numPr>
          <w:ilvl w:val="0"/>
          <w:numId w:val="3"/>
        </w:numPr>
        <w:spacing w:before="120" w:after="12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 xml:space="preserve">Establecer las medidas necesarias para que las operaciones que se realicen en la Bolsa Mexicana por las casas de bolsa, se sujeten a las disposiciones que les sean aplicables; </w:t>
      </w:r>
    </w:p>
    <w:p w:rsidR="00974C6F" w:rsidRPr="00670830" w:rsidRDefault="00974C6F" w:rsidP="00670830">
      <w:pPr>
        <w:pStyle w:val="Prrafodelista"/>
        <w:spacing w:before="120" w:after="120" w:line="360" w:lineRule="auto"/>
        <w:ind w:left="714"/>
        <w:jc w:val="both"/>
        <w:rPr>
          <w:rFonts w:ascii="Arial" w:eastAsia="Arial Unicode MS" w:hAnsi="Arial" w:cs="Arial"/>
          <w:sz w:val="24"/>
          <w:szCs w:val="24"/>
        </w:rPr>
      </w:pPr>
    </w:p>
    <w:p w:rsidR="00E12AE5" w:rsidRPr="00670830" w:rsidRDefault="00E12AE5" w:rsidP="00670830">
      <w:pPr>
        <w:pStyle w:val="Prrafodelista"/>
        <w:numPr>
          <w:ilvl w:val="0"/>
          <w:numId w:val="3"/>
        </w:numPr>
        <w:spacing w:before="120" w:after="12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Expedir normas que establezcan estándares y esquemas operativos y de conducta que promuevan prácticas justas y equitativas en el mercado de valores, así como vigilar su observancia e imponer medidas disciplinarias y correctivas por su incumplimiento, obligatorias para las casas de bolsa y emisoras con valores inscritos en la Bolsa Mexicana</w:t>
      </w:r>
    </w:p>
    <w:p w:rsidR="00C27C3A" w:rsidRPr="00670830" w:rsidRDefault="00645880" w:rsidP="00670830">
      <w:pPr>
        <w:spacing w:before="100" w:beforeAutospacing="1" w:after="100" w:afterAutospacing="1" w:line="360" w:lineRule="auto"/>
        <w:ind w:left="708" w:hanging="708"/>
        <w:jc w:val="both"/>
        <w:rPr>
          <w:rFonts w:ascii="Arial" w:eastAsia="Arial Unicode MS" w:hAnsi="Arial" w:cs="Arial"/>
          <w:i/>
          <w:sz w:val="24"/>
          <w:szCs w:val="24"/>
        </w:rPr>
      </w:pPr>
      <w:r w:rsidRPr="00670830">
        <w:rPr>
          <w:rFonts w:ascii="Arial" w:eastAsia="Arial Unicode MS" w:hAnsi="Arial" w:cs="Arial"/>
          <w:i/>
          <w:sz w:val="24"/>
          <w:szCs w:val="24"/>
        </w:rPr>
        <w:t>Fuente:</w:t>
      </w:r>
      <w:r w:rsidR="00E12AE5" w:rsidRPr="00670830">
        <w:rPr>
          <w:rFonts w:ascii="Arial" w:eastAsia="Arial Unicode MS" w:hAnsi="Arial" w:cs="Arial"/>
          <w:i/>
          <w:sz w:val="24"/>
          <w:szCs w:val="24"/>
        </w:rPr>
        <w:t xml:space="preserve"> [http://www.bmv.com.mx]</w:t>
      </w:r>
    </w:p>
    <w:p w:rsidR="00C27C3A" w:rsidRPr="00670830" w:rsidRDefault="00C27C3A" w:rsidP="00670830">
      <w:pPr>
        <w:spacing w:before="100" w:beforeAutospacing="1" w:after="100" w:afterAutospacing="1" w:line="360" w:lineRule="auto"/>
        <w:jc w:val="both"/>
        <w:rPr>
          <w:rFonts w:ascii="Arial" w:eastAsia="Arial Unicode MS" w:hAnsi="Arial" w:cs="Arial"/>
          <w:i/>
          <w:sz w:val="24"/>
          <w:szCs w:val="24"/>
        </w:rPr>
      </w:pPr>
    </w:p>
    <w:p w:rsidR="00C27C3A" w:rsidRPr="00670830" w:rsidRDefault="00C27C3A" w:rsidP="00670830">
      <w:pPr>
        <w:pStyle w:val="Ttulo5"/>
        <w:spacing w:before="100" w:beforeAutospacing="1" w:after="100" w:afterAutospacing="1" w:line="360" w:lineRule="auto"/>
        <w:jc w:val="both"/>
        <w:rPr>
          <w:rFonts w:ascii="Arial" w:eastAsia="Arial Unicode MS" w:hAnsi="Arial" w:cs="Arial"/>
          <w:b/>
          <w:color w:val="auto"/>
          <w:sz w:val="24"/>
          <w:szCs w:val="24"/>
        </w:rPr>
      </w:pPr>
      <w:r w:rsidRPr="00670830">
        <w:rPr>
          <w:rFonts w:ascii="Arial" w:eastAsia="Arial Unicode MS" w:hAnsi="Arial" w:cs="Arial"/>
          <w:b/>
          <w:color w:val="auto"/>
          <w:sz w:val="24"/>
          <w:szCs w:val="24"/>
        </w:rPr>
        <w:t>1.2.1.1.1. Marco jurídico y normativo</w:t>
      </w:r>
    </w:p>
    <w:p w:rsidR="00E5580E" w:rsidRPr="00670830" w:rsidRDefault="00E5580E"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marco jurídico, para la operación y constitución, tanto de la Bolsa Mexicana de Valores como de los participantes en el mercado de valores es el siguiente:</w:t>
      </w:r>
    </w:p>
    <w:p w:rsidR="00E5580E" w:rsidRPr="00670830" w:rsidRDefault="00E5580E" w:rsidP="00670830">
      <w:pPr>
        <w:pStyle w:val="Prrafodelista"/>
        <w:numPr>
          <w:ilvl w:val="0"/>
          <w:numId w:val="4"/>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Ley del Mercado de Valores (última reforma publicada en el Diario Oficial de la Federación el 10 de enero de 2014): </w:t>
      </w:r>
    </w:p>
    <w:p w:rsidR="0095611F" w:rsidRPr="00670830" w:rsidRDefault="0095611F" w:rsidP="00670830">
      <w:pPr>
        <w:pStyle w:val="Prrafodelista"/>
        <w:spacing w:before="100" w:beforeAutospacing="1" w:after="100" w:afterAutospacing="1" w:line="360" w:lineRule="auto"/>
        <w:ind w:left="765"/>
        <w:jc w:val="both"/>
        <w:rPr>
          <w:rFonts w:ascii="Arial" w:eastAsia="Arial Unicode MS" w:hAnsi="Arial" w:cs="Arial"/>
          <w:sz w:val="24"/>
          <w:szCs w:val="24"/>
        </w:rPr>
      </w:pPr>
    </w:p>
    <w:p w:rsidR="00E5580E" w:rsidRPr="00670830" w:rsidRDefault="00E5580E" w:rsidP="00670830">
      <w:pPr>
        <w:pStyle w:val="Prrafodelista"/>
        <w:numPr>
          <w:ilvl w:val="1"/>
          <w:numId w:val="4"/>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Artículo 1.- La presente Ley es de orden público y observancia general en los Estados Unidos Mexicanos y tiene por objeto desarrollar el mercado de valores en forma equitativa, eficiente y transparente; proteger los intereses del público inversionista; minimizar el riesgo sistémico; fomentar una sana competencia…</w:t>
      </w:r>
    </w:p>
    <w:p w:rsidR="002D0D48" w:rsidRPr="00670830" w:rsidRDefault="002D0D48" w:rsidP="00670830">
      <w:pPr>
        <w:pStyle w:val="Prrafodelista"/>
        <w:spacing w:before="100" w:beforeAutospacing="1" w:after="100" w:afterAutospacing="1" w:line="360" w:lineRule="auto"/>
        <w:ind w:left="1485"/>
        <w:jc w:val="both"/>
        <w:rPr>
          <w:rFonts w:ascii="Arial" w:eastAsia="Arial Unicode MS" w:hAnsi="Arial" w:cs="Arial"/>
          <w:sz w:val="24"/>
          <w:szCs w:val="24"/>
        </w:rPr>
      </w:pPr>
    </w:p>
    <w:p w:rsidR="00E5580E" w:rsidRPr="00670830" w:rsidRDefault="002D0D48" w:rsidP="00670830">
      <w:pPr>
        <w:pStyle w:val="Prrafodelista"/>
        <w:numPr>
          <w:ilvl w:val="0"/>
          <w:numId w:val="4"/>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Ley de Fondos de Inversión, antes “Ley de Sociedades de Inversión” (última reforma publicada en el Diario Oficial de la Federación el 10 de enero de 2014):</w:t>
      </w:r>
    </w:p>
    <w:p w:rsidR="00B3483C" w:rsidRPr="00670830" w:rsidRDefault="00B3483C" w:rsidP="00670830">
      <w:pPr>
        <w:pStyle w:val="Prrafodelista"/>
        <w:spacing w:before="100" w:beforeAutospacing="1" w:after="100" w:afterAutospacing="1" w:line="360" w:lineRule="auto"/>
        <w:ind w:left="765"/>
        <w:jc w:val="both"/>
        <w:rPr>
          <w:rFonts w:ascii="Arial" w:eastAsia="Arial Unicode MS" w:hAnsi="Arial" w:cs="Arial"/>
          <w:sz w:val="24"/>
          <w:szCs w:val="24"/>
        </w:rPr>
      </w:pPr>
    </w:p>
    <w:p w:rsidR="00C27C3A" w:rsidRPr="00670830" w:rsidRDefault="002D0D48" w:rsidP="00670830">
      <w:pPr>
        <w:pStyle w:val="Prrafodelista"/>
        <w:numPr>
          <w:ilvl w:val="1"/>
          <w:numId w:val="4"/>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Artículo 1.- La presente Ley es de orden público y observancia general en los Estados Unidos Mexicanos y tiene por objeto regular la organización y funcionamiento de los fondos de inversión, la intermediación de sus acciones en el mercado de valores, los servicios que deberán contratar para el correcto desempeño de sus actividades, así como la organización y funcionamiento de las personas que les presten servicios en términos de este ordenamiento legal…</w:t>
      </w:r>
    </w:p>
    <w:p w:rsidR="0019524B" w:rsidRPr="00670830" w:rsidRDefault="0019524B" w:rsidP="00670830">
      <w:pPr>
        <w:pStyle w:val="Prrafodelista"/>
        <w:spacing w:before="100" w:beforeAutospacing="1" w:after="100" w:afterAutospacing="1" w:line="360" w:lineRule="auto"/>
        <w:ind w:left="1485"/>
        <w:jc w:val="both"/>
        <w:rPr>
          <w:rFonts w:ascii="Arial" w:eastAsia="Arial Unicode MS" w:hAnsi="Arial" w:cs="Arial"/>
          <w:sz w:val="24"/>
          <w:szCs w:val="24"/>
        </w:rPr>
      </w:pPr>
    </w:p>
    <w:p w:rsidR="00AB5D27" w:rsidRPr="00670830" w:rsidRDefault="00AB5D27" w:rsidP="00670830">
      <w:pPr>
        <w:pStyle w:val="Prrafodelista"/>
        <w:numPr>
          <w:ilvl w:val="0"/>
          <w:numId w:val="4"/>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Reglamento interior de la BMV: el 25 de octubre de 1999 entró en vigor de acuerdo a lo autorizado por la Comisión Nacional Bancaria y de Valores.</w:t>
      </w:r>
    </w:p>
    <w:p w:rsidR="00AB5D27" w:rsidRPr="00670830" w:rsidRDefault="00AB5D27" w:rsidP="00670830">
      <w:pPr>
        <w:pStyle w:val="Prrafodelista"/>
        <w:spacing w:before="100" w:beforeAutospacing="1" w:after="100" w:afterAutospacing="1" w:line="360" w:lineRule="auto"/>
        <w:ind w:left="765"/>
        <w:jc w:val="both"/>
        <w:rPr>
          <w:rFonts w:ascii="Arial" w:eastAsia="Arial Unicode MS" w:hAnsi="Arial" w:cs="Arial"/>
          <w:sz w:val="24"/>
          <w:szCs w:val="24"/>
        </w:rPr>
      </w:pPr>
    </w:p>
    <w:p w:rsidR="00670830" w:rsidRPr="00670830" w:rsidRDefault="00AB5D27" w:rsidP="00670830">
      <w:pPr>
        <w:pStyle w:val="Prrafodelista"/>
        <w:numPr>
          <w:ilvl w:val="0"/>
          <w:numId w:val="4"/>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Código de Ética Profesional de la Comunidad Bursátil Mexicana:</w:t>
      </w:r>
      <w:r w:rsidR="00737041" w:rsidRPr="00670830">
        <w:rPr>
          <w:rFonts w:ascii="Arial" w:eastAsia="Arial Unicode MS" w:hAnsi="Arial" w:cs="Arial"/>
          <w:sz w:val="24"/>
          <w:szCs w:val="24"/>
        </w:rPr>
        <w:t xml:space="preserve"> </w:t>
      </w:r>
      <w:r w:rsidR="00C95E4D" w:rsidRPr="00670830">
        <w:rPr>
          <w:rFonts w:ascii="Arial" w:eastAsia="Arial Unicode MS" w:hAnsi="Arial" w:cs="Arial"/>
          <w:sz w:val="24"/>
          <w:szCs w:val="24"/>
        </w:rPr>
        <w:t>creado</w:t>
      </w:r>
      <w:r w:rsidRPr="00670830">
        <w:rPr>
          <w:rFonts w:ascii="Arial" w:eastAsia="Arial Unicode MS" w:hAnsi="Arial" w:cs="Arial"/>
          <w:sz w:val="24"/>
          <w:szCs w:val="24"/>
        </w:rPr>
        <w:t xml:space="preserve"> para establecer el sano uso y prácticas del mercado entre los intermediarios bursátiles con la intención de evitar la manipulación de los precios y el uso inadecuado de la operación y divulgación de información. [de Alba, 2000]</w:t>
      </w:r>
    </w:p>
    <w:p w:rsidR="00C27C3A" w:rsidRPr="00670830" w:rsidRDefault="00543DCD" w:rsidP="00670830">
      <w:pPr>
        <w:pStyle w:val="Ttulo4"/>
        <w:spacing w:before="100" w:beforeAutospacing="1" w:after="100" w:afterAutospacing="1" w:line="360" w:lineRule="auto"/>
        <w:jc w:val="both"/>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 xml:space="preserve">1.2.1.2. Casas de Bolsa </w:t>
      </w:r>
    </w:p>
    <w:p w:rsidR="0028311C" w:rsidRPr="00670830" w:rsidRDefault="0028311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Las Casas de Bolsa son sociedades anónimas dedicadas a la intermediación con valores, lo que comprende el poner en contacto a oferentes y demandantes de valores, así como ofrecer y negociar valores por cuenta propia o de terceros en el mercado primario o secundario. [</w:t>
      </w:r>
      <w:r w:rsidR="00C95E4D" w:rsidRPr="00670830">
        <w:rPr>
          <w:rFonts w:ascii="Arial" w:eastAsia="Arial Unicode MS" w:hAnsi="Arial" w:cs="Arial"/>
          <w:sz w:val="24"/>
          <w:szCs w:val="24"/>
        </w:rPr>
        <w:t>http://www.cnbv.gob.mx</w:t>
      </w:r>
      <w:r w:rsidRPr="00670830">
        <w:rPr>
          <w:rFonts w:ascii="Arial" w:eastAsia="Arial Unicode MS" w:hAnsi="Arial" w:cs="Arial"/>
          <w:sz w:val="24"/>
          <w:szCs w:val="24"/>
        </w:rPr>
        <w:t xml:space="preserve">] </w:t>
      </w:r>
    </w:p>
    <w:p w:rsidR="00645880" w:rsidRPr="00670830" w:rsidRDefault="0028311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Para organizarse y operar como casa de bolsa se requiere autorización de la CNBV.</w:t>
      </w:r>
    </w:p>
    <w:p w:rsidR="00543DCD" w:rsidRPr="00670830" w:rsidRDefault="00543DC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Las Casas de Bolsa llevan a cabo las siguientes actividades:</w:t>
      </w:r>
    </w:p>
    <w:p w:rsidR="00D770CD" w:rsidRPr="00670830" w:rsidRDefault="00543DCD" w:rsidP="00670830">
      <w:pPr>
        <w:pStyle w:val="Prrafodelista"/>
        <w:numPr>
          <w:ilvl w:val="0"/>
          <w:numId w:val="5"/>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Operan como intermediarios en el Mercado de Valores.</w:t>
      </w:r>
    </w:p>
    <w:p w:rsidR="00543DCD" w:rsidRPr="00670830" w:rsidRDefault="00543DCD" w:rsidP="00670830">
      <w:pPr>
        <w:pStyle w:val="Prrafodelista"/>
        <w:numPr>
          <w:ilvl w:val="0"/>
          <w:numId w:val="5"/>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Captan fondos para llevar a cabo las operaciones con valores que les encomiendan los inversionistas.</w:t>
      </w:r>
    </w:p>
    <w:p w:rsidR="00D770CD" w:rsidRPr="00670830" w:rsidRDefault="00543DCD" w:rsidP="00670830">
      <w:pPr>
        <w:pStyle w:val="Prrafodelista"/>
        <w:numPr>
          <w:ilvl w:val="0"/>
          <w:numId w:val="5"/>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Brindan a los interesados  asesoría en materia de valores. </w:t>
      </w:r>
    </w:p>
    <w:p w:rsidR="00D770CD" w:rsidRPr="00670830" w:rsidRDefault="00543DCD" w:rsidP="00670830">
      <w:pPr>
        <w:pStyle w:val="Prrafodelista"/>
        <w:numPr>
          <w:ilvl w:val="0"/>
          <w:numId w:val="5"/>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Actúan como representantes comunes de obligacionistas y tenedores de otros valores.</w:t>
      </w:r>
    </w:p>
    <w:p w:rsidR="00142286" w:rsidRPr="00670830" w:rsidRDefault="00543DCD" w:rsidP="00670830">
      <w:pPr>
        <w:pStyle w:val="Prrafodelista"/>
        <w:numPr>
          <w:ilvl w:val="0"/>
          <w:numId w:val="5"/>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Administran las reservas para pensiones o jubilaciones de personal. [García, 2007]</w:t>
      </w:r>
    </w:p>
    <w:p w:rsidR="00142286" w:rsidRPr="00670830" w:rsidRDefault="00C95E4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Algunas Casas de Bolsa miembros de la Bolsa Mexicana de Valores se </w:t>
      </w:r>
      <w:r w:rsidR="00D770CD" w:rsidRPr="00670830">
        <w:rPr>
          <w:rFonts w:ascii="Arial" w:eastAsia="Arial Unicode MS" w:hAnsi="Arial" w:cs="Arial"/>
          <w:sz w:val="24"/>
          <w:szCs w:val="24"/>
        </w:rPr>
        <w:t>muestran en la siguiente imagen:</w:t>
      </w:r>
      <w:r w:rsidRPr="00670830">
        <w:rPr>
          <w:rFonts w:ascii="Arial" w:eastAsia="Arial Unicode MS" w:hAnsi="Arial" w:cs="Arial"/>
          <w:sz w:val="24"/>
          <w:szCs w:val="24"/>
        </w:rPr>
        <w:t xml:space="preserve"> </w:t>
      </w:r>
    </w:p>
    <w:p w:rsidR="00C95E4D" w:rsidRPr="00670830" w:rsidRDefault="00C95E4D" w:rsidP="00670830">
      <w:pPr>
        <w:spacing w:before="100" w:beforeAutospacing="1" w:after="100" w:afterAutospacing="1" w:line="360" w:lineRule="auto"/>
        <w:jc w:val="center"/>
        <w:rPr>
          <w:rFonts w:ascii="Arial" w:eastAsia="Arial Unicode MS" w:hAnsi="Arial" w:cs="Arial"/>
          <w:sz w:val="24"/>
          <w:szCs w:val="24"/>
        </w:rPr>
      </w:pPr>
      <w:r w:rsidRPr="00670830">
        <w:rPr>
          <w:rFonts w:ascii="Arial" w:eastAsia="Arial Unicode MS" w:hAnsi="Arial" w:cs="Arial"/>
          <w:noProof/>
          <w:sz w:val="24"/>
          <w:szCs w:val="24"/>
          <w:lang w:eastAsia="es-MX"/>
        </w:rPr>
        <w:drawing>
          <wp:inline distT="0" distB="0" distL="0" distR="0" wp14:anchorId="38301B5E" wp14:editId="2896B3AD">
            <wp:extent cx="4582632" cy="4076909"/>
            <wp:effectExtent l="0" t="0" r="889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86703" cy="4080531"/>
                    </a:xfrm>
                    <a:prstGeom prst="rect">
                      <a:avLst/>
                    </a:prstGeom>
                    <a:noFill/>
                    <a:ln>
                      <a:noFill/>
                    </a:ln>
                  </pic:spPr>
                </pic:pic>
              </a:graphicData>
            </a:graphic>
          </wp:inline>
        </w:drawing>
      </w:r>
    </w:p>
    <w:p w:rsidR="00C95E4D" w:rsidRPr="00670830" w:rsidRDefault="00645880" w:rsidP="00670830">
      <w:pPr>
        <w:spacing w:before="100" w:beforeAutospacing="1" w:after="100" w:afterAutospacing="1" w:line="360" w:lineRule="auto"/>
        <w:ind w:left="708" w:hanging="708"/>
        <w:jc w:val="both"/>
        <w:rPr>
          <w:rFonts w:ascii="Arial" w:eastAsia="Arial Unicode MS" w:hAnsi="Arial" w:cs="Arial"/>
          <w:i/>
          <w:sz w:val="24"/>
          <w:szCs w:val="24"/>
        </w:rPr>
      </w:pPr>
      <w:r w:rsidRPr="00670830">
        <w:rPr>
          <w:rFonts w:ascii="Arial" w:eastAsia="Arial Unicode MS" w:hAnsi="Arial" w:cs="Arial"/>
          <w:i/>
          <w:sz w:val="24"/>
          <w:szCs w:val="24"/>
        </w:rPr>
        <w:t>Fuente:</w:t>
      </w:r>
      <w:r w:rsidR="00C95E4D" w:rsidRPr="00670830">
        <w:rPr>
          <w:rFonts w:ascii="Arial" w:eastAsia="Arial Unicode MS" w:hAnsi="Arial" w:cs="Arial"/>
          <w:i/>
          <w:sz w:val="24"/>
          <w:szCs w:val="24"/>
        </w:rPr>
        <w:t xml:space="preserve"> [http://www.bmv.com.mx]</w:t>
      </w:r>
    </w:p>
    <w:p w:rsidR="0091634D" w:rsidRPr="00670830" w:rsidRDefault="0091634D" w:rsidP="00670830">
      <w:pPr>
        <w:pStyle w:val="Ttulo4"/>
        <w:tabs>
          <w:tab w:val="left" w:pos="3960"/>
        </w:tabs>
        <w:spacing w:before="100" w:beforeAutospacing="1" w:after="100" w:afterAutospacing="1" w:line="360" w:lineRule="auto"/>
        <w:jc w:val="both"/>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1.2.1.3. Fondo</w:t>
      </w:r>
      <w:r w:rsidR="0038359F" w:rsidRPr="00670830">
        <w:rPr>
          <w:rFonts w:ascii="Arial" w:eastAsia="Arial Unicode MS" w:hAnsi="Arial" w:cs="Arial"/>
          <w:i w:val="0"/>
          <w:color w:val="auto"/>
          <w:sz w:val="24"/>
          <w:szCs w:val="24"/>
        </w:rPr>
        <w:t xml:space="preserve">s de inversión </w:t>
      </w:r>
      <w:r w:rsidR="0038359F" w:rsidRPr="00670830">
        <w:rPr>
          <w:rFonts w:ascii="Arial" w:eastAsia="Arial Unicode MS" w:hAnsi="Arial" w:cs="Arial"/>
          <w:b w:val="0"/>
          <w:i w:val="0"/>
          <w:color w:val="auto"/>
          <w:sz w:val="24"/>
          <w:szCs w:val="24"/>
        </w:rPr>
        <w:t>(</w:t>
      </w:r>
      <w:r w:rsidR="0038359F" w:rsidRPr="00670830">
        <w:rPr>
          <w:rFonts w:ascii="Arial" w:eastAsia="Arial Unicode MS" w:hAnsi="Arial" w:cs="Arial"/>
          <w:b w:val="0"/>
          <w:color w:val="auto"/>
          <w:sz w:val="24"/>
          <w:szCs w:val="24"/>
        </w:rPr>
        <w:t>antes</w:t>
      </w:r>
      <w:r w:rsidRPr="00670830">
        <w:rPr>
          <w:rFonts w:ascii="Arial" w:eastAsia="Arial Unicode MS" w:hAnsi="Arial" w:cs="Arial"/>
          <w:b w:val="0"/>
          <w:color w:val="auto"/>
          <w:sz w:val="24"/>
          <w:szCs w:val="24"/>
        </w:rPr>
        <w:t xml:space="preserve"> Sociedades de inversión</w:t>
      </w:r>
      <w:r w:rsidRPr="00670830">
        <w:rPr>
          <w:rFonts w:ascii="Arial" w:eastAsia="Arial Unicode MS" w:hAnsi="Arial" w:cs="Arial"/>
          <w:b w:val="0"/>
          <w:i w:val="0"/>
          <w:color w:val="auto"/>
          <w:sz w:val="24"/>
          <w:szCs w:val="24"/>
        </w:rPr>
        <w:t>)</w:t>
      </w:r>
    </w:p>
    <w:p w:rsidR="0019524B" w:rsidRPr="00670830" w:rsidRDefault="0091634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Se pueden definir como instituciones de inversión colectiva, cuya estructura jurídica se encuentra basada en la Sociedad Anónima simplificada (a fin de disminuir costos en su operación y funcionamiento). </w:t>
      </w:r>
    </w:p>
    <w:p w:rsidR="0091634D" w:rsidRPr="00670830" w:rsidRDefault="0091634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Estas instituciones forman carteras de valores o portafolios de inversión con los recursos que captan del público inversionista con la finalidad de canalizar los ahorros de pequeños y medianos inversionistas al Mercado de Valores. [http://www.amib.com.mx]</w:t>
      </w:r>
    </w:p>
    <w:p w:rsidR="00D770CD" w:rsidRPr="00670830" w:rsidRDefault="00D770CD" w:rsidP="00670830">
      <w:pPr>
        <w:spacing w:line="360" w:lineRule="auto"/>
        <w:jc w:val="both"/>
        <w:rPr>
          <w:rFonts w:ascii="Arial" w:hAnsi="Arial" w:cs="Arial"/>
          <w:sz w:val="24"/>
          <w:szCs w:val="24"/>
        </w:rPr>
      </w:pPr>
      <w:r w:rsidRPr="00670830">
        <w:rPr>
          <w:rFonts w:ascii="Arial" w:hAnsi="Arial" w:cs="Arial"/>
          <w:sz w:val="24"/>
          <w:szCs w:val="24"/>
        </w:rPr>
        <w:t>Los fondos de inversión son instrumentos a través de los cuales muchas personas agrupan sus recursos para realizar inversiones. Las aportaciones, en su conjunto, suman un capital mayor que es capaz de generar mejores rendimientos para los inversionistas. Vehículos como éste, han dado entrada a los pequeños ahorradores para acceder a los rendimientos que antes eran exclusivos para grandes capitales.</w:t>
      </w:r>
    </w:p>
    <w:p w:rsidR="00D770CD" w:rsidRPr="00670830" w:rsidRDefault="00D770CD" w:rsidP="00670830">
      <w:pPr>
        <w:spacing w:line="360" w:lineRule="auto"/>
        <w:jc w:val="both"/>
        <w:rPr>
          <w:rFonts w:ascii="Arial" w:hAnsi="Arial" w:cs="Arial"/>
          <w:sz w:val="24"/>
          <w:szCs w:val="24"/>
        </w:rPr>
      </w:pPr>
      <w:r w:rsidRPr="00670830">
        <w:rPr>
          <w:rFonts w:ascii="Arial" w:hAnsi="Arial" w:cs="Arial"/>
          <w:sz w:val="24"/>
          <w:szCs w:val="24"/>
        </w:rPr>
        <w:t>Se pueden clasificar en dos grandes grupos, los fondos de deuda y los de renta variable.</w:t>
      </w:r>
    </w:p>
    <w:p w:rsidR="00D770CD" w:rsidRPr="00670830" w:rsidRDefault="00D770CD" w:rsidP="00670830">
      <w:pPr>
        <w:spacing w:line="360" w:lineRule="auto"/>
        <w:jc w:val="both"/>
        <w:rPr>
          <w:rFonts w:ascii="Arial" w:hAnsi="Arial" w:cs="Arial"/>
          <w:sz w:val="24"/>
          <w:szCs w:val="24"/>
        </w:rPr>
      </w:pPr>
      <w:r w:rsidRPr="00670830">
        <w:rPr>
          <w:rFonts w:ascii="Arial" w:hAnsi="Arial" w:cs="Arial"/>
          <w:sz w:val="24"/>
          <w:szCs w:val="24"/>
        </w:rPr>
        <w:t>Los primeros, invierten los recursos en títulos de deuda que emite el gobierno federal, como Cetes o Bonos, bancos o empresas.</w:t>
      </w:r>
    </w:p>
    <w:p w:rsidR="006B12EF" w:rsidRPr="00670830" w:rsidRDefault="00D770CD" w:rsidP="00670830">
      <w:pPr>
        <w:spacing w:line="360" w:lineRule="auto"/>
        <w:jc w:val="both"/>
        <w:rPr>
          <w:rFonts w:ascii="Arial" w:hAnsi="Arial" w:cs="Arial"/>
          <w:sz w:val="24"/>
          <w:szCs w:val="24"/>
        </w:rPr>
      </w:pPr>
      <w:r w:rsidRPr="00670830">
        <w:rPr>
          <w:rFonts w:ascii="Arial" w:hAnsi="Arial" w:cs="Arial"/>
          <w:sz w:val="24"/>
          <w:szCs w:val="24"/>
        </w:rPr>
        <w:t>Por su parte, los fondos de renta variable invierten en acciones de empresas que cotizan en la Bolsa Mexicana de Valores y, a diferencia de los instrumentos de deuda, no pagan un rendimiento determinado.</w:t>
      </w:r>
      <w:r w:rsidR="003B7B62" w:rsidRPr="00670830">
        <w:rPr>
          <w:rFonts w:ascii="Arial" w:hAnsi="Arial" w:cs="Arial"/>
          <w:sz w:val="24"/>
          <w:szCs w:val="24"/>
        </w:rPr>
        <w:t xml:space="preserve"> </w:t>
      </w:r>
    </w:p>
    <w:p w:rsidR="00D770CD" w:rsidRPr="00670830" w:rsidRDefault="003B7B62" w:rsidP="00670830">
      <w:pPr>
        <w:spacing w:line="360" w:lineRule="auto"/>
        <w:jc w:val="both"/>
        <w:rPr>
          <w:rFonts w:ascii="Arial" w:hAnsi="Arial" w:cs="Arial"/>
          <w:sz w:val="24"/>
          <w:szCs w:val="24"/>
        </w:rPr>
      </w:pPr>
      <w:r w:rsidRPr="00670830">
        <w:rPr>
          <w:rFonts w:ascii="Arial" w:hAnsi="Arial" w:cs="Arial"/>
          <w:sz w:val="24"/>
          <w:szCs w:val="24"/>
        </w:rPr>
        <w:t>[http://eleconomista.com.mx/finanzas-personales/2013/05/23/guia-sobre-fondos-inversion-principiantes]</w:t>
      </w:r>
    </w:p>
    <w:p w:rsidR="00645880" w:rsidRPr="00670830" w:rsidRDefault="00D770CD" w:rsidP="00670830">
      <w:pPr>
        <w:spacing w:line="360" w:lineRule="auto"/>
        <w:rPr>
          <w:rFonts w:ascii="Arial" w:hAnsi="Arial" w:cs="Arial"/>
          <w:sz w:val="24"/>
          <w:szCs w:val="24"/>
        </w:rPr>
      </w:pPr>
      <w:r w:rsidRPr="00670830">
        <w:rPr>
          <w:rFonts w:ascii="Arial" w:hAnsi="Arial" w:cs="Arial"/>
          <w:sz w:val="24"/>
          <w:szCs w:val="24"/>
        </w:rPr>
        <w:t xml:space="preserve"> </w:t>
      </w:r>
    </w:p>
    <w:p w:rsidR="00A22085" w:rsidRPr="00670830" w:rsidRDefault="002840F1" w:rsidP="00670830">
      <w:pPr>
        <w:pStyle w:val="Ttulo3"/>
        <w:spacing w:before="100" w:beforeAutospacing="1" w:after="100" w:afterAutospacing="1" w:line="360" w:lineRule="auto"/>
        <w:jc w:val="both"/>
        <w:rPr>
          <w:rFonts w:ascii="Arial" w:eastAsia="Arial Unicode MS" w:hAnsi="Arial" w:cs="Arial"/>
          <w:color w:val="auto"/>
          <w:sz w:val="24"/>
          <w:szCs w:val="24"/>
        </w:rPr>
      </w:pPr>
      <w:bookmarkStart w:id="5" w:name="_Toc488230482"/>
      <w:r w:rsidRPr="00670830">
        <w:rPr>
          <w:rFonts w:ascii="Arial" w:eastAsia="Arial Unicode MS" w:hAnsi="Arial" w:cs="Arial"/>
          <w:color w:val="auto"/>
          <w:sz w:val="24"/>
          <w:szCs w:val="24"/>
        </w:rPr>
        <w:t>1.2.2</w:t>
      </w:r>
      <w:r w:rsidR="00A22085" w:rsidRPr="00670830">
        <w:rPr>
          <w:rFonts w:ascii="Arial" w:eastAsia="Arial Unicode MS" w:hAnsi="Arial" w:cs="Arial"/>
          <w:color w:val="auto"/>
          <w:sz w:val="24"/>
          <w:szCs w:val="24"/>
        </w:rPr>
        <w:t>. El Sistema Bancario Mexicano</w:t>
      </w:r>
      <w:bookmarkEnd w:id="5"/>
    </w:p>
    <w:p w:rsidR="00C53346" w:rsidRPr="00670830" w:rsidRDefault="00C5334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Los servicios de banca y crédito son funciones que pueden realizar sólo las instituciones de crédito. En términos generales, éstas consisten en canalizar los recursos financieros excedentes de ahorradores e inversionistas, a aquellos que los requieren a cambio del pago de un interés con el compromiso de rembolsarlos en el tiempo y la forma pactados. </w:t>
      </w:r>
    </w:p>
    <w:p w:rsidR="00C53346" w:rsidRPr="00670830" w:rsidRDefault="00C5334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Así, el banco obtiene recursos por medio de instrumentos de captación convirtiéndose en deudor hacia el ahorrador (el banco adquiere un pasivo), y por el otro lado, coloca directamente los recursos, tomando documentos que amparan los créditos y convirtiéndose en acreedor (el banco adquiere un activo).  [http://www.cnbv.gob.mx]</w:t>
      </w:r>
    </w:p>
    <w:p w:rsidR="00AA2D34" w:rsidRPr="00670830" w:rsidRDefault="000D4D7E"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El actual sistema bancario mexicano tiene sus orígenes en 1925, cuando se creó el Banco de México con la intención de que funcionara como eje central del nuevo sistema. Durante la Revolución de 1910, en su etapa violenta, se destruyó la estructura bancaria heredada del </w:t>
      </w:r>
      <w:proofErr w:type="spellStart"/>
      <w:r w:rsidRPr="00670830">
        <w:rPr>
          <w:rFonts w:ascii="Arial" w:eastAsia="Arial Unicode MS" w:hAnsi="Arial" w:cs="Arial"/>
          <w:sz w:val="24"/>
          <w:szCs w:val="24"/>
        </w:rPr>
        <w:t>Porfiriato</w:t>
      </w:r>
      <w:proofErr w:type="spellEnd"/>
      <w:r w:rsidRPr="00670830">
        <w:rPr>
          <w:rFonts w:ascii="Arial" w:eastAsia="Arial Unicode MS" w:hAnsi="Arial" w:cs="Arial"/>
          <w:sz w:val="24"/>
          <w:szCs w:val="24"/>
        </w:rPr>
        <w:t xml:space="preserve">, sistema que, por cierto, </w:t>
      </w:r>
      <w:r w:rsidR="00AA2D34" w:rsidRPr="00670830">
        <w:rPr>
          <w:rFonts w:ascii="Arial" w:eastAsia="Arial Unicode MS" w:hAnsi="Arial" w:cs="Arial"/>
          <w:sz w:val="24"/>
          <w:szCs w:val="24"/>
        </w:rPr>
        <w:t>había tropezado con ciertas dificultades ya antes de la Revolución.</w:t>
      </w:r>
    </w:p>
    <w:p w:rsidR="00D970C3" w:rsidRPr="00670830" w:rsidRDefault="000D4D7E"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 </w:t>
      </w:r>
      <w:r w:rsidR="00AA2D34" w:rsidRPr="00670830">
        <w:rPr>
          <w:rFonts w:ascii="Arial" w:eastAsia="Arial Unicode MS" w:hAnsi="Arial" w:cs="Arial"/>
          <w:sz w:val="24"/>
          <w:szCs w:val="24"/>
        </w:rPr>
        <w:t>Las nuevas leyes monetarias y bancarias de 1932 y el funcionamiento eficaz del Banco de México fueron el punto de partida para el desarrollo y fortalecimiento del sistema bancario mexicano, al grado que en nuestros días, se reconoce por propios y extraños  como uno de los más eficaces y elaborados del grupo de países que se encuentra en una etapa de desarrollo económico similar a la de México.</w:t>
      </w:r>
    </w:p>
    <w:p w:rsidR="0019524B" w:rsidRPr="00670830" w:rsidRDefault="00D970C3"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w:t>
      </w:r>
      <w:r w:rsidRPr="00670830">
        <w:rPr>
          <w:rStyle w:val="CitaHTML"/>
          <w:rFonts w:ascii="Arial" w:hAnsi="Arial" w:cs="Arial"/>
          <w:i w:val="0"/>
          <w:sz w:val="24"/>
          <w:szCs w:val="24"/>
        </w:rPr>
        <w:t>ftp.itam.mx/pub/academico/licencia/DivEco/ecomex/.../BETETA1.doc</w:t>
      </w:r>
      <w:r w:rsidR="0019524B" w:rsidRPr="00670830">
        <w:rPr>
          <w:rFonts w:ascii="Arial" w:eastAsia="Arial Unicode MS" w:hAnsi="Arial" w:cs="Arial"/>
          <w:sz w:val="24"/>
          <w:szCs w:val="24"/>
        </w:rPr>
        <w:t>]</w:t>
      </w:r>
    </w:p>
    <w:p w:rsidR="00C53346" w:rsidRPr="00670830" w:rsidRDefault="00AA2D3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Actualmente, e</w:t>
      </w:r>
      <w:r w:rsidR="00C53346" w:rsidRPr="00670830">
        <w:rPr>
          <w:rFonts w:ascii="Arial" w:eastAsia="Arial Unicode MS" w:hAnsi="Arial" w:cs="Arial"/>
          <w:sz w:val="24"/>
          <w:szCs w:val="24"/>
        </w:rPr>
        <w:t>l sistema bancario mexicano está integrado por:</w:t>
      </w:r>
    </w:p>
    <w:p w:rsidR="00B3483C" w:rsidRPr="00670830" w:rsidRDefault="00B3483C" w:rsidP="00670830">
      <w:pPr>
        <w:pStyle w:val="Prrafodelista"/>
        <w:numPr>
          <w:ilvl w:val="0"/>
          <w:numId w:val="6"/>
        </w:numPr>
        <w:spacing w:before="120" w:after="24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El Banco de México</w:t>
      </w:r>
    </w:p>
    <w:p w:rsidR="00B3483C" w:rsidRPr="00670830" w:rsidRDefault="00670830" w:rsidP="00670830">
      <w:pPr>
        <w:pStyle w:val="Prrafodelista"/>
        <w:numPr>
          <w:ilvl w:val="0"/>
          <w:numId w:val="6"/>
        </w:numPr>
        <w:spacing w:before="120" w:after="240" w:line="360" w:lineRule="auto"/>
        <w:ind w:left="714" w:hanging="357"/>
        <w:jc w:val="both"/>
        <w:rPr>
          <w:rFonts w:ascii="Arial" w:eastAsia="Arial Unicode MS" w:hAnsi="Arial" w:cs="Arial"/>
          <w:sz w:val="24"/>
          <w:szCs w:val="24"/>
        </w:rPr>
      </w:pPr>
      <w:r>
        <w:rPr>
          <w:rFonts w:ascii="Arial" w:eastAsia="Arial Unicode MS" w:hAnsi="Arial" w:cs="Arial"/>
          <w:sz w:val="24"/>
          <w:szCs w:val="24"/>
        </w:rPr>
        <w:t>Instituciones de banca múltiple</w:t>
      </w:r>
    </w:p>
    <w:p w:rsidR="00B3483C" w:rsidRPr="00670830" w:rsidRDefault="00C53346" w:rsidP="00670830">
      <w:pPr>
        <w:pStyle w:val="Prrafodelista"/>
        <w:numPr>
          <w:ilvl w:val="0"/>
          <w:numId w:val="6"/>
        </w:numPr>
        <w:spacing w:before="120" w:after="24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Insti</w:t>
      </w:r>
      <w:r w:rsidR="00B3483C" w:rsidRPr="00670830">
        <w:rPr>
          <w:rFonts w:ascii="Arial" w:eastAsia="Arial Unicode MS" w:hAnsi="Arial" w:cs="Arial"/>
          <w:sz w:val="24"/>
          <w:szCs w:val="24"/>
        </w:rPr>
        <w:t>tuciones de banca de desarrollo</w:t>
      </w:r>
    </w:p>
    <w:p w:rsidR="00B3483C" w:rsidRPr="00670830" w:rsidRDefault="00C53346" w:rsidP="00670830">
      <w:pPr>
        <w:pStyle w:val="Prrafodelista"/>
        <w:numPr>
          <w:ilvl w:val="0"/>
          <w:numId w:val="6"/>
        </w:numPr>
        <w:spacing w:before="120" w:after="24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Los fideicomisos públicos constituidos por el Gobierno Federal para el fomento económico que realicen actividades fin</w:t>
      </w:r>
      <w:r w:rsidR="00B3483C" w:rsidRPr="00670830">
        <w:rPr>
          <w:rFonts w:ascii="Arial" w:eastAsia="Arial Unicode MS" w:hAnsi="Arial" w:cs="Arial"/>
          <w:sz w:val="24"/>
          <w:szCs w:val="24"/>
        </w:rPr>
        <w:t>ancieras</w:t>
      </w:r>
    </w:p>
    <w:p w:rsidR="00FA2EED" w:rsidRPr="00670830" w:rsidRDefault="00C53346" w:rsidP="00670830">
      <w:pPr>
        <w:pStyle w:val="Prrafodelista"/>
        <w:numPr>
          <w:ilvl w:val="0"/>
          <w:numId w:val="6"/>
        </w:numPr>
        <w:spacing w:before="120" w:after="24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Los organismos auto regulatorios.</w:t>
      </w:r>
    </w:p>
    <w:p w:rsidR="002840F1" w:rsidRPr="00670830" w:rsidRDefault="002840F1" w:rsidP="00670830">
      <w:pPr>
        <w:pStyle w:val="Ttulo4"/>
        <w:spacing w:before="100" w:beforeAutospacing="1" w:after="100" w:afterAutospacing="1" w:line="360" w:lineRule="auto"/>
        <w:jc w:val="both"/>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1.2.2.</w:t>
      </w:r>
      <w:r w:rsidR="0004620F" w:rsidRPr="00670830">
        <w:rPr>
          <w:rFonts w:ascii="Arial" w:eastAsia="Arial Unicode MS" w:hAnsi="Arial" w:cs="Arial"/>
          <w:i w:val="0"/>
          <w:color w:val="auto"/>
          <w:sz w:val="24"/>
          <w:szCs w:val="24"/>
        </w:rPr>
        <w:t>1.</w:t>
      </w:r>
      <w:r w:rsidRPr="00670830">
        <w:rPr>
          <w:rFonts w:ascii="Arial" w:eastAsia="Arial Unicode MS" w:hAnsi="Arial" w:cs="Arial"/>
          <w:i w:val="0"/>
          <w:color w:val="auto"/>
          <w:sz w:val="24"/>
          <w:szCs w:val="24"/>
        </w:rPr>
        <w:t xml:space="preserve"> Instituciones de banca múltiple</w:t>
      </w:r>
    </w:p>
    <w:p w:rsidR="00D970C3" w:rsidRPr="00670830" w:rsidRDefault="00024BAE"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Son Instituciones de Crédito o Bancos especializadas en la intermediación de crédito, cuyo principal objetivo es la realización de utilidades provenientes de diferenciales de tasas entre las operaciones de captación (operaciones pasivas) y las de colocación de recursos (operaciones activas).</w:t>
      </w:r>
    </w:p>
    <w:p w:rsidR="00024BAE" w:rsidRPr="00670830" w:rsidRDefault="00676701"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Las instituciones de banca múltiple, o banca comercial, son empresas que realizan operaciones de captación de recursos de ahorradores e inversionistas, para después colocarlos, es decir otorgar créditos, a las personas o empresas que lo requieran y que sean sujetos de crédito.</w:t>
      </w:r>
      <w:r w:rsidR="00024BAE" w:rsidRPr="00670830">
        <w:rPr>
          <w:rFonts w:ascii="Arial" w:eastAsia="Arial Unicode MS" w:hAnsi="Arial" w:cs="Arial"/>
          <w:sz w:val="24"/>
          <w:szCs w:val="24"/>
        </w:rPr>
        <w:t xml:space="preserve"> Puede ser definida como una sociedad anónima a la que el Gobierno Federal. </w:t>
      </w:r>
    </w:p>
    <w:p w:rsidR="00024BAE" w:rsidRPr="00670830" w:rsidRDefault="00024BAE"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Secretaría de Hacienda y Crédito Público, les ha otorgado autorización (a partir de julio de 1990) para dedicarse al ejercicio habitual y profesional de banca y crédito en los ramos de depósito, ahorro, financiero, hipotecario, fiduciario y servicios conexos.</w:t>
      </w:r>
    </w:p>
    <w:p w:rsidR="00B25A92" w:rsidRPr="00670830" w:rsidRDefault="00676701" w:rsidP="00670830">
      <w:pPr>
        <w:tabs>
          <w:tab w:val="left" w:pos="313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Comisión Nacional Bancaria y de Valores (CNBV) se encarga de emitir reglas de carácter general, así como de supervisar a las instituciones de banca múltiple. Banco de México, por su parte, emite diversas disposiciones dirigidas a las instituciones de crédito. [http://www.amaii.com.mx]</w:t>
      </w:r>
    </w:p>
    <w:p w:rsidR="00D970C3" w:rsidRPr="00670830" w:rsidRDefault="00024BAE" w:rsidP="00670830">
      <w:pPr>
        <w:pStyle w:val="Ttulo4"/>
        <w:spacing w:before="100" w:beforeAutospacing="1" w:after="100" w:afterAutospacing="1" w:line="360" w:lineRule="auto"/>
        <w:jc w:val="both"/>
        <w:rPr>
          <w:rFonts w:ascii="Arial" w:eastAsia="Arial Unicode MS" w:hAnsi="Arial" w:cs="Arial"/>
          <w:b w:val="0"/>
          <w:i w:val="0"/>
          <w:color w:val="auto"/>
          <w:sz w:val="24"/>
          <w:szCs w:val="24"/>
        </w:rPr>
      </w:pPr>
      <w:r w:rsidRPr="00670830">
        <w:rPr>
          <w:rFonts w:ascii="Arial" w:eastAsia="Arial Unicode MS" w:hAnsi="Arial" w:cs="Arial"/>
          <w:b w:val="0"/>
          <w:i w:val="0"/>
          <w:color w:val="auto"/>
          <w:sz w:val="24"/>
          <w:szCs w:val="24"/>
        </w:rPr>
        <w:t>La banca tiene tres funciones primordiales:</w:t>
      </w:r>
    </w:p>
    <w:p w:rsidR="0019524B" w:rsidRPr="00670830" w:rsidRDefault="00024BAE" w:rsidP="00670830">
      <w:pPr>
        <w:pStyle w:val="Prrafodelista"/>
        <w:numPr>
          <w:ilvl w:val="0"/>
          <w:numId w:val="32"/>
        </w:numPr>
        <w:spacing w:line="360" w:lineRule="auto"/>
        <w:jc w:val="both"/>
        <w:rPr>
          <w:rFonts w:ascii="Arial" w:hAnsi="Arial" w:cs="Arial"/>
          <w:sz w:val="24"/>
          <w:szCs w:val="24"/>
        </w:rPr>
      </w:pPr>
      <w:r w:rsidRPr="00670830">
        <w:rPr>
          <w:rFonts w:ascii="Arial" w:hAnsi="Arial" w:cs="Arial"/>
          <w:sz w:val="24"/>
          <w:szCs w:val="24"/>
        </w:rPr>
        <w:t>Administrar el ahorro</w:t>
      </w:r>
    </w:p>
    <w:p w:rsidR="0019524B" w:rsidRPr="00670830" w:rsidRDefault="00024BAE" w:rsidP="00670830">
      <w:pPr>
        <w:pStyle w:val="Prrafodelista"/>
        <w:numPr>
          <w:ilvl w:val="0"/>
          <w:numId w:val="32"/>
        </w:numPr>
        <w:spacing w:line="360" w:lineRule="auto"/>
        <w:jc w:val="both"/>
        <w:rPr>
          <w:rFonts w:ascii="Arial" w:hAnsi="Arial" w:cs="Arial"/>
          <w:sz w:val="24"/>
          <w:szCs w:val="24"/>
        </w:rPr>
      </w:pPr>
      <w:r w:rsidRPr="00670830">
        <w:rPr>
          <w:rFonts w:ascii="Arial" w:hAnsi="Arial" w:cs="Arial"/>
          <w:sz w:val="24"/>
          <w:szCs w:val="24"/>
        </w:rPr>
        <w:t>Transformar el ahorro en créditos para apoyar los proyectos productivos y</w:t>
      </w:r>
    </w:p>
    <w:p w:rsidR="0019524B" w:rsidRPr="00670830" w:rsidRDefault="0019524B" w:rsidP="00670830">
      <w:pPr>
        <w:pStyle w:val="Prrafodelista"/>
        <w:spacing w:line="360" w:lineRule="auto"/>
        <w:jc w:val="both"/>
        <w:rPr>
          <w:rFonts w:ascii="Arial" w:hAnsi="Arial" w:cs="Arial"/>
          <w:sz w:val="24"/>
          <w:szCs w:val="24"/>
        </w:rPr>
      </w:pPr>
    </w:p>
    <w:p w:rsidR="00024BAE" w:rsidRPr="00670830" w:rsidRDefault="00024BAE" w:rsidP="00670830">
      <w:pPr>
        <w:pStyle w:val="Prrafodelista"/>
        <w:numPr>
          <w:ilvl w:val="0"/>
          <w:numId w:val="32"/>
        </w:numPr>
        <w:spacing w:line="360" w:lineRule="auto"/>
        <w:jc w:val="both"/>
        <w:rPr>
          <w:rFonts w:ascii="Arial" w:hAnsi="Arial" w:cs="Arial"/>
          <w:sz w:val="24"/>
          <w:szCs w:val="24"/>
        </w:rPr>
      </w:pPr>
      <w:r w:rsidRPr="00670830">
        <w:rPr>
          <w:rFonts w:ascii="Arial" w:hAnsi="Arial" w:cs="Arial"/>
          <w:sz w:val="24"/>
          <w:szCs w:val="24"/>
        </w:rPr>
        <w:t>Administrar el sistema de pagos que permite la liquidación de las operaciones comerciales.</w:t>
      </w:r>
    </w:p>
    <w:p w:rsidR="0019524B" w:rsidRPr="00670830" w:rsidRDefault="0019524B" w:rsidP="00670830">
      <w:pPr>
        <w:spacing w:line="360" w:lineRule="auto"/>
        <w:jc w:val="both"/>
        <w:rPr>
          <w:rFonts w:ascii="Arial" w:hAnsi="Arial" w:cs="Arial"/>
          <w:sz w:val="24"/>
          <w:szCs w:val="24"/>
        </w:rPr>
      </w:pPr>
    </w:p>
    <w:p w:rsidR="00024BAE" w:rsidRPr="00670830" w:rsidRDefault="0092691A" w:rsidP="00670830">
      <w:pPr>
        <w:spacing w:line="360" w:lineRule="auto"/>
        <w:jc w:val="both"/>
        <w:rPr>
          <w:rFonts w:ascii="Arial" w:hAnsi="Arial" w:cs="Arial"/>
          <w:b/>
          <w:sz w:val="24"/>
          <w:szCs w:val="24"/>
          <w:u w:val="single"/>
        </w:rPr>
      </w:pPr>
      <w:r w:rsidRPr="00670830">
        <w:rPr>
          <w:rFonts w:ascii="Arial" w:hAnsi="Arial" w:cs="Arial"/>
          <w:b/>
          <w:sz w:val="24"/>
          <w:szCs w:val="24"/>
          <w:u w:val="single"/>
        </w:rPr>
        <w:t>Administrar el ahorro:</w:t>
      </w:r>
    </w:p>
    <w:p w:rsidR="0092691A" w:rsidRPr="00670830" w:rsidRDefault="0092691A" w:rsidP="00670830">
      <w:pPr>
        <w:spacing w:line="360" w:lineRule="auto"/>
        <w:jc w:val="both"/>
        <w:rPr>
          <w:rFonts w:ascii="Arial" w:hAnsi="Arial" w:cs="Arial"/>
          <w:sz w:val="24"/>
          <w:szCs w:val="24"/>
        </w:rPr>
      </w:pPr>
      <w:r w:rsidRPr="00670830">
        <w:rPr>
          <w:rFonts w:ascii="Arial" w:hAnsi="Arial" w:cs="Arial"/>
          <w:sz w:val="24"/>
          <w:szCs w:val="24"/>
        </w:rPr>
        <w:t>En una economía siempre hay personas o empresas que por alguna razón tienen ingresos mayores a sus gastos generando así un excedente que ahorran para un consumo o inversión posterior. La administración de una parte importante de los ahorros</w:t>
      </w:r>
      <w:r w:rsidR="0079758C" w:rsidRPr="00670830">
        <w:rPr>
          <w:rFonts w:ascii="Arial" w:hAnsi="Arial" w:cs="Arial"/>
          <w:sz w:val="24"/>
          <w:szCs w:val="24"/>
        </w:rPr>
        <w:t xml:space="preserve"> </w:t>
      </w:r>
      <w:r w:rsidRPr="00670830">
        <w:rPr>
          <w:rFonts w:ascii="Arial" w:hAnsi="Arial" w:cs="Arial"/>
          <w:sz w:val="24"/>
          <w:szCs w:val="24"/>
        </w:rPr>
        <w:t>de todas esas personas y empresas es responsabilidad de la banca; de ahí la relevancia de que los bancos asignen especial cuidado a quién le prestan, pues en última instancia no son sus recursos, si no los de la sociedad.</w:t>
      </w:r>
    </w:p>
    <w:p w:rsidR="0092691A" w:rsidRPr="00670830" w:rsidRDefault="0092691A" w:rsidP="00670830">
      <w:pPr>
        <w:spacing w:line="360" w:lineRule="auto"/>
        <w:jc w:val="both"/>
        <w:rPr>
          <w:rFonts w:ascii="Arial" w:hAnsi="Arial" w:cs="Arial"/>
          <w:sz w:val="24"/>
          <w:szCs w:val="24"/>
        </w:rPr>
      </w:pPr>
      <w:r w:rsidRPr="00670830">
        <w:rPr>
          <w:rFonts w:ascii="Arial" w:hAnsi="Arial" w:cs="Arial"/>
          <w:sz w:val="24"/>
          <w:szCs w:val="24"/>
        </w:rPr>
        <w:t>También por ello existen leyes y regulaciones que indican qué se puede hacer con ese dinero y autoridades que supervisan que se cumplan dichas disposiciones.</w:t>
      </w:r>
    </w:p>
    <w:p w:rsidR="004703B2" w:rsidRPr="00670830" w:rsidRDefault="0092691A" w:rsidP="00670830">
      <w:pPr>
        <w:spacing w:line="360" w:lineRule="auto"/>
        <w:jc w:val="both"/>
        <w:rPr>
          <w:rFonts w:ascii="Arial" w:hAnsi="Arial" w:cs="Arial"/>
          <w:sz w:val="24"/>
          <w:szCs w:val="24"/>
        </w:rPr>
      </w:pPr>
      <w:r w:rsidRPr="00670830">
        <w:rPr>
          <w:rFonts w:ascii="Arial" w:hAnsi="Arial" w:cs="Arial"/>
          <w:sz w:val="24"/>
          <w:szCs w:val="24"/>
        </w:rPr>
        <w:t>Adicionalmente, para proteger los recursos de los ahorradores, como en la mayoría de las naciones desarrolladas, existe un seguro de depósito que busca proteger a los pequeños ahorradores estableciendo un límite a la cobertura que ofrece, en este caso en México será en 2005 el equivalente a 300 mil UDIS; ya que se considera que quienes tienen mayores recursos tienen conocimientos para identificar el riesgo en qué incurren al confiar sus recursos a determinadas instituciones.</w:t>
      </w:r>
    </w:p>
    <w:p w:rsidR="0019524B" w:rsidRPr="00670830" w:rsidRDefault="0019524B" w:rsidP="00670830">
      <w:pPr>
        <w:spacing w:line="360" w:lineRule="auto"/>
        <w:jc w:val="both"/>
        <w:rPr>
          <w:rFonts w:ascii="Arial" w:hAnsi="Arial" w:cs="Arial"/>
          <w:sz w:val="24"/>
          <w:szCs w:val="24"/>
        </w:rPr>
      </w:pPr>
    </w:p>
    <w:p w:rsidR="004703B2" w:rsidRPr="00670830" w:rsidRDefault="004703B2" w:rsidP="00670830">
      <w:pPr>
        <w:spacing w:line="360" w:lineRule="auto"/>
        <w:jc w:val="both"/>
        <w:rPr>
          <w:rFonts w:ascii="Arial" w:hAnsi="Arial" w:cs="Arial"/>
          <w:b/>
          <w:sz w:val="24"/>
          <w:szCs w:val="24"/>
          <w:u w:val="single"/>
        </w:rPr>
      </w:pPr>
      <w:r w:rsidRPr="00670830">
        <w:rPr>
          <w:rFonts w:ascii="Arial" w:hAnsi="Arial" w:cs="Arial"/>
          <w:b/>
          <w:sz w:val="24"/>
          <w:szCs w:val="24"/>
          <w:u w:val="single"/>
        </w:rPr>
        <w:t>Crédito:</w:t>
      </w:r>
    </w:p>
    <w:p w:rsidR="004703B2" w:rsidRPr="00670830" w:rsidRDefault="004703B2" w:rsidP="00670830">
      <w:pPr>
        <w:spacing w:line="360" w:lineRule="auto"/>
        <w:jc w:val="both"/>
        <w:rPr>
          <w:rFonts w:ascii="Arial" w:hAnsi="Arial" w:cs="Arial"/>
          <w:sz w:val="24"/>
          <w:szCs w:val="24"/>
        </w:rPr>
      </w:pPr>
      <w:r w:rsidRPr="00670830">
        <w:rPr>
          <w:rFonts w:ascii="Arial" w:hAnsi="Arial" w:cs="Arial"/>
          <w:sz w:val="24"/>
          <w:szCs w:val="24"/>
        </w:rPr>
        <w:t>La Banca convierte la gran masa de pequeños ahorros, típicamente de corto plazo y adversos al riesgo, en crédito a distintos plazos y en instrumentos de inversión para otros agentes que toleran mayores niveles de riesgo.</w:t>
      </w:r>
    </w:p>
    <w:p w:rsidR="004703B2" w:rsidRPr="00670830" w:rsidRDefault="004703B2" w:rsidP="00670830">
      <w:pPr>
        <w:spacing w:line="360" w:lineRule="auto"/>
        <w:jc w:val="both"/>
        <w:rPr>
          <w:rFonts w:ascii="Arial" w:hAnsi="Arial" w:cs="Arial"/>
          <w:sz w:val="24"/>
          <w:szCs w:val="24"/>
        </w:rPr>
      </w:pPr>
      <w:r w:rsidRPr="00670830">
        <w:rPr>
          <w:rFonts w:ascii="Arial" w:hAnsi="Arial" w:cs="Arial"/>
          <w:sz w:val="24"/>
          <w:szCs w:val="24"/>
        </w:rPr>
        <w:t>Esta intermediación está sujeta a leyes, regulaciones y políticas que son supervisadas, tanto por las autoridades como por la alta dirección de las instituciones, para no poner en riesgo la estabilidad de las instituciones y en última instancia los recursos de la sociedad.</w:t>
      </w:r>
    </w:p>
    <w:p w:rsidR="004703B2" w:rsidRPr="00670830" w:rsidRDefault="004703B2" w:rsidP="00670830">
      <w:pPr>
        <w:spacing w:line="360" w:lineRule="auto"/>
        <w:jc w:val="both"/>
        <w:rPr>
          <w:rFonts w:ascii="Arial" w:hAnsi="Arial" w:cs="Arial"/>
          <w:sz w:val="24"/>
          <w:szCs w:val="24"/>
        </w:rPr>
      </w:pPr>
      <w:r w:rsidRPr="00670830">
        <w:rPr>
          <w:rFonts w:ascii="Arial" w:hAnsi="Arial" w:cs="Arial"/>
          <w:sz w:val="24"/>
          <w:szCs w:val="24"/>
        </w:rPr>
        <w:t>Existe una oferta de crédito que se canaliza de la siguiente manera:</w:t>
      </w:r>
    </w:p>
    <w:p w:rsidR="004703B2" w:rsidRPr="00670830" w:rsidRDefault="004703B2" w:rsidP="00670830">
      <w:pPr>
        <w:pStyle w:val="Prrafodelista"/>
        <w:numPr>
          <w:ilvl w:val="0"/>
          <w:numId w:val="33"/>
        </w:numPr>
        <w:spacing w:line="360" w:lineRule="auto"/>
        <w:jc w:val="both"/>
        <w:rPr>
          <w:rFonts w:ascii="Arial" w:hAnsi="Arial" w:cs="Arial"/>
          <w:sz w:val="24"/>
          <w:szCs w:val="24"/>
        </w:rPr>
      </w:pPr>
      <w:r w:rsidRPr="00670830">
        <w:rPr>
          <w:rFonts w:ascii="Arial" w:hAnsi="Arial" w:cs="Arial"/>
          <w:sz w:val="24"/>
          <w:szCs w:val="24"/>
        </w:rPr>
        <w:t>Sector Público: Gobierno Federal, Entidades Paraestatales, Gobiernos Estatales y Municipales y sus Entidades.</w:t>
      </w:r>
    </w:p>
    <w:p w:rsidR="00024BAE" w:rsidRPr="00670830" w:rsidRDefault="004703B2" w:rsidP="00670830">
      <w:pPr>
        <w:pStyle w:val="Prrafodelista"/>
        <w:numPr>
          <w:ilvl w:val="0"/>
          <w:numId w:val="33"/>
        </w:numPr>
        <w:spacing w:line="360" w:lineRule="auto"/>
        <w:jc w:val="both"/>
        <w:rPr>
          <w:rFonts w:ascii="Arial" w:hAnsi="Arial" w:cs="Arial"/>
          <w:sz w:val="24"/>
          <w:szCs w:val="24"/>
        </w:rPr>
      </w:pPr>
      <w:r w:rsidRPr="00670830">
        <w:rPr>
          <w:rFonts w:ascii="Arial" w:hAnsi="Arial" w:cs="Arial"/>
          <w:sz w:val="24"/>
          <w:szCs w:val="24"/>
        </w:rPr>
        <w:t>Sector Privado: Personas, Empresas Grandes, Medianas y Pequeñas.</w:t>
      </w:r>
    </w:p>
    <w:p w:rsidR="00755EA3" w:rsidRPr="00670830" w:rsidRDefault="00755EA3" w:rsidP="00670830">
      <w:pPr>
        <w:pStyle w:val="Prrafodelista"/>
        <w:spacing w:line="360" w:lineRule="auto"/>
        <w:jc w:val="both"/>
        <w:rPr>
          <w:rFonts w:ascii="Arial" w:hAnsi="Arial" w:cs="Arial"/>
          <w:sz w:val="24"/>
          <w:szCs w:val="24"/>
        </w:rPr>
      </w:pPr>
    </w:p>
    <w:p w:rsidR="00B3483C" w:rsidRPr="00670830" w:rsidRDefault="00B3483C" w:rsidP="00670830">
      <w:pPr>
        <w:pStyle w:val="Prrafodelista"/>
        <w:spacing w:line="360" w:lineRule="auto"/>
        <w:jc w:val="both"/>
        <w:rPr>
          <w:rFonts w:ascii="Arial" w:hAnsi="Arial" w:cs="Arial"/>
          <w:sz w:val="24"/>
          <w:szCs w:val="24"/>
        </w:rPr>
      </w:pPr>
    </w:p>
    <w:p w:rsidR="00FA2EED" w:rsidRPr="00670830" w:rsidRDefault="004703B2" w:rsidP="00670830">
      <w:pPr>
        <w:spacing w:line="360" w:lineRule="auto"/>
        <w:jc w:val="both"/>
        <w:rPr>
          <w:rFonts w:ascii="Arial" w:hAnsi="Arial" w:cs="Arial"/>
          <w:b/>
          <w:sz w:val="24"/>
          <w:szCs w:val="24"/>
          <w:u w:val="single"/>
        </w:rPr>
      </w:pPr>
      <w:r w:rsidRPr="00670830">
        <w:rPr>
          <w:rFonts w:ascii="Arial" w:hAnsi="Arial" w:cs="Arial"/>
          <w:b/>
          <w:sz w:val="24"/>
          <w:szCs w:val="24"/>
          <w:u w:val="single"/>
        </w:rPr>
        <w:t>Admin</w:t>
      </w:r>
      <w:r w:rsidR="00FA2EED" w:rsidRPr="00670830">
        <w:rPr>
          <w:rFonts w:ascii="Arial" w:hAnsi="Arial" w:cs="Arial"/>
          <w:b/>
          <w:sz w:val="24"/>
          <w:szCs w:val="24"/>
          <w:u w:val="single"/>
        </w:rPr>
        <w:t>istración del Sistema de Pagos:</w:t>
      </w:r>
    </w:p>
    <w:p w:rsidR="004703B2" w:rsidRPr="00670830" w:rsidRDefault="004703B2" w:rsidP="00670830">
      <w:pPr>
        <w:spacing w:line="360" w:lineRule="auto"/>
        <w:jc w:val="both"/>
        <w:rPr>
          <w:rFonts w:ascii="Arial" w:hAnsi="Arial" w:cs="Arial"/>
          <w:sz w:val="24"/>
          <w:szCs w:val="24"/>
        </w:rPr>
      </w:pPr>
      <w:r w:rsidRPr="00670830">
        <w:rPr>
          <w:rFonts w:ascii="Arial" w:hAnsi="Arial" w:cs="Arial"/>
          <w:sz w:val="24"/>
          <w:szCs w:val="24"/>
        </w:rPr>
        <w:t>Adicional a las funciones de administrar el ahorro y asignar el crédito eficientemente, existe una tercera igualmente importante que consiste en facilitar la liquidación de las obligaciones que se producen entre los agentes económicos, es decir, los bancos desempeñan un papel estratégico al permitir el flujo de los recursos financieros en todo el país al distribuir los billetes y monedas, al pagar los cheques que se emiten, al ofrecer el servicio de pago con tarjetas de débito y crédito, al procesar transferencias electrónicas de fondos, al ampliar la distribución de efectivo a través de los cajeros automáticos, entre otros.</w:t>
      </w:r>
    </w:p>
    <w:p w:rsidR="004703B2" w:rsidRPr="00670830" w:rsidRDefault="004703B2" w:rsidP="00670830">
      <w:pPr>
        <w:spacing w:line="360" w:lineRule="auto"/>
        <w:jc w:val="both"/>
        <w:rPr>
          <w:rFonts w:ascii="Arial" w:hAnsi="Arial" w:cs="Arial"/>
          <w:sz w:val="24"/>
          <w:szCs w:val="24"/>
        </w:rPr>
      </w:pPr>
      <w:r w:rsidRPr="00670830">
        <w:rPr>
          <w:rFonts w:ascii="Arial" w:hAnsi="Arial" w:cs="Arial"/>
          <w:sz w:val="24"/>
          <w:szCs w:val="24"/>
        </w:rPr>
        <w:t>Es importante destacar que, en la medida que las empres</w:t>
      </w:r>
      <w:r w:rsidR="00DD7E9F" w:rsidRPr="00670830">
        <w:rPr>
          <w:rFonts w:ascii="Arial" w:hAnsi="Arial" w:cs="Arial"/>
          <w:sz w:val="24"/>
          <w:szCs w:val="24"/>
        </w:rPr>
        <w:t xml:space="preserve">as, familias y el gobierno hacen </w:t>
      </w:r>
      <w:r w:rsidRPr="00670830">
        <w:rPr>
          <w:rFonts w:ascii="Arial" w:hAnsi="Arial" w:cs="Arial"/>
          <w:sz w:val="24"/>
          <w:szCs w:val="24"/>
        </w:rPr>
        <w:t>uso de medios de pago más rápidos, de menor costo y seguros, se contribuye a la eficiencia de la economía.</w:t>
      </w:r>
    </w:p>
    <w:p w:rsidR="004703B2" w:rsidRPr="00670830" w:rsidRDefault="0079758C" w:rsidP="00670830">
      <w:pPr>
        <w:spacing w:line="360" w:lineRule="auto"/>
        <w:jc w:val="both"/>
        <w:rPr>
          <w:rFonts w:ascii="Arial" w:hAnsi="Arial" w:cs="Arial"/>
          <w:sz w:val="24"/>
          <w:szCs w:val="24"/>
        </w:rPr>
      </w:pPr>
      <w:r w:rsidRPr="00670830">
        <w:rPr>
          <w:rFonts w:ascii="Arial" w:hAnsi="Arial" w:cs="Arial"/>
          <w:sz w:val="24"/>
          <w:szCs w:val="24"/>
        </w:rPr>
        <w:t>[https://www.abm.org.mx/la-banca-en-mexico/index.htm]</w:t>
      </w:r>
    </w:p>
    <w:p w:rsidR="004703B2" w:rsidRPr="00670830" w:rsidRDefault="004703B2" w:rsidP="00670830">
      <w:pPr>
        <w:spacing w:line="360" w:lineRule="auto"/>
        <w:jc w:val="both"/>
        <w:rPr>
          <w:rFonts w:ascii="Arial" w:hAnsi="Arial" w:cs="Arial"/>
          <w:sz w:val="24"/>
          <w:szCs w:val="24"/>
        </w:rPr>
      </w:pPr>
    </w:p>
    <w:p w:rsidR="00B25A92" w:rsidRPr="00670830" w:rsidRDefault="00B25A92" w:rsidP="00670830">
      <w:pPr>
        <w:pStyle w:val="Ttulo4"/>
        <w:spacing w:before="100" w:beforeAutospacing="1" w:after="100" w:afterAutospacing="1" w:line="360" w:lineRule="auto"/>
        <w:jc w:val="both"/>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1.2.2.</w:t>
      </w:r>
      <w:r w:rsidR="0004620F" w:rsidRPr="00670830">
        <w:rPr>
          <w:rFonts w:ascii="Arial" w:eastAsia="Arial Unicode MS" w:hAnsi="Arial" w:cs="Arial"/>
          <w:i w:val="0"/>
          <w:color w:val="auto"/>
          <w:sz w:val="24"/>
          <w:szCs w:val="24"/>
        </w:rPr>
        <w:t>2.</w:t>
      </w:r>
      <w:r w:rsidRPr="00670830">
        <w:rPr>
          <w:rFonts w:ascii="Arial" w:eastAsia="Arial Unicode MS" w:hAnsi="Arial" w:cs="Arial"/>
          <w:i w:val="0"/>
          <w:color w:val="auto"/>
          <w:sz w:val="24"/>
          <w:szCs w:val="24"/>
        </w:rPr>
        <w:t xml:space="preserve"> Instituciones de banca de desarrollo</w:t>
      </w:r>
    </w:p>
    <w:p w:rsidR="00645880" w:rsidRPr="00670830" w:rsidRDefault="00B25A92"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Son bancos dirigidos por el gobierno federal cuyo propósito es desarrollar ciertos sectores (agricultura, autopartes, textil</w:t>
      </w:r>
      <w:r w:rsidR="00304B20" w:rsidRPr="00670830">
        <w:rPr>
          <w:rFonts w:ascii="Arial" w:eastAsia="Arial Unicode MS" w:hAnsi="Arial" w:cs="Arial"/>
          <w:sz w:val="24"/>
          <w:szCs w:val="24"/>
        </w:rPr>
        <w:t>, etc.</w:t>
      </w:r>
      <w:r w:rsidRPr="00670830">
        <w:rPr>
          <w:rFonts w:ascii="Arial" w:eastAsia="Arial Unicode MS" w:hAnsi="Arial" w:cs="Arial"/>
          <w:sz w:val="24"/>
          <w:szCs w:val="24"/>
        </w:rPr>
        <w:t>) atender y solucionar problemáticas de financiamiento regionales o municipales, o fomentar ciertas actividades (exportación, desarrollo de proveedores, creación de nuevas empresas). Se les dice de segundo piso pues sus programas de apoyo o líneas de financiamiento a personas o empresas la realizan a través de los bancos comerciales que quedan en primer lugar. [García, 2007]</w:t>
      </w:r>
    </w:p>
    <w:p w:rsidR="00C40206" w:rsidRPr="00670830" w:rsidRDefault="00C4020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Banca de Desarrollo forma parte del Sistema Bancario Mexicano, tal como se establece en el artículo 3° de la Ley de Instituciones de Crédito. En este marco, las instituciones de Banca de Desarrollo son entidades de la Administración Pública Federal, con personalidad jurídica y patrimonio propios, constituidas con el carácter de sociedades nacionales de crédito, cuyo objetivo fundamental es el de facilitar el acceso al financiamiento a personas físicas y morales; así como proporcionarles asistencia técnica y capacitación en los términos de sus respectivas leyes orgánicas.</w:t>
      </w:r>
    </w:p>
    <w:p w:rsidR="00C40206" w:rsidRPr="00670830" w:rsidRDefault="00C4020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En el desempeño de sus funciones, la Banca de Desarrollo deberá preservar y mantener su capital garantizando la sustentabilidad de su operación, mediante la canalización eficiente, prudente y transparente de recursos.</w:t>
      </w:r>
    </w:p>
    <w:p w:rsidR="00C40206" w:rsidRPr="00670830" w:rsidRDefault="00C4020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En el marco del Programa Nacional de Financiamiento del Desarrollo (PRONAFIDE), la Banca de Desarrollo se ha constituido como una herramienta de política económica fundamental para promover el desarrollo, resolver los problemas de acceso a los servicios financieros y mejorar las condiciones de los mismos para aquellos sectores que destacan por su contribución al crecimiento económico y al empleo: micro, pequeñas y medianas empresas (MIPYMES), infraestructura pública, vivienda para familias de bajos recursos, y el financiamiento a los productores rurales de ingresos bajos y medios.</w:t>
      </w:r>
    </w:p>
    <w:p w:rsidR="00C40206" w:rsidRPr="00670830" w:rsidRDefault="00C4020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En consecuencia, la política de la Banca de Desarrollo ha perseguido los siguientes objetivos:</w:t>
      </w:r>
    </w:p>
    <w:p w:rsidR="008F450C" w:rsidRPr="00670830" w:rsidRDefault="00C40206" w:rsidP="00670830">
      <w:pPr>
        <w:pStyle w:val="Prrafodelista"/>
        <w:numPr>
          <w:ilvl w:val="0"/>
          <w:numId w:val="34"/>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Centrar la atención en la población objetivo: PYMES, pequeños y medianos productores rurales, vivienda para la población de bajos recursos, proyectos de infraestructura y municipios.</w:t>
      </w:r>
    </w:p>
    <w:p w:rsidR="00755EA3" w:rsidRPr="00670830" w:rsidRDefault="00755EA3" w:rsidP="00670830">
      <w:pPr>
        <w:pStyle w:val="Prrafodelista"/>
        <w:spacing w:before="100" w:beforeAutospacing="1" w:after="100" w:afterAutospacing="1" w:line="360" w:lineRule="auto"/>
        <w:jc w:val="both"/>
        <w:rPr>
          <w:rFonts w:ascii="Arial" w:eastAsia="Arial Unicode MS" w:hAnsi="Arial" w:cs="Arial"/>
          <w:sz w:val="24"/>
          <w:szCs w:val="24"/>
        </w:rPr>
      </w:pPr>
    </w:p>
    <w:p w:rsidR="00755EA3" w:rsidRPr="00670830" w:rsidRDefault="00C40206" w:rsidP="00670830">
      <w:pPr>
        <w:pStyle w:val="Prrafodelista"/>
        <w:numPr>
          <w:ilvl w:val="0"/>
          <w:numId w:val="34"/>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Complementar a los intermediarios financieros privados con fondeo y garantías para generar más y mejores vehículos de canalización del crédito.</w:t>
      </w:r>
    </w:p>
    <w:p w:rsidR="00755EA3" w:rsidRPr="00670830" w:rsidRDefault="00C40206" w:rsidP="00670830">
      <w:pPr>
        <w:pStyle w:val="Prrafodelista"/>
        <w:numPr>
          <w:ilvl w:val="0"/>
          <w:numId w:val="34"/>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Fomentar una mayor coordinación entre los bancos de desarrollo y otras dependencias públicas cuyos programas apoyan al financiamiento.</w:t>
      </w:r>
    </w:p>
    <w:p w:rsidR="00755EA3" w:rsidRPr="00670830" w:rsidRDefault="00755EA3" w:rsidP="00670830">
      <w:pPr>
        <w:pStyle w:val="Prrafodelista"/>
        <w:spacing w:before="100" w:beforeAutospacing="1" w:after="100" w:afterAutospacing="1" w:line="360" w:lineRule="auto"/>
        <w:jc w:val="both"/>
        <w:rPr>
          <w:rFonts w:ascii="Arial" w:eastAsia="Arial Unicode MS" w:hAnsi="Arial" w:cs="Arial"/>
          <w:sz w:val="24"/>
          <w:szCs w:val="24"/>
        </w:rPr>
      </w:pPr>
    </w:p>
    <w:p w:rsidR="00C40206" w:rsidRPr="00670830" w:rsidRDefault="00C40206" w:rsidP="00670830">
      <w:pPr>
        <w:pStyle w:val="Prrafodelista"/>
        <w:numPr>
          <w:ilvl w:val="0"/>
          <w:numId w:val="34"/>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Impulsar el crédito de largo plazo para apoyar la competitividad y capitalización de las unidades productivas.</w:t>
      </w:r>
    </w:p>
    <w:p w:rsidR="00755EA3" w:rsidRPr="00670830" w:rsidRDefault="008F450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[http://www.shcp.gob.mx/apartadoshaciendaparatodos/banca_desarrollo/index.html]</w:t>
      </w:r>
    </w:p>
    <w:p w:rsidR="00DA5199" w:rsidRPr="00670830" w:rsidRDefault="00DA5199" w:rsidP="00670830">
      <w:pPr>
        <w:spacing w:before="100" w:beforeAutospacing="1" w:after="100" w:afterAutospacing="1" w:line="360" w:lineRule="auto"/>
        <w:jc w:val="both"/>
        <w:rPr>
          <w:rFonts w:ascii="Arial" w:eastAsia="Arial Unicode MS" w:hAnsi="Arial" w:cs="Arial"/>
          <w:sz w:val="24"/>
          <w:szCs w:val="24"/>
        </w:rPr>
      </w:pPr>
    </w:p>
    <w:p w:rsidR="00BD1CDB" w:rsidRPr="00670830" w:rsidRDefault="00BD1CDB" w:rsidP="00670830">
      <w:pPr>
        <w:pStyle w:val="Ttulo4"/>
        <w:spacing w:before="100" w:beforeAutospacing="1" w:after="100" w:afterAutospacing="1" w:line="360" w:lineRule="auto"/>
        <w:jc w:val="both"/>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 xml:space="preserve">1.2.2.3. </w:t>
      </w:r>
      <w:r w:rsidR="007D272E" w:rsidRPr="00670830">
        <w:rPr>
          <w:rFonts w:ascii="Arial" w:eastAsia="Arial Unicode MS" w:hAnsi="Arial" w:cs="Arial"/>
          <w:i w:val="0"/>
          <w:color w:val="auto"/>
          <w:sz w:val="24"/>
          <w:szCs w:val="24"/>
        </w:rPr>
        <w:t>L</w:t>
      </w:r>
      <w:r w:rsidRPr="00670830">
        <w:rPr>
          <w:rFonts w:ascii="Arial" w:eastAsia="Arial Unicode MS" w:hAnsi="Arial" w:cs="Arial"/>
          <w:i w:val="0"/>
          <w:color w:val="auto"/>
          <w:sz w:val="24"/>
          <w:szCs w:val="24"/>
        </w:rPr>
        <w:t>a Banca en México</w:t>
      </w:r>
    </w:p>
    <w:p w:rsidR="00BD1CDB" w:rsidRPr="00670830" w:rsidRDefault="00990ECB"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Si bien la banca en México ha evolucionado r</w:t>
      </w:r>
      <w:r w:rsidR="004C3F72" w:rsidRPr="00670830">
        <w:rPr>
          <w:rFonts w:ascii="Arial" w:eastAsia="Arial Unicode MS" w:hAnsi="Arial" w:cs="Arial"/>
          <w:sz w:val="24"/>
          <w:szCs w:val="24"/>
        </w:rPr>
        <w:t>ápidamente desde su</w:t>
      </w:r>
      <w:r w:rsidRPr="00670830">
        <w:rPr>
          <w:rFonts w:ascii="Arial" w:eastAsia="Arial Unicode MS" w:hAnsi="Arial" w:cs="Arial"/>
          <w:sz w:val="24"/>
          <w:szCs w:val="24"/>
        </w:rPr>
        <w:t xml:space="preserve"> privatización en 1995, la penetración que ha logrado hacia la población es limitada, en mi punto de vista insuficiente y en algunos puntos del país completamente inexistente.</w:t>
      </w:r>
    </w:p>
    <w:p w:rsidR="00C5307A" w:rsidRPr="00670830" w:rsidRDefault="00990ECB"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Alrededor del 90% de la participación del mercad</w:t>
      </w:r>
      <w:r w:rsidR="00085D41" w:rsidRPr="00670830">
        <w:rPr>
          <w:rFonts w:ascii="Arial" w:eastAsia="Arial Unicode MS" w:hAnsi="Arial" w:cs="Arial"/>
          <w:sz w:val="24"/>
          <w:szCs w:val="24"/>
        </w:rPr>
        <w:t xml:space="preserve">o se concentra en 7 </w:t>
      </w:r>
      <w:r w:rsidR="004C3F72" w:rsidRPr="00670830">
        <w:rPr>
          <w:rFonts w:ascii="Arial" w:eastAsia="Arial Unicode MS" w:hAnsi="Arial" w:cs="Arial"/>
          <w:sz w:val="24"/>
          <w:szCs w:val="24"/>
        </w:rPr>
        <w:t>bancos, sin embargo, existen aproximadamente 47 instituciones que conforman la banca múltiple en nuestro país.</w:t>
      </w:r>
    </w:p>
    <w:p w:rsidR="007D272E" w:rsidRPr="00670830" w:rsidRDefault="00501CC2"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gráfica debajo muestra el histórico, de 2007 al cierre del 2015, del Producto Int</w:t>
      </w:r>
      <w:r w:rsidR="00377E4C" w:rsidRPr="00670830">
        <w:rPr>
          <w:rFonts w:ascii="Arial" w:eastAsia="Arial Unicode MS" w:hAnsi="Arial" w:cs="Arial"/>
          <w:sz w:val="24"/>
          <w:szCs w:val="24"/>
        </w:rPr>
        <w:t>erno Bruto en millones de pesos (</w:t>
      </w:r>
      <w:r w:rsidRPr="00670830">
        <w:rPr>
          <w:rFonts w:ascii="Arial" w:eastAsia="Arial Unicode MS" w:hAnsi="Arial" w:cs="Arial"/>
          <w:sz w:val="24"/>
          <w:szCs w:val="24"/>
        </w:rPr>
        <w:t>barras azules</w:t>
      </w:r>
      <w:r w:rsidR="00377E4C" w:rsidRPr="00670830">
        <w:rPr>
          <w:rFonts w:ascii="Arial" w:eastAsia="Arial Unicode MS" w:hAnsi="Arial" w:cs="Arial"/>
          <w:sz w:val="24"/>
          <w:szCs w:val="24"/>
        </w:rPr>
        <w:t>)</w:t>
      </w:r>
      <w:r w:rsidRPr="00670830">
        <w:rPr>
          <w:rFonts w:ascii="Arial" w:eastAsia="Arial Unicode MS" w:hAnsi="Arial" w:cs="Arial"/>
          <w:sz w:val="24"/>
          <w:szCs w:val="24"/>
        </w:rPr>
        <w:t>, la curva en verde muestra el porcentaje que representa la cartera de crédito de todos los bancos registrados ante la CNBV.</w:t>
      </w:r>
    </w:p>
    <w:p w:rsidR="004C3F72" w:rsidRPr="00670830" w:rsidRDefault="001112A3"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cartera de c</w:t>
      </w:r>
      <w:r w:rsidR="00501CC2" w:rsidRPr="00670830">
        <w:rPr>
          <w:rFonts w:ascii="Arial" w:eastAsia="Arial Unicode MS" w:hAnsi="Arial" w:cs="Arial"/>
          <w:sz w:val="24"/>
          <w:szCs w:val="24"/>
        </w:rPr>
        <w:t xml:space="preserve">rédito </w:t>
      </w:r>
      <w:r w:rsidRPr="00670830">
        <w:rPr>
          <w:rFonts w:ascii="Arial" w:eastAsia="Arial Unicode MS" w:hAnsi="Arial" w:cs="Arial"/>
          <w:sz w:val="24"/>
          <w:szCs w:val="24"/>
        </w:rPr>
        <w:t xml:space="preserve">de todos los bancos en México </w:t>
      </w:r>
      <w:r w:rsidR="00501CC2" w:rsidRPr="00670830">
        <w:rPr>
          <w:rFonts w:ascii="Arial" w:eastAsia="Arial Unicode MS" w:hAnsi="Arial" w:cs="Arial"/>
          <w:sz w:val="24"/>
          <w:szCs w:val="24"/>
        </w:rPr>
        <w:t>representa la cuarta parte del PIB al cierre del 2015.</w:t>
      </w:r>
      <w:r w:rsidRPr="00670830">
        <w:rPr>
          <w:rFonts w:ascii="Arial" w:eastAsia="Arial Unicode MS" w:hAnsi="Arial" w:cs="Arial"/>
          <w:sz w:val="24"/>
          <w:szCs w:val="24"/>
        </w:rPr>
        <w:t xml:space="preserve"> Como referencia y para efecto de comparación, la cartera de crédito en EEUU representa el 194.8% en el mismo período.</w:t>
      </w:r>
      <w:r w:rsidR="004C3F72" w:rsidRPr="00670830">
        <w:rPr>
          <w:rFonts w:ascii="Arial" w:eastAsia="Arial Unicode MS" w:hAnsi="Arial" w:cs="Arial"/>
          <w:sz w:val="24"/>
          <w:szCs w:val="24"/>
        </w:rPr>
        <w:t xml:space="preserve"> </w:t>
      </w:r>
    </w:p>
    <w:p w:rsidR="00A91670" w:rsidRPr="00670830" w:rsidRDefault="00085D41" w:rsidP="00670830">
      <w:pPr>
        <w:spacing w:before="100" w:beforeAutospacing="1" w:after="100" w:afterAutospacing="1" w:line="360" w:lineRule="auto"/>
        <w:jc w:val="both"/>
        <w:rPr>
          <w:rFonts w:ascii="Arial" w:eastAsia="Arial Unicode MS" w:hAnsi="Arial" w:cs="Arial"/>
          <w:sz w:val="24"/>
          <w:szCs w:val="24"/>
        </w:rPr>
      </w:pPr>
      <w:r w:rsidRPr="00670830">
        <w:rPr>
          <w:rFonts w:ascii="Arial" w:hAnsi="Arial" w:cs="Arial"/>
          <w:sz w:val="24"/>
          <w:szCs w:val="24"/>
        </w:rPr>
        <w:t>[</w:t>
      </w:r>
      <w:r w:rsidRPr="00670830">
        <w:rPr>
          <w:rFonts w:ascii="Arial" w:eastAsia="Arial Unicode MS" w:hAnsi="Arial" w:cs="Arial"/>
          <w:sz w:val="24"/>
          <w:szCs w:val="24"/>
        </w:rPr>
        <w:t>http://data.worldbank.org/indicator/FS.AST.PRVT.GD.ZS]</w:t>
      </w:r>
    </w:p>
    <w:p w:rsidR="007D272E" w:rsidRPr="00670830" w:rsidRDefault="00F23D06" w:rsidP="00670830">
      <w:pPr>
        <w:spacing w:before="100" w:beforeAutospacing="1" w:after="100" w:afterAutospacing="1" w:line="360" w:lineRule="auto"/>
        <w:rPr>
          <w:rFonts w:ascii="Arial" w:eastAsia="Arial Unicode MS" w:hAnsi="Arial" w:cs="Arial"/>
          <w:sz w:val="24"/>
          <w:szCs w:val="24"/>
        </w:rPr>
      </w:pPr>
      <w:r w:rsidRPr="00670830">
        <w:rPr>
          <w:rFonts w:ascii="Arial" w:eastAsia="Arial Unicode MS" w:hAnsi="Arial" w:cs="Arial"/>
          <w:noProof/>
          <w:sz w:val="24"/>
          <w:szCs w:val="24"/>
          <w:lang w:eastAsia="es-MX"/>
        </w:rPr>
        <w:drawing>
          <wp:inline distT="0" distB="0" distL="0" distR="0" wp14:anchorId="3877B51C" wp14:editId="636BD507">
            <wp:extent cx="5238750" cy="2388839"/>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39296" cy="2389088"/>
                    </a:xfrm>
                    <a:prstGeom prst="rect">
                      <a:avLst/>
                    </a:prstGeom>
                    <a:noFill/>
                  </pic:spPr>
                </pic:pic>
              </a:graphicData>
            </a:graphic>
          </wp:inline>
        </w:drawing>
      </w:r>
    </w:p>
    <w:p w:rsidR="007D272E" w:rsidRPr="00670830" w:rsidRDefault="00490B80" w:rsidP="00670830">
      <w:pPr>
        <w:spacing w:before="100" w:beforeAutospacing="1" w:after="100" w:afterAutospacing="1" w:line="360" w:lineRule="auto"/>
        <w:jc w:val="both"/>
        <w:rPr>
          <w:rFonts w:ascii="Arial" w:eastAsia="Arial Unicode MS" w:hAnsi="Arial" w:cs="Arial"/>
          <w:i/>
          <w:sz w:val="24"/>
          <w:szCs w:val="24"/>
        </w:rPr>
      </w:pPr>
      <w:r w:rsidRPr="00670830">
        <w:rPr>
          <w:rFonts w:ascii="Arial" w:eastAsia="Arial Unicode MS" w:hAnsi="Arial" w:cs="Arial"/>
          <w:i/>
          <w:sz w:val="24"/>
          <w:szCs w:val="24"/>
        </w:rPr>
        <w:t>*Fuente: Elaboración propia con datos del INEGI y del portafolio de información</w:t>
      </w:r>
      <w:r w:rsidR="00085D41" w:rsidRPr="00670830">
        <w:rPr>
          <w:rFonts w:ascii="Arial" w:eastAsia="Arial Unicode MS" w:hAnsi="Arial" w:cs="Arial"/>
          <w:i/>
          <w:sz w:val="24"/>
          <w:szCs w:val="24"/>
        </w:rPr>
        <w:t xml:space="preserve"> financiera</w:t>
      </w:r>
      <w:r w:rsidRPr="00670830">
        <w:rPr>
          <w:rFonts w:ascii="Arial" w:eastAsia="Arial Unicode MS" w:hAnsi="Arial" w:cs="Arial"/>
          <w:i/>
          <w:sz w:val="24"/>
          <w:szCs w:val="24"/>
        </w:rPr>
        <w:t xml:space="preserve"> de la CNBV.</w:t>
      </w:r>
    </w:p>
    <w:p w:rsidR="003B3087" w:rsidRPr="00670830" w:rsidRDefault="003B3087" w:rsidP="00670830">
      <w:pPr>
        <w:spacing w:before="100" w:beforeAutospacing="1" w:after="100" w:afterAutospacing="1" w:line="360" w:lineRule="auto"/>
        <w:jc w:val="both"/>
        <w:rPr>
          <w:rFonts w:ascii="Arial" w:eastAsia="Arial Unicode MS" w:hAnsi="Arial" w:cs="Arial"/>
          <w:i/>
          <w:sz w:val="24"/>
          <w:szCs w:val="24"/>
        </w:rPr>
      </w:pPr>
    </w:p>
    <w:p w:rsidR="004C3F72" w:rsidRPr="00670830" w:rsidRDefault="004C3F72"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acceso a internet en México, cuenta una historia similar a la penetración de la banca, alrededor del 87.4% de la población en EEUU tiene acceso a una conexión a internet</w:t>
      </w:r>
      <w:r w:rsidR="00AD1943" w:rsidRPr="00670830">
        <w:rPr>
          <w:rFonts w:ascii="Arial" w:eastAsia="Arial Unicode MS" w:hAnsi="Arial" w:cs="Arial"/>
          <w:sz w:val="24"/>
          <w:szCs w:val="24"/>
        </w:rPr>
        <w:t>, mientras que en nuestro país sólo el 49.5% de la población.</w:t>
      </w:r>
    </w:p>
    <w:p w:rsidR="007D272E" w:rsidRPr="00670830" w:rsidRDefault="001B4D20"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[http://www.internetworldstats.com]</w:t>
      </w:r>
    </w:p>
    <w:p w:rsidR="00A4095D" w:rsidRDefault="001B4D20"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Combinados, la penetración de la banca y el rezago en acceso </w:t>
      </w:r>
      <w:r w:rsidR="00A4095D" w:rsidRPr="00670830">
        <w:rPr>
          <w:rFonts w:ascii="Arial" w:eastAsia="Arial Unicode MS" w:hAnsi="Arial" w:cs="Arial"/>
          <w:sz w:val="24"/>
          <w:szCs w:val="24"/>
        </w:rPr>
        <w:t>a internet, complican el acceso a los servicios financieros a muchos</w:t>
      </w:r>
      <w:r w:rsidRPr="00670830">
        <w:rPr>
          <w:rFonts w:ascii="Arial" w:eastAsia="Arial Unicode MS" w:hAnsi="Arial" w:cs="Arial"/>
          <w:sz w:val="24"/>
          <w:szCs w:val="24"/>
        </w:rPr>
        <w:t xml:space="preserve"> sectores de la poblaci</w:t>
      </w:r>
      <w:r w:rsidR="00A4095D" w:rsidRPr="00670830">
        <w:rPr>
          <w:rFonts w:ascii="Arial" w:eastAsia="Arial Unicode MS" w:hAnsi="Arial" w:cs="Arial"/>
          <w:sz w:val="24"/>
          <w:szCs w:val="24"/>
        </w:rPr>
        <w:t>ón.</w:t>
      </w:r>
    </w:p>
    <w:p w:rsidR="00670830" w:rsidRPr="00670830" w:rsidRDefault="00670830" w:rsidP="00670830">
      <w:pPr>
        <w:spacing w:before="100" w:beforeAutospacing="1" w:after="100" w:afterAutospacing="1" w:line="360" w:lineRule="auto"/>
        <w:jc w:val="both"/>
        <w:rPr>
          <w:rFonts w:ascii="Arial" w:eastAsia="Arial Unicode MS" w:hAnsi="Arial" w:cs="Arial"/>
          <w:sz w:val="24"/>
          <w:szCs w:val="24"/>
        </w:rPr>
      </w:pPr>
    </w:p>
    <w:p w:rsidR="006E4D39" w:rsidRPr="00670830" w:rsidRDefault="006E4D39" w:rsidP="00670830">
      <w:pPr>
        <w:pStyle w:val="Ttulo3"/>
        <w:spacing w:before="100" w:beforeAutospacing="1" w:after="100" w:afterAutospacing="1" w:line="360" w:lineRule="auto"/>
        <w:jc w:val="both"/>
        <w:rPr>
          <w:rFonts w:ascii="Arial" w:eastAsia="Arial Unicode MS" w:hAnsi="Arial" w:cs="Arial"/>
          <w:color w:val="auto"/>
          <w:sz w:val="24"/>
          <w:szCs w:val="24"/>
        </w:rPr>
      </w:pPr>
      <w:bookmarkStart w:id="6" w:name="_Toc488230483"/>
      <w:r w:rsidRPr="00670830">
        <w:rPr>
          <w:rFonts w:ascii="Arial" w:eastAsia="Arial Unicode MS" w:hAnsi="Arial" w:cs="Arial"/>
          <w:color w:val="auto"/>
          <w:sz w:val="24"/>
          <w:szCs w:val="24"/>
        </w:rPr>
        <w:t>1.2.3. Organismos Reguladores</w:t>
      </w:r>
      <w:bookmarkEnd w:id="6"/>
    </w:p>
    <w:p w:rsidR="00E72679" w:rsidRPr="00670830" w:rsidRDefault="006E4D39"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Dentro de los organismos e instituciones encargadas de regular el Sistema Financiero Mexicano </w:t>
      </w:r>
      <w:r w:rsidR="00645CF6" w:rsidRPr="00670830">
        <w:rPr>
          <w:rFonts w:ascii="Arial" w:eastAsia="Arial Unicode MS" w:hAnsi="Arial" w:cs="Arial"/>
          <w:sz w:val="24"/>
          <w:szCs w:val="24"/>
        </w:rPr>
        <w:t xml:space="preserve">se encuentran los </w:t>
      </w:r>
      <w:r w:rsidRPr="00670830">
        <w:rPr>
          <w:rFonts w:ascii="Arial" w:eastAsia="Arial Unicode MS" w:hAnsi="Arial" w:cs="Arial"/>
          <w:sz w:val="24"/>
          <w:szCs w:val="24"/>
        </w:rPr>
        <w:t>siguientes:</w:t>
      </w:r>
    </w:p>
    <w:p w:rsidR="00E72679" w:rsidRPr="00670830" w:rsidRDefault="00E72679" w:rsidP="00670830">
      <w:pPr>
        <w:spacing w:before="100" w:beforeAutospacing="1" w:after="100" w:afterAutospacing="1" w:line="360" w:lineRule="auto"/>
        <w:jc w:val="both"/>
        <w:rPr>
          <w:rFonts w:ascii="Arial" w:eastAsia="Arial Unicode MS" w:hAnsi="Arial" w:cs="Arial"/>
          <w:sz w:val="24"/>
          <w:szCs w:val="24"/>
        </w:rPr>
      </w:pPr>
    </w:p>
    <w:p w:rsidR="00E675F7" w:rsidRPr="00670830" w:rsidRDefault="0004620F" w:rsidP="00670830">
      <w:pPr>
        <w:pStyle w:val="Ttulo4"/>
        <w:spacing w:before="100" w:beforeAutospacing="1" w:after="100" w:afterAutospacing="1" w:line="360" w:lineRule="auto"/>
        <w:jc w:val="both"/>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1.2.3</w:t>
      </w:r>
      <w:r w:rsidR="00E675F7" w:rsidRPr="00670830">
        <w:rPr>
          <w:rFonts w:ascii="Arial" w:eastAsia="Arial Unicode MS" w:hAnsi="Arial" w:cs="Arial"/>
          <w:i w:val="0"/>
          <w:color w:val="auto"/>
          <w:sz w:val="24"/>
          <w:szCs w:val="24"/>
        </w:rPr>
        <w:t>.</w:t>
      </w:r>
      <w:r w:rsidRPr="00670830">
        <w:rPr>
          <w:rFonts w:ascii="Arial" w:eastAsia="Arial Unicode MS" w:hAnsi="Arial" w:cs="Arial"/>
          <w:i w:val="0"/>
          <w:color w:val="auto"/>
          <w:sz w:val="24"/>
          <w:szCs w:val="24"/>
        </w:rPr>
        <w:t>1. Secretaría de Hacienda y Crédito Público</w:t>
      </w:r>
      <w:r w:rsidR="00367CD0" w:rsidRPr="00670830">
        <w:rPr>
          <w:rFonts w:ascii="Arial" w:eastAsia="Arial Unicode MS" w:hAnsi="Arial" w:cs="Arial"/>
          <w:i w:val="0"/>
          <w:color w:val="auto"/>
          <w:sz w:val="24"/>
          <w:szCs w:val="24"/>
        </w:rPr>
        <w:t xml:space="preserve"> (SHCP)</w:t>
      </w:r>
    </w:p>
    <w:p w:rsidR="0004620F" w:rsidRPr="00670830" w:rsidRDefault="00DA324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Máxima autoridad financiera en el país. Es responsable de las actividades financieras de México, ya que dirige y controla al Sistema Financiero Mexicano, este último es el principal ejecutor de las actividades financieras que son llevadas a cabo en territorio me</w:t>
      </w:r>
      <w:r w:rsidR="006839E3" w:rsidRPr="00670830">
        <w:rPr>
          <w:rFonts w:ascii="Arial" w:eastAsia="Arial Unicode MS" w:hAnsi="Arial" w:cs="Arial"/>
          <w:sz w:val="24"/>
          <w:szCs w:val="24"/>
        </w:rPr>
        <w:t xml:space="preserve">xicano, además la SHCP, planea, </w:t>
      </w:r>
      <w:r w:rsidRPr="00670830">
        <w:rPr>
          <w:rFonts w:ascii="Arial" w:eastAsia="Arial Unicode MS" w:hAnsi="Arial" w:cs="Arial"/>
          <w:sz w:val="24"/>
          <w:szCs w:val="24"/>
        </w:rPr>
        <w:t>coordina, evalúa y vigila el Sistema Bancario de México</w:t>
      </w:r>
      <w:r w:rsidR="006839E3" w:rsidRPr="00670830">
        <w:rPr>
          <w:rFonts w:ascii="Arial" w:eastAsia="Arial Unicode MS" w:hAnsi="Arial" w:cs="Arial"/>
          <w:sz w:val="24"/>
          <w:szCs w:val="24"/>
        </w:rPr>
        <w:t>. [García, 2007]</w:t>
      </w:r>
    </w:p>
    <w:p w:rsidR="006E4D39" w:rsidRPr="00670830" w:rsidRDefault="00C2090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Secretaría de Hacienda y Crédito Público es la dependencia del Poder Ejecutivo Federal que tiene como misión proponer, dirigir y controlar la política económica del Gobierno Federal en materia financiera, fiscal, de gasto, de ingresos y deuda pública, con el propósito de consolidar un país con crecimiento económico de calidad.</w:t>
      </w:r>
    </w:p>
    <w:p w:rsidR="00DA2A3C" w:rsidRPr="00670830" w:rsidRDefault="00DA2A3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Conforme a la Ley Orgánica de la Administración Pública Federal en su Artículo 31 posee las siguientes funciones a su cargo:</w:t>
      </w:r>
    </w:p>
    <w:p w:rsidR="00714CBC" w:rsidRPr="00670830" w:rsidRDefault="00DA2A3C" w:rsidP="00670830">
      <w:pPr>
        <w:pStyle w:val="Prrafodelista"/>
        <w:numPr>
          <w:ilvl w:val="0"/>
          <w:numId w:val="35"/>
        </w:numPr>
        <w:spacing w:before="240" w:after="24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Realizar o autorizar uso del crédito público</w:t>
      </w:r>
    </w:p>
    <w:p w:rsidR="00DA2A3C" w:rsidRPr="00670830" w:rsidRDefault="00DA2A3C" w:rsidP="00670830">
      <w:pPr>
        <w:pStyle w:val="Prrafodelista"/>
        <w:numPr>
          <w:ilvl w:val="0"/>
          <w:numId w:val="35"/>
        </w:numPr>
        <w:spacing w:before="240" w:after="24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Cobrar los impuestos</w:t>
      </w:r>
    </w:p>
    <w:p w:rsidR="00DA2A3C" w:rsidRPr="00670830" w:rsidRDefault="00DA2A3C" w:rsidP="00670830">
      <w:pPr>
        <w:pStyle w:val="Prrafodelista"/>
        <w:numPr>
          <w:ilvl w:val="0"/>
          <w:numId w:val="35"/>
        </w:numPr>
        <w:spacing w:before="240" w:after="24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Manejar la deuda pública de la Federación</w:t>
      </w:r>
    </w:p>
    <w:p w:rsidR="00DA2A3C" w:rsidRPr="00670830" w:rsidRDefault="00DA2A3C" w:rsidP="00670830">
      <w:pPr>
        <w:pStyle w:val="Prrafodelista"/>
        <w:numPr>
          <w:ilvl w:val="0"/>
          <w:numId w:val="35"/>
        </w:numPr>
        <w:spacing w:before="240" w:after="24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Proyectar y calcular los egresos del Gobierno Federal</w:t>
      </w:r>
    </w:p>
    <w:p w:rsidR="00DA2A3C" w:rsidRPr="00670830" w:rsidRDefault="00DA2A3C" w:rsidP="00670830">
      <w:pPr>
        <w:pStyle w:val="Prrafodelista"/>
        <w:numPr>
          <w:ilvl w:val="0"/>
          <w:numId w:val="35"/>
        </w:numPr>
        <w:spacing w:before="240" w:after="24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Planear, coordinar, evaluar y vigilar el sistema bancario</w:t>
      </w:r>
    </w:p>
    <w:p w:rsidR="00DA2A3C" w:rsidRPr="00670830" w:rsidRDefault="00DA2A3C" w:rsidP="00670830">
      <w:pPr>
        <w:pStyle w:val="Prrafodelista"/>
        <w:numPr>
          <w:ilvl w:val="0"/>
          <w:numId w:val="35"/>
        </w:numPr>
        <w:spacing w:before="240" w:after="24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Proyectar y calcular los ingresos de la Federación, y el Departamento del Distrito Federal</w:t>
      </w:r>
    </w:p>
    <w:p w:rsidR="00DA2A3C" w:rsidRPr="00670830" w:rsidRDefault="00DA2A3C" w:rsidP="00670830">
      <w:pPr>
        <w:pStyle w:val="Prrafodelista"/>
        <w:numPr>
          <w:ilvl w:val="0"/>
          <w:numId w:val="35"/>
        </w:numPr>
        <w:spacing w:before="240" w:after="24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Determinar los estímulos fiscales</w:t>
      </w:r>
    </w:p>
    <w:p w:rsidR="00DA2A3C" w:rsidRPr="00670830" w:rsidRDefault="00DA2A3C" w:rsidP="00670830">
      <w:pPr>
        <w:pStyle w:val="Prrafodelista"/>
        <w:numPr>
          <w:ilvl w:val="0"/>
          <w:numId w:val="35"/>
        </w:numPr>
        <w:spacing w:before="240" w:after="24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Organizar y dirigir los servicios aduaneros y de inspección</w:t>
      </w:r>
    </w:p>
    <w:p w:rsidR="00714CBC" w:rsidRPr="00670830" w:rsidRDefault="00DA2A3C" w:rsidP="00670830">
      <w:pPr>
        <w:pStyle w:val="Prrafodelista"/>
        <w:numPr>
          <w:ilvl w:val="0"/>
          <w:numId w:val="35"/>
        </w:numPr>
        <w:spacing w:before="240" w:after="24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Controlar el presupuesto de los servicios personales</w:t>
      </w:r>
    </w:p>
    <w:p w:rsidR="00755EA3" w:rsidRPr="00670830" w:rsidRDefault="00755EA3" w:rsidP="00670830">
      <w:pPr>
        <w:pStyle w:val="Prrafodelista"/>
        <w:spacing w:before="240" w:after="240" w:line="360" w:lineRule="auto"/>
        <w:ind w:left="714"/>
        <w:jc w:val="both"/>
        <w:rPr>
          <w:rFonts w:ascii="Arial" w:eastAsia="Arial Unicode MS" w:hAnsi="Arial" w:cs="Arial"/>
          <w:sz w:val="24"/>
          <w:szCs w:val="24"/>
        </w:rPr>
      </w:pPr>
    </w:p>
    <w:p w:rsidR="006839E3" w:rsidRPr="00670830" w:rsidRDefault="006839E3" w:rsidP="00670830">
      <w:pPr>
        <w:pStyle w:val="Ttulo4"/>
        <w:spacing w:before="100" w:beforeAutospacing="1" w:after="100" w:afterAutospacing="1" w:line="360" w:lineRule="auto"/>
        <w:jc w:val="both"/>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1.2.3.2. Banco de México</w:t>
      </w:r>
    </w:p>
    <w:p w:rsidR="006839E3" w:rsidRPr="00670830" w:rsidRDefault="006839E3"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Banco de México es el banco central del Estado Mexicano. Por mandato constitucional, es autónomo en sus funciones y administración. Su finalidad es proveer a la economía del país de moneda nacional y su objetivo prioritario es procurar la estabilidad del poder adquisitivo de dicha moneda. Adicionalmente, le corresponde promover el sano desarrollo del sistema financiero y propiciar el buen funcionamiento de los sistemas de pago. El Banco de México es la única institución que puede emitir moneda nacional.</w:t>
      </w:r>
    </w:p>
    <w:p w:rsidR="00367CD0" w:rsidRPr="00670830" w:rsidRDefault="006839E3"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Cuidar la estabilidad de precios es una de las responsabilidades más importantes del Banco de México. A la serie de medidas que esta institución aplica para combatir la inflación se les llama política monetaria.</w:t>
      </w:r>
    </w:p>
    <w:p w:rsidR="00367CD0" w:rsidRPr="00670830" w:rsidRDefault="00554755"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aumento descontrolado de los precios tiene varias implicaciones negativas para la economía. Una mayor variabilidad en los precios relativos provoca severas distorsiones e ineficiencia en la asignación de los recursos, lo que a su vez se traduce invariablemente en una pérdida de competitividad y de actividad económica.</w:t>
      </w:r>
    </w:p>
    <w:p w:rsidR="00554755" w:rsidRPr="00670830" w:rsidRDefault="00D2523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inflación es el aumento sostenido y generalizado de los precios de los bienes y servicios de una economía a lo largo del tiempo. El aumento de un sólo bien o servicio no se considera como inflación. Si todos los precios de la economía aumentan tan solo una vez tampoco eso es inflación.</w:t>
      </w:r>
    </w:p>
    <w:p w:rsidR="00D25234" w:rsidRPr="00670830" w:rsidRDefault="00D2523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[http://www.banxico.org.mx]</w:t>
      </w:r>
    </w:p>
    <w:p w:rsidR="00A05149" w:rsidRPr="00670830" w:rsidRDefault="00A05149" w:rsidP="00670830">
      <w:pPr>
        <w:pStyle w:val="Ttulo4"/>
        <w:spacing w:before="100" w:beforeAutospacing="1" w:after="100" w:afterAutospacing="1" w:line="360" w:lineRule="auto"/>
        <w:jc w:val="both"/>
        <w:rPr>
          <w:rFonts w:ascii="Arial" w:eastAsia="Arial Unicode MS" w:hAnsi="Arial" w:cs="Arial"/>
          <w:b w:val="0"/>
          <w:bCs w:val="0"/>
          <w:i w:val="0"/>
          <w:iCs w:val="0"/>
          <w:color w:val="auto"/>
          <w:sz w:val="24"/>
          <w:szCs w:val="24"/>
        </w:rPr>
      </w:pPr>
    </w:p>
    <w:p w:rsidR="00A05149" w:rsidRPr="00670830" w:rsidRDefault="00A05149" w:rsidP="00670830">
      <w:pPr>
        <w:pStyle w:val="Ttulo5"/>
        <w:spacing w:line="360" w:lineRule="auto"/>
        <w:rPr>
          <w:rFonts w:ascii="Arial" w:eastAsia="Arial Unicode MS" w:hAnsi="Arial" w:cs="Arial"/>
          <w:b/>
          <w:color w:val="auto"/>
          <w:sz w:val="24"/>
          <w:szCs w:val="24"/>
        </w:rPr>
      </w:pPr>
      <w:r w:rsidRPr="00670830">
        <w:rPr>
          <w:rFonts w:ascii="Arial" w:eastAsia="Arial Unicode MS" w:hAnsi="Arial" w:cs="Arial"/>
          <w:b/>
          <w:color w:val="auto"/>
          <w:sz w:val="24"/>
          <w:szCs w:val="24"/>
        </w:rPr>
        <w:t>1.2.3.2.1 Historia del Banco de México</w:t>
      </w:r>
    </w:p>
    <w:p w:rsidR="00A05149" w:rsidRPr="00670830" w:rsidRDefault="00A05149"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El establecimiento del Banco de México no se hace realidad hasta 1925, gracias a los esfuerzos presupuestarios y de organización del Secretario de Hacienda, Alberto J. </w:t>
      </w:r>
      <w:proofErr w:type="spellStart"/>
      <w:r w:rsidRPr="00670830">
        <w:rPr>
          <w:rFonts w:ascii="Arial" w:eastAsia="Arial Unicode MS" w:hAnsi="Arial" w:cs="Arial"/>
          <w:sz w:val="24"/>
          <w:szCs w:val="24"/>
        </w:rPr>
        <w:t>Pani</w:t>
      </w:r>
      <w:proofErr w:type="spellEnd"/>
      <w:r w:rsidRPr="00670830">
        <w:rPr>
          <w:rFonts w:ascii="Arial" w:eastAsia="Arial Unicode MS" w:hAnsi="Arial" w:cs="Arial"/>
          <w:sz w:val="24"/>
          <w:szCs w:val="24"/>
        </w:rPr>
        <w:t>, y al apoyo por parte del Presidente Plutarco Elías Calles. En su momento, alguien llegó a comentar, en tono de broma, que a la Institución debería llamársele "Banco Amaro", ya que los fondos para integrar el capital se pudieron reunir finalmente, en virtud de las economías presupuestales logradas en el Ejército por el entonces Secretario de la Defensa Nacional, Gral. Joaquín Amaro.</w:t>
      </w:r>
    </w:p>
    <w:p w:rsidR="00A05149" w:rsidRPr="00670830" w:rsidRDefault="00A05149"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Así pues, el Banco de México se inauguró en solemne ceremonia el 1 de septiembre de 1925. El acto fue presidido por el primer mandatario, Plutarco Elías Calles, y al mismo concurrieron los personajes más sobresalientes de la política, las finanzas y los negocios de esa época. Al recién creado Instituto se le entregó, en exclusiva, la facultad de crear moneda, tanto mediante la acuñación de piezas metálicas como a través de la emisión de billetes. Como consecuencia de lo anterior, se le encargó regular la circulación monetaria, las tasas de interés y el tipo de cambio. Asimismo, se convirtió al nuevo órgano en agente y asesor financiero y banquero del Gobierno Federal, aunque se dejó en libertad a los bancos comerciales para asociarse o no con el banco central.</w:t>
      </w:r>
    </w:p>
    <w:p w:rsidR="00A05149" w:rsidRPr="00670830" w:rsidRDefault="00A05149"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Durante la administración del Presidente Miguel de la Madrid (1983-1988), una de las acciones más relevantes fue la creación del Fideicomiso para la Cobertura de Riesgos Cambiarios (FICORCA). Este instrumento no sólo permitió que, en su momento, las empresas mexicanas con pasivos denominados en divisas extranjeras pudieran renegociar su deuda externa sino, además, que quedaran protegidas contra el riesgo eventual de futuros ajustes del tipo de cambio.</w:t>
      </w:r>
    </w:p>
    <w:p w:rsidR="00A05149" w:rsidRPr="00670830" w:rsidRDefault="00A05149"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En 1985 se registra un hito importante en la historia del Banco de México: se expide una nueva Ley Orgánica para la Institución. Dicho ordenamiento se distinguió porque incorporó la facultad de fijar límites adecuados al financiamiento que pudiera otorgar la Institución. Otras características notables de esa Ley fueron que otorgó al Banco la posibilidad de emitir títulos de deuda propios para efectos de regulación monetaria, y liberó a la reserva monetaria de restricciones para que la misma pudiera ser usada sin cortapisas para los fines qu</w:t>
      </w:r>
      <w:r w:rsidR="009C592D" w:rsidRPr="00670830">
        <w:rPr>
          <w:rFonts w:ascii="Arial" w:eastAsia="Arial Unicode MS" w:hAnsi="Arial" w:cs="Arial"/>
          <w:sz w:val="24"/>
          <w:szCs w:val="24"/>
        </w:rPr>
        <w:t>e le son propios.</w:t>
      </w:r>
    </w:p>
    <w:p w:rsidR="00A05149" w:rsidRPr="00670830" w:rsidRDefault="00A05149"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De 1987 a la fech</w:t>
      </w:r>
      <w:r w:rsidR="009C592D" w:rsidRPr="00670830">
        <w:rPr>
          <w:rFonts w:ascii="Arial" w:eastAsia="Arial Unicode MS" w:hAnsi="Arial" w:cs="Arial"/>
          <w:sz w:val="24"/>
          <w:szCs w:val="24"/>
        </w:rPr>
        <w:t>a</w:t>
      </w:r>
      <w:r w:rsidRPr="00670830">
        <w:rPr>
          <w:rFonts w:ascii="Arial" w:eastAsia="Arial Unicode MS" w:hAnsi="Arial" w:cs="Arial"/>
          <w:sz w:val="24"/>
          <w:szCs w:val="24"/>
        </w:rPr>
        <w:t xml:space="preserve">, el Banco de México, actuando de manera conjunta con otras autoridades, ha desplegado su máximo esfuerzo en procurar el abatimiento de la inflación. </w:t>
      </w:r>
    </w:p>
    <w:p w:rsidR="009C592D" w:rsidRPr="00670830" w:rsidRDefault="009C592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fase de modernización definitiva del Banco de México se inicia con el otorgamiento de su autonomía, la cual empezó a regir a partir de abril de 1994. En términos prácticos, la autonomía del Banco de México implica que ninguna autoridad pueda exigirle la concesión de crédito, con lo cual se garantiza el control ininterrumpido del instituto central sobre el monto del dinero (billetes y monedas) en circulación. La finalidad de la autonomía es que la operación del banco central sea conducente a la conservación del poder adquisitivo de la moneda nacional.</w:t>
      </w:r>
    </w:p>
    <w:p w:rsidR="00A05149" w:rsidRPr="00670830" w:rsidRDefault="009C592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autonomía del Banco de México está sustentada en tres pilares. El primero es de naturaleza legal. En su parte medular se integra con el mandato constitucional que establece que la misión prioritaria de la Institución es procurar el mantenimiento del poder adquisitivo de la moneda nacional. Este objetivo está especificado de igual manera en la ley actualmente en vigor del Banco de México promulgada a finales de 1993. El segundo pilar reside en la forma en que está integrada su Junta de Gobierno y las normas a que está sujeto su funcionamiento. Dicho órgano colegiado está conformado por un gobernador y cuatro subgobernadores; funcionarios que son designados por el Ejecutivo pero que no pueden ser destituidos de su cargo discrecionalmente. Los periodos de servicio de dichos funcionarios son alternados. El de gobernador es de seis años y empieza en la mitad de un sexenio gubernamental para concluir al cierre de los tres primeros años del siguiente. Los periodos de servicio de los subgobernadores son de ocho años y su reemplazo se da cada dos años, de manera alternada. El tercer pilar de la autonomía es la independencia administrativa que la ley concede al banco central.</w:t>
      </w:r>
    </w:p>
    <w:p w:rsidR="009C592D" w:rsidRPr="00670830" w:rsidRDefault="009C592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A menos de un año del otorgamiento de su autonomía, el Banco de México tuvo que actuar con la Secretaría de Hacienda para enfrentar las crisis de balanza de pagos y bancaria que se manifestaron durante los primeros meses de 1995. La crisis bancaria se resolvió principalmente mediante mecanismos fiscales. Sin embargo, el banco central coadyuvó a esa solución actuando preventivamente en su calidad de prestamista de última instancia. Por su parte, la crisis de balanza de pagos y las sucesivas devaluaciones que ésta provocó a lo largo de 1995 dieron lugar a que tuviera que iniciarse de nueva cuenta un esfuerzo de estabilización en gran escala para erradicar la inflación en forma definitiva.</w:t>
      </w:r>
    </w:p>
    <w:p w:rsidR="009C592D" w:rsidRPr="00670830" w:rsidRDefault="009C592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A partir de 1996, empezaron a acordarse metas anuales para la inflación. En 1999 se fijó la meta de una inflación de 3 por ciento anual para el cierre de 2003, y en 2001 se anunciaron las metas multianuales intermedias, a fin de mantener a la inflación en la trayectoria apropiada o requerida para llegar al objetivo final previsto para diciembre de 2003.</w:t>
      </w:r>
    </w:p>
    <w:p w:rsidR="00F50C9D" w:rsidRPr="00670830" w:rsidRDefault="00F50C9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Desde mediados de 2007 </w:t>
      </w:r>
      <w:r w:rsidR="004D5A73" w:rsidRPr="00670830">
        <w:rPr>
          <w:rFonts w:ascii="Arial" w:eastAsia="Arial Unicode MS" w:hAnsi="Arial" w:cs="Arial"/>
          <w:sz w:val="24"/>
          <w:szCs w:val="24"/>
        </w:rPr>
        <w:t>un</w:t>
      </w:r>
      <w:r w:rsidRPr="00670830">
        <w:rPr>
          <w:rFonts w:ascii="Arial" w:eastAsia="Arial Unicode MS" w:hAnsi="Arial" w:cs="Arial"/>
          <w:sz w:val="24"/>
          <w:szCs w:val="24"/>
        </w:rPr>
        <w:t>a crisis se gestó en Estados Unidos</w:t>
      </w:r>
      <w:r w:rsidR="004D5A73" w:rsidRPr="00670830">
        <w:rPr>
          <w:rFonts w:ascii="Arial" w:eastAsia="Arial Unicode MS" w:hAnsi="Arial" w:cs="Arial"/>
          <w:sz w:val="24"/>
          <w:szCs w:val="24"/>
        </w:rPr>
        <w:t xml:space="preserve">, con las primeras </w:t>
      </w:r>
      <w:r w:rsidRPr="00670830">
        <w:rPr>
          <w:rFonts w:ascii="Arial" w:eastAsia="Arial Unicode MS" w:hAnsi="Arial" w:cs="Arial"/>
          <w:sz w:val="24"/>
          <w:szCs w:val="24"/>
        </w:rPr>
        <w:t>dificultades causadas por las hipotecas “</w:t>
      </w:r>
      <w:proofErr w:type="spellStart"/>
      <w:r w:rsidRPr="00670830">
        <w:rPr>
          <w:rFonts w:ascii="Arial" w:eastAsia="Arial Unicode MS" w:hAnsi="Arial" w:cs="Arial"/>
          <w:sz w:val="24"/>
          <w:szCs w:val="24"/>
        </w:rPr>
        <w:t>subprime</w:t>
      </w:r>
      <w:proofErr w:type="spellEnd"/>
      <w:r w:rsidRPr="00670830">
        <w:rPr>
          <w:rFonts w:ascii="Arial" w:eastAsia="Arial Unicode MS" w:hAnsi="Arial" w:cs="Arial"/>
          <w:sz w:val="24"/>
          <w:szCs w:val="24"/>
        </w:rPr>
        <w:t>” (una modalidad crediticia que se caracteriza por un nivel de riesgo superior a la media del resto de créditos).</w:t>
      </w:r>
    </w:p>
    <w:p w:rsidR="00F50C9D" w:rsidRPr="00670830" w:rsidRDefault="00F50C9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principales bancos centrales del mundo tuvieron que intervenir de emergencia en el mercado para proporcionar liquidez en forma amplia. Pero el mercado de valores en Estados Unidos entró en una caída acelerada y se colapsó a principios de 2008. A principios de julio, el gobierno estadounidense y el Sistema de la Reserva Federal tuvieron que anunciar el rescate de los principales intermediarios hipotecarios. La decisión despertó consternación en los círculos conservadores de ese país bajo el argumento de que los rescates de ese tipo solamente empeoran las prácticas de los inversionistas, al fomentarse la toma de riesgos excesivos con el respaldo de fondos públicos. En ese ambiente, las economías de todo el mundo se vieron afectadas por la insuficiencia de crédito.</w:t>
      </w:r>
    </w:p>
    <w:p w:rsidR="009C592D" w:rsidRPr="00670830" w:rsidRDefault="00F50C9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Aunque su origen había sido externo, se trataba de una crisis de dimensiones globales. Para limitar los efectos negativos que ésta pudiera ocasionar en nuestra economía, además de diversas medidas financieras y fiscales instrumentadas por el gobierno mexicano, el Banco de México implementó sus propias medidas encaminadas específicamente a: (1) contrarrestar la contracción de la actividad económica; (2) mantener en funcionamiento los mercados financieros; y (3) preservar la estabilidad del sistema financiero. En concreto, y entre muchas otras medidas, se determinó, a través de la Comisión de Cambios, reactivar las ventas de dólares por parte del instituto central hasta en 400 millones diarios con base en reglas previamente establecidas, y se acordó con la Reserva Federal de los EE.UU. líneas para intercambio de monedas por un monto de 30 mil millones de dólares (swaps). Adicionalmente la Comisión de Cambios determinó que de marzo a junio de 2009 el Banco de México subastara diariamente sin precio mínimo hasta 100 millones de los 400 millones de dólares de las subastas diarias, y negoció con el Fondo Monetario Internacional una Línea de Crédito Flexible (LCF) por un monto cercano a los 50 mil millones de dólares a un plazo de un año; línea que para 2011 fue ampliada a 73 mil millones de dólares a dos años.</w:t>
      </w:r>
    </w:p>
    <w:p w:rsidR="009C592D" w:rsidRPr="00670830" w:rsidRDefault="009C592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[http://www.banxico.org.mx/acerca-del-banco-de-mexico/semblanza-historica.html]</w:t>
      </w:r>
    </w:p>
    <w:p w:rsidR="004D5A73" w:rsidRPr="00670830" w:rsidRDefault="004D5A73" w:rsidP="00670830">
      <w:pPr>
        <w:spacing w:before="100" w:beforeAutospacing="1" w:after="100" w:afterAutospacing="1" w:line="360" w:lineRule="auto"/>
        <w:jc w:val="both"/>
        <w:rPr>
          <w:rFonts w:ascii="Arial" w:eastAsia="Arial Unicode MS" w:hAnsi="Arial" w:cs="Arial"/>
          <w:sz w:val="24"/>
          <w:szCs w:val="24"/>
        </w:rPr>
      </w:pPr>
    </w:p>
    <w:p w:rsidR="00367CD0" w:rsidRPr="00670830" w:rsidRDefault="00367CD0" w:rsidP="00670830">
      <w:pPr>
        <w:pStyle w:val="Ttulo4"/>
        <w:spacing w:before="100" w:beforeAutospacing="1" w:after="100" w:afterAutospacing="1" w:line="360" w:lineRule="auto"/>
        <w:jc w:val="both"/>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1.2.3.3. Comisión Nacional Bancaria y de Valores (CNBV)</w:t>
      </w:r>
    </w:p>
    <w:p w:rsidR="006839E3" w:rsidRPr="00670830" w:rsidRDefault="00367CD0"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CNBV es un órg</w:t>
      </w:r>
      <w:r w:rsidR="006340F6" w:rsidRPr="00670830">
        <w:rPr>
          <w:rFonts w:ascii="Arial" w:eastAsia="Arial Unicode MS" w:hAnsi="Arial" w:cs="Arial"/>
          <w:sz w:val="24"/>
          <w:szCs w:val="24"/>
        </w:rPr>
        <w:t>ano desconcentrado de la SHCP, es responsable de supervisar y regular las entidades que conforman al sistema financiero mexicano, a fin de procurar su estabilidad,  correcto funcionamiento, mantener y fomentar el sano y equilibrado desarrollo del sistema financiero en su conjunto, y proteger los intereses del público.</w:t>
      </w:r>
    </w:p>
    <w:p w:rsidR="006340F6" w:rsidRPr="00670830" w:rsidRDefault="006340F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Tiene la facultad de dictar normas prudenciales orientadas a preservar la liquidez, la solvencia y la estabilidad de los intermediarios. Tales regulaciones prudenciales son, entre otras, las que se refieren a diversificación de riesgos, capitalización y creación de provisiones preventivas. [http://www.cnbv.gob.mx]</w:t>
      </w:r>
    </w:p>
    <w:p w:rsidR="006340F6" w:rsidRPr="00670830" w:rsidRDefault="007323D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Dentro de sus principales funciones, se encuentran las siguientes:</w:t>
      </w:r>
    </w:p>
    <w:p w:rsidR="007323D4" w:rsidRPr="00670830" w:rsidRDefault="007323D4" w:rsidP="00670830">
      <w:pPr>
        <w:pStyle w:val="Prrafodelista"/>
        <w:numPr>
          <w:ilvl w:val="0"/>
          <w:numId w:val="36"/>
        </w:numPr>
        <w:spacing w:before="240" w:after="24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Realizar la supervisión de las entidades financieras</w:t>
      </w:r>
    </w:p>
    <w:p w:rsidR="00552F6B" w:rsidRPr="00670830" w:rsidRDefault="00552F6B" w:rsidP="00670830">
      <w:pPr>
        <w:pStyle w:val="Prrafodelista"/>
        <w:spacing w:before="240" w:after="240" w:line="360" w:lineRule="auto"/>
        <w:ind w:left="714"/>
        <w:jc w:val="both"/>
        <w:rPr>
          <w:rFonts w:ascii="Arial" w:eastAsia="Arial Unicode MS" w:hAnsi="Arial" w:cs="Arial"/>
          <w:sz w:val="24"/>
          <w:szCs w:val="24"/>
        </w:rPr>
      </w:pPr>
    </w:p>
    <w:p w:rsidR="00552F6B" w:rsidRPr="00670830" w:rsidRDefault="007323D4" w:rsidP="00670830">
      <w:pPr>
        <w:pStyle w:val="Prrafodelista"/>
        <w:numPr>
          <w:ilvl w:val="0"/>
          <w:numId w:val="36"/>
        </w:numPr>
        <w:spacing w:before="240" w:after="24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 xml:space="preserve">Emitir en el ámbito de su competencia la regulación prudencial a </w:t>
      </w:r>
      <w:r w:rsidR="00E42D02" w:rsidRPr="00670830">
        <w:rPr>
          <w:rFonts w:ascii="Arial" w:eastAsia="Arial Unicode MS" w:hAnsi="Arial" w:cs="Arial"/>
          <w:sz w:val="24"/>
          <w:szCs w:val="24"/>
        </w:rPr>
        <w:t xml:space="preserve">la </w:t>
      </w:r>
      <w:r w:rsidRPr="00670830">
        <w:rPr>
          <w:rFonts w:ascii="Arial" w:eastAsia="Arial Unicode MS" w:hAnsi="Arial" w:cs="Arial"/>
          <w:sz w:val="24"/>
          <w:szCs w:val="24"/>
        </w:rPr>
        <w:t>que se sujetarán las entidades</w:t>
      </w:r>
    </w:p>
    <w:p w:rsidR="00552F6B" w:rsidRPr="00670830" w:rsidRDefault="00552F6B" w:rsidP="00670830">
      <w:pPr>
        <w:pStyle w:val="Prrafodelista"/>
        <w:spacing w:before="240" w:after="240" w:line="360" w:lineRule="auto"/>
        <w:ind w:left="714"/>
        <w:jc w:val="both"/>
        <w:rPr>
          <w:rFonts w:ascii="Arial" w:eastAsia="Arial Unicode MS" w:hAnsi="Arial" w:cs="Arial"/>
          <w:sz w:val="24"/>
          <w:szCs w:val="24"/>
        </w:rPr>
      </w:pPr>
    </w:p>
    <w:p w:rsidR="004675C8" w:rsidRPr="00670830" w:rsidRDefault="007323D4" w:rsidP="00670830">
      <w:pPr>
        <w:pStyle w:val="Prrafodelista"/>
        <w:numPr>
          <w:ilvl w:val="0"/>
          <w:numId w:val="36"/>
        </w:numPr>
        <w:spacing w:before="240" w:after="24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Dictar normas de registro de operaciones aplicables a las entidades</w:t>
      </w:r>
    </w:p>
    <w:p w:rsidR="004675C8" w:rsidRPr="00670830" w:rsidRDefault="004675C8" w:rsidP="00670830">
      <w:pPr>
        <w:pStyle w:val="Prrafodelista"/>
        <w:spacing w:before="240" w:after="240" w:line="360" w:lineRule="auto"/>
        <w:ind w:left="714"/>
        <w:jc w:val="both"/>
        <w:rPr>
          <w:rFonts w:ascii="Arial" w:eastAsia="Arial Unicode MS" w:hAnsi="Arial" w:cs="Arial"/>
          <w:sz w:val="24"/>
          <w:szCs w:val="24"/>
        </w:rPr>
      </w:pPr>
    </w:p>
    <w:p w:rsidR="00552F6B" w:rsidRPr="00670830" w:rsidRDefault="007323D4" w:rsidP="00670830">
      <w:pPr>
        <w:pStyle w:val="Prrafodelista"/>
        <w:numPr>
          <w:ilvl w:val="0"/>
          <w:numId w:val="36"/>
        </w:numPr>
        <w:spacing w:before="240" w:after="24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Fijar reglas para la estimación de los activos y, en su caso, de las obligaciones y responsabilidades de las entidades, en los términos que señalan las leyes</w:t>
      </w:r>
    </w:p>
    <w:p w:rsidR="00552F6B" w:rsidRPr="00670830" w:rsidRDefault="00552F6B" w:rsidP="00670830">
      <w:pPr>
        <w:pStyle w:val="Prrafodelista"/>
        <w:spacing w:before="240" w:after="240" w:line="360" w:lineRule="auto"/>
        <w:ind w:left="714"/>
        <w:jc w:val="both"/>
        <w:rPr>
          <w:rFonts w:ascii="Arial" w:eastAsia="Arial Unicode MS" w:hAnsi="Arial" w:cs="Arial"/>
          <w:sz w:val="24"/>
          <w:szCs w:val="24"/>
        </w:rPr>
      </w:pPr>
    </w:p>
    <w:p w:rsidR="00552F6B" w:rsidRPr="00670830" w:rsidRDefault="007323D4" w:rsidP="00670830">
      <w:pPr>
        <w:pStyle w:val="Prrafodelista"/>
        <w:numPr>
          <w:ilvl w:val="0"/>
          <w:numId w:val="36"/>
        </w:numPr>
        <w:spacing w:before="240" w:after="24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Expedir normas respecto a la información que deberán proporcionarle periódicamente las entidades</w:t>
      </w:r>
    </w:p>
    <w:p w:rsidR="00552F6B" w:rsidRPr="00670830" w:rsidRDefault="00552F6B" w:rsidP="00670830">
      <w:pPr>
        <w:pStyle w:val="Prrafodelista"/>
        <w:spacing w:before="240" w:after="240" w:line="360" w:lineRule="auto"/>
        <w:ind w:left="714"/>
        <w:jc w:val="both"/>
        <w:rPr>
          <w:rFonts w:ascii="Arial" w:eastAsia="Arial Unicode MS" w:hAnsi="Arial" w:cs="Arial"/>
          <w:sz w:val="24"/>
          <w:szCs w:val="24"/>
        </w:rPr>
      </w:pPr>
    </w:p>
    <w:p w:rsidR="007323D4" w:rsidRPr="00670830" w:rsidRDefault="007323D4" w:rsidP="00670830">
      <w:pPr>
        <w:pStyle w:val="Prrafodelista"/>
        <w:numPr>
          <w:ilvl w:val="0"/>
          <w:numId w:val="36"/>
        </w:numPr>
        <w:spacing w:before="240" w:after="24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Fungir como órgano de consulta del Gobierno Federal en materia financiera</w:t>
      </w:r>
    </w:p>
    <w:p w:rsidR="00552F6B" w:rsidRPr="00670830" w:rsidRDefault="00552F6B" w:rsidP="00670830">
      <w:pPr>
        <w:pStyle w:val="Prrafodelista"/>
        <w:spacing w:before="240" w:after="240" w:line="360" w:lineRule="auto"/>
        <w:ind w:left="714"/>
        <w:jc w:val="both"/>
        <w:rPr>
          <w:rFonts w:ascii="Arial" w:eastAsia="Arial Unicode MS" w:hAnsi="Arial" w:cs="Arial"/>
          <w:sz w:val="24"/>
          <w:szCs w:val="24"/>
        </w:rPr>
      </w:pPr>
    </w:p>
    <w:p w:rsidR="004C23B1" w:rsidRPr="00670830" w:rsidRDefault="007323D4" w:rsidP="00670830">
      <w:pPr>
        <w:pStyle w:val="Prrafodelista"/>
        <w:numPr>
          <w:ilvl w:val="0"/>
          <w:numId w:val="36"/>
        </w:numPr>
        <w:spacing w:before="240" w:after="24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Procurar a través de los procedimientos establecidos en las leyes que regulan el sistema financiero, que las entidades cumplan debida y eficazmente las operaciones y servicios, en los términos y condiciones concertados, con los usuarios de servicios financieros</w:t>
      </w:r>
    </w:p>
    <w:p w:rsidR="00552F6B" w:rsidRPr="00670830" w:rsidRDefault="00552F6B" w:rsidP="00670830">
      <w:pPr>
        <w:pStyle w:val="Prrafodelista"/>
        <w:spacing w:before="240" w:after="240" w:line="360" w:lineRule="auto"/>
        <w:ind w:left="714"/>
        <w:jc w:val="both"/>
        <w:rPr>
          <w:rFonts w:ascii="Arial" w:eastAsia="Arial Unicode MS" w:hAnsi="Arial" w:cs="Arial"/>
          <w:sz w:val="24"/>
          <w:szCs w:val="24"/>
        </w:rPr>
      </w:pPr>
    </w:p>
    <w:p w:rsidR="007323D4" w:rsidRPr="00670830" w:rsidRDefault="00B341EB" w:rsidP="00670830">
      <w:pPr>
        <w:pStyle w:val="Prrafodelista"/>
        <w:numPr>
          <w:ilvl w:val="0"/>
          <w:numId w:val="36"/>
        </w:numPr>
        <w:spacing w:before="240" w:after="240" w:line="360" w:lineRule="auto"/>
        <w:ind w:left="714" w:hanging="357"/>
        <w:jc w:val="both"/>
        <w:rPr>
          <w:rFonts w:ascii="Arial" w:eastAsia="Arial Unicode MS" w:hAnsi="Arial" w:cs="Arial"/>
          <w:sz w:val="24"/>
          <w:szCs w:val="24"/>
        </w:rPr>
      </w:pPr>
      <w:r w:rsidRPr="00670830">
        <w:rPr>
          <w:rFonts w:ascii="Arial" w:eastAsia="Arial Unicode MS" w:hAnsi="Arial" w:cs="Arial"/>
          <w:sz w:val="24"/>
          <w:szCs w:val="24"/>
        </w:rPr>
        <w:t>Elaborar y publicar estadísticas relativas a las entidades y mercados financieros, indicadores de solvencia, estabilidad y liquidez, así como realizar y difundir estudios y estimaciones de escenarios de mercados que permitan la comparabilidad de información.</w:t>
      </w:r>
    </w:p>
    <w:p w:rsidR="009334EA" w:rsidRPr="00670830" w:rsidRDefault="009334E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[http://www.cnbv.gob.mx/Normatividad/Ley%20de%20la%20Comisión%20Nacional%20Bancaria%20y%20de%20Valores.pdf]</w:t>
      </w:r>
    </w:p>
    <w:p w:rsidR="007323D4" w:rsidRPr="00670830" w:rsidRDefault="007323D4" w:rsidP="00670830">
      <w:pPr>
        <w:spacing w:before="100" w:beforeAutospacing="1" w:after="100" w:afterAutospacing="1" w:line="360" w:lineRule="auto"/>
        <w:jc w:val="both"/>
        <w:rPr>
          <w:rFonts w:ascii="Arial" w:eastAsia="Arial Unicode MS" w:hAnsi="Arial" w:cs="Arial"/>
          <w:sz w:val="24"/>
          <w:szCs w:val="24"/>
        </w:rPr>
      </w:pPr>
    </w:p>
    <w:p w:rsidR="006340F6" w:rsidRPr="00670830" w:rsidRDefault="006340F6" w:rsidP="00670830">
      <w:pPr>
        <w:pStyle w:val="Ttulo4"/>
        <w:spacing w:before="100" w:beforeAutospacing="1" w:after="100" w:afterAutospacing="1" w:line="360" w:lineRule="auto"/>
        <w:jc w:val="both"/>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1.2.3.4. Comisión Nacional del Sistem</w:t>
      </w:r>
      <w:r w:rsidR="00451D07" w:rsidRPr="00670830">
        <w:rPr>
          <w:rFonts w:ascii="Arial" w:eastAsia="Arial Unicode MS" w:hAnsi="Arial" w:cs="Arial"/>
          <w:i w:val="0"/>
          <w:color w:val="auto"/>
          <w:sz w:val="24"/>
          <w:szCs w:val="24"/>
        </w:rPr>
        <w:t>a de Ahorro para el Retiro (CONSAR</w:t>
      </w:r>
      <w:r w:rsidRPr="00670830">
        <w:rPr>
          <w:rFonts w:ascii="Arial" w:eastAsia="Arial Unicode MS" w:hAnsi="Arial" w:cs="Arial"/>
          <w:i w:val="0"/>
          <w:color w:val="auto"/>
          <w:sz w:val="24"/>
          <w:szCs w:val="24"/>
        </w:rPr>
        <w:t>)</w:t>
      </w:r>
    </w:p>
    <w:p w:rsidR="006340F6" w:rsidRPr="00670830" w:rsidRDefault="006340F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CONSAR es la Comisión Nacional del Sistema de Ahorro para el Retiro y su labor fundamental es la de regular el Sistema de Ahorro para el Retiro (SAR) que está constituido por las cuentas individuales a nombre de los trabajadores que manejan las </w:t>
      </w:r>
      <w:proofErr w:type="spellStart"/>
      <w:r w:rsidRPr="00670830">
        <w:rPr>
          <w:rFonts w:ascii="Arial" w:eastAsia="Arial Unicode MS" w:hAnsi="Arial" w:cs="Arial"/>
          <w:sz w:val="24"/>
          <w:szCs w:val="24"/>
        </w:rPr>
        <w:t>AFOREs</w:t>
      </w:r>
      <w:proofErr w:type="spellEnd"/>
      <w:r w:rsidRPr="00670830">
        <w:rPr>
          <w:rFonts w:ascii="Arial" w:eastAsia="Arial Unicode MS" w:hAnsi="Arial" w:cs="Arial"/>
          <w:sz w:val="24"/>
          <w:szCs w:val="24"/>
        </w:rPr>
        <w:t>. [http://www.consar.gob.mx]</w:t>
      </w:r>
    </w:p>
    <w:p w:rsidR="00451D07" w:rsidRPr="00670830" w:rsidRDefault="00451D07"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Es un órgano administrativo desconcentrado de la de la Secretaría de Hacienda y Crédito Público, tiene, entre otras, las siguientes facultades:</w:t>
      </w:r>
    </w:p>
    <w:p w:rsidR="00552F6B" w:rsidRPr="00670830" w:rsidRDefault="00451D07" w:rsidP="00670830">
      <w:pPr>
        <w:pStyle w:val="Prrafodelista"/>
        <w:numPr>
          <w:ilvl w:val="0"/>
          <w:numId w:val="7"/>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Emitir la regulación para los participantes del Sistema de Ahorro para el Retiro.</w:t>
      </w:r>
    </w:p>
    <w:p w:rsidR="00552F6B" w:rsidRPr="00670830" w:rsidRDefault="00451D07" w:rsidP="00670830">
      <w:pPr>
        <w:pStyle w:val="Prrafodelista"/>
        <w:numPr>
          <w:ilvl w:val="0"/>
          <w:numId w:val="7"/>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Vigilar el que se resguarden los recursos de los trabajadores.</w:t>
      </w:r>
    </w:p>
    <w:p w:rsidR="00552F6B" w:rsidRPr="00670830" w:rsidRDefault="00451D07" w:rsidP="00670830">
      <w:pPr>
        <w:pStyle w:val="Prrafodelista"/>
        <w:numPr>
          <w:ilvl w:val="0"/>
          <w:numId w:val="7"/>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Revisar que los recursos de los trabajadores se inviertan de acuerdo a los parámetros y límites establecidos por la Comisión.</w:t>
      </w:r>
    </w:p>
    <w:p w:rsidR="00552F6B" w:rsidRPr="00670830" w:rsidRDefault="00451D07" w:rsidP="00670830">
      <w:pPr>
        <w:pStyle w:val="Prrafodelista"/>
        <w:numPr>
          <w:ilvl w:val="0"/>
          <w:numId w:val="7"/>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 Supervisar que se ofrezca la información requerida para los trabajadores (por ejemplo, que se envíe el Estado de Cuenta tres veces por año).</w:t>
      </w:r>
    </w:p>
    <w:p w:rsidR="00451D07" w:rsidRPr="00670830" w:rsidRDefault="00451D07" w:rsidP="00670830">
      <w:pPr>
        <w:pStyle w:val="Prrafodelista"/>
        <w:numPr>
          <w:ilvl w:val="0"/>
          <w:numId w:val="7"/>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 Imponer multas a las AFORES y sanciones a los empleados de éstas en caso de algún incumplimiento. </w:t>
      </w:r>
    </w:p>
    <w:p w:rsidR="00451D07" w:rsidRPr="00670830" w:rsidRDefault="00451D07" w:rsidP="00670830">
      <w:pPr>
        <w:pStyle w:val="Prrafodelista"/>
        <w:spacing w:before="100" w:beforeAutospacing="1" w:after="100" w:afterAutospacing="1" w:line="360" w:lineRule="auto"/>
        <w:jc w:val="both"/>
        <w:rPr>
          <w:rFonts w:ascii="Arial" w:eastAsia="Arial Unicode MS" w:hAnsi="Arial" w:cs="Arial"/>
          <w:sz w:val="24"/>
          <w:szCs w:val="24"/>
        </w:rPr>
      </w:pPr>
    </w:p>
    <w:p w:rsidR="00451D07" w:rsidRPr="00670830" w:rsidRDefault="00451D07" w:rsidP="00670830">
      <w:pPr>
        <w:pStyle w:val="Ttulo4"/>
        <w:tabs>
          <w:tab w:val="left" w:pos="6270"/>
        </w:tabs>
        <w:spacing w:before="100" w:beforeAutospacing="1" w:after="100" w:afterAutospacing="1" w:line="360" w:lineRule="auto"/>
        <w:jc w:val="both"/>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1.2.3.5</w:t>
      </w:r>
      <w:r w:rsidR="00255027" w:rsidRPr="00670830">
        <w:rPr>
          <w:rFonts w:ascii="Arial" w:eastAsia="Arial Unicode MS" w:hAnsi="Arial" w:cs="Arial"/>
          <w:i w:val="0"/>
          <w:color w:val="auto"/>
          <w:sz w:val="24"/>
          <w:szCs w:val="24"/>
        </w:rPr>
        <w:t>. Comisión Nacional de Seguros y Fianzas (CNSF</w:t>
      </w:r>
      <w:r w:rsidRPr="00670830">
        <w:rPr>
          <w:rFonts w:ascii="Arial" w:eastAsia="Arial Unicode MS" w:hAnsi="Arial" w:cs="Arial"/>
          <w:i w:val="0"/>
          <w:color w:val="auto"/>
          <w:sz w:val="24"/>
          <w:szCs w:val="24"/>
        </w:rPr>
        <w:t>)</w:t>
      </w:r>
      <w:r w:rsidR="00B849FA" w:rsidRPr="00670830">
        <w:rPr>
          <w:rFonts w:ascii="Arial" w:eastAsia="Arial Unicode MS" w:hAnsi="Arial" w:cs="Arial"/>
          <w:i w:val="0"/>
          <w:color w:val="auto"/>
          <w:sz w:val="24"/>
          <w:szCs w:val="24"/>
        </w:rPr>
        <w:tab/>
      </w:r>
    </w:p>
    <w:p w:rsidR="00255027" w:rsidRPr="00670830" w:rsidRDefault="00255027"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Comisión Nacional de Seguros y Fianzas es un Órgano Desconcentrado de la Secretaría de Hacienda y Crédito Público, encargada de supervisar que la operación de los sectores asegurador y afianzador se apegue al marco normativo, preservando la solvencia y estabilidad financiera de las instituciones de Seguros y Fianzas, para garantizar los intereses del público usuario, así como promover el sano desarrollo de estos sectores con el propósito de extender la cobertura de sus servicios a la mayor parte posible de la población. [http://www.cnsf.gob.mx]</w:t>
      </w:r>
    </w:p>
    <w:p w:rsidR="006340F6" w:rsidRPr="00670830" w:rsidRDefault="00255027"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Fundamenta sus actividades en las siguientes leyes:</w:t>
      </w:r>
    </w:p>
    <w:p w:rsidR="0045517E" w:rsidRPr="00670830" w:rsidRDefault="00255027" w:rsidP="00670830">
      <w:pPr>
        <w:pStyle w:val="Prrafodelista"/>
        <w:numPr>
          <w:ilvl w:val="0"/>
          <w:numId w:val="8"/>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Ley Orgánica de la Administración Pública Federal </w:t>
      </w:r>
    </w:p>
    <w:p w:rsidR="0045517E" w:rsidRPr="00670830" w:rsidRDefault="00255027" w:rsidP="00670830">
      <w:pPr>
        <w:pStyle w:val="Prrafodelista"/>
        <w:numPr>
          <w:ilvl w:val="0"/>
          <w:numId w:val="8"/>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Ley General de Instituciones y Sociedades Mutualistas de Seguros</w:t>
      </w:r>
    </w:p>
    <w:p w:rsidR="0045517E" w:rsidRPr="00670830" w:rsidRDefault="00255027" w:rsidP="00670830">
      <w:pPr>
        <w:pStyle w:val="Prrafodelista"/>
        <w:numPr>
          <w:ilvl w:val="0"/>
          <w:numId w:val="8"/>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Ley Federal de Instituciones de Fianzas</w:t>
      </w:r>
    </w:p>
    <w:p w:rsidR="00B849FA" w:rsidRPr="00670830" w:rsidRDefault="00255027" w:rsidP="00670830">
      <w:pPr>
        <w:pStyle w:val="Prrafodelista"/>
        <w:numPr>
          <w:ilvl w:val="0"/>
          <w:numId w:val="8"/>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Reglamento interior de la Comisión Nacional de Seguros y Fianzas</w:t>
      </w:r>
    </w:p>
    <w:p w:rsidR="0045517E" w:rsidRPr="00670830" w:rsidRDefault="0045517E" w:rsidP="00670830">
      <w:pPr>
        <w:pStyle w:val="Prrafodelista"/>
        <w:spacing w:before="100" w:beforeAutospacing="1" w:after="100" w:afterAutospacing="1" w:line="360" w:lineRule="auto"/>
        <w:jc w:val="both"/>
        <w:rPr>
          <w:rFonts w:ascii="Arial" w:eastAsia="Arial Unicode MS" w:hAnsi="Arial" w:cs="Arial"/>
          <w:sz w:val="24"/>
          <w:szCs w:val="24"/>
        </w:rPr>
      </w:pPr>
    </w:p>
    <w:p w:rsidR="00742407" w:rsidRPr="00670830" w:rsidRDefault="00B849FA" w:rsidP="00670830">
      <w:pPr>
        <w:pStyle w:val="Ttulo4"/>
        <w:tabs>
          <w:tab w:val="left" w:pos="6270"/>
        </w:tabs>
        <w:spacing w:before="100" w:beforeAutospacing="1" w:after="100" w:afterAutospacing="1" w:line="360" w:lineRule="auto"/>
        <w:jc w:val="both"/>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1.2.3.6. Comisión Nacional para la Protección y Defensa de los Usuarios de Servicios Financieros (CONDUSEF)</w:t>
      </w:r>
    </w:p>
    <w:p w:rsidR="00742407" w:rsidRPr="00670830" w:rsidRDefault="00B849F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Se trata de una institución pública dependiente de la Secretaría</w:t>
      </w:r>
      <w:r w:rsidR="00742407" w:rsidRPr="00670830">
        <w:rPr>
          <w:rFonts w:ascii="Arial" w:eastAsia="Arial Unicode MS" w:hAnsi="Arial" w:cs="Arial"/>
          <w:sz w:val="24"/>
          <w:szCs w:val="24"/>
        </w:rPr>
        <w:t xml:space="preserve"> de Hacienda y Crédito Público.</w:t>
      </w:r>
    </w:p>
    <w:p w:rsidR="00B849FA" w:rsidRPr="00670830" w:rsidRDefault="00742407"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Basan su funcionamiento en</w:t>
      </w:r>
      <w:r w:rsidR="00B849FA" w:rsidRPr="00670830">
        <w:rPr>
          <w:rFonts w:ascii="Arial" w:eastAsia="Arial Unicode MS" w:hAnsi="Arial" w:cs="Arial"/>
          <w:sz w:val="24"/>
          <w:szCs w:val="24"/>
        </w:rPr>
        <w:t xml:space="preserve"> dos tipos de ac</w:t>
      </w:r>
      <w:r w:rsidRPr="00670830">
        <w:rPr>
          <w:rFonts w:ascii="Arial" w:eastAsia="Arial Unicode MS" w:hAnsi="Arial" w:cs="Arial"/>
          <w:sz w:val="24"/>
          <w:szCs w:val="24"/>
        </w:rPr>
        <w:t>tividades</w:t>
      </w:r>
      <w:r w:rsidR="00B849FA" w:rsidRPr="00670830">
        <w:rPr>
          <w:rFonts w:ascii="Arial" w:eastAsia="Arial Unicode MS" w:hAnsi="Arial" w:cs="Arial"/>
          <w:sz w:val="24"/>
          <w:szCs w:val="24"/>
        </w:rPr>
        <w:t>:</w:t>
      </w:r>
    </w:p>
    <w:p w:rsidR="00552F6B" w:rsidRPr="00670830" w:rsidRDefault="00742407" w:rsidP="00670830">
      <w:pPr>
        <w:pStyle w:val="Prrafodelista"/>
        <w:numPr>
          <w:ilvl w:val="0"/>
          <w:numId w:val="9"/>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Preventivas: </w:t>
      </w:r>
      <w:r w:rsidR="00B849FA" w:rsidRPr="00670830">
        <w:rPr>
          <w:rFonts w:ascii="Arial" w:eastAsia="Arial Unicode MS" w:hAnsi="Arial" w:cs="Arial"/>
          <w:sz w:val="24"/>
          <w:szCs w:val="24"/>
        </w:rPr>
        <w:t>orientar, informar, pro</w:t>
      </w:r>
      <w:r w:rsidRPr="00670830">
        <w:rPr>
          <w:rFonts w:ascii="Arial" w:eastAsia="Arial Unicode MS" w:hAnsi="Arial" w:cs="Arial"/>
          <w:sz w:val="24"/>
          <w:szCs w:val="24"/>
        </w:rPr>
        <w:t>mover la Educación Financiera</w:t>
      </w:r>
    </w:p>
    <w:p w:rsidR="00B849FA" w:rsidRPr="00670830" w:rsidRDefault="00742407" w:rsidP="00670830">
      <w:pPr>
        <w:pStyle w:val="Prrafodelista"/>
        <w:numPr>
          <w:ilvl w:val="0"/>
          <w:numId w:val="9"/>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Correctivas: </w:t>
      </w:r>
      <w:r w:rsidR="00B849FA" w:rsidRPr="00670830">
        <w:rPr>
          <w:rFonts w:ascii="Arial" w:eastAsia="Arial Unicode MS" w:hAnsi="Arial" w:cs="Arial"/>
          <w:sz w:val="24"/>
          <w:szCs w:val="24"/>
        </w:rPr>
        <w:t>atender y resolver las quejas y reclamaciones de los usuarios de ser</w:t>
      </w:r>
      <w:r w:rsidRPr="00670830">
        <w:rPr>
          <w:rFonts w:ascii="Arial" w:eastAsia="Arial Unicode MS" w:hAnsi="Arial" w:cs="Arial"/>
          <w:sz w:val="24"/>
          <w:szCs w:val="24"/>
        </w:rPr>
        <w:t>vicios y productos financieros.</w:t>
      </w:r>
    </w:p>
    <w:p w:rsidR="00742407" w:rsidRPr="00670830" w:rsidRDefault="00742407"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Buscan f</w:t>
      </w:r>
      <w:r w:rsidR="00B849FA" w:rsidRPr="00670830">
        <w:rPr>
          <w:rFonts w:ascii="Arial" w:eastAsia="Arial Unicode MS" w:hAnsi="Arial" w:cs="Arial"/>
          <w:sz w:val="24"/>
          <w:szCs w:val="24"/>
        </w:rPr>
        <w:t>omentar la Educació</w:t>
      </w:r>
      <w:r w:rsidRPr="00670830">
        <w:rPr>
          <w:rFonts w:ascii="Arial" w:eastAsia="Arial Unicode MS" w:hAnsi="Arial" w:cs="Arial"/>
          <w:sz w:val="24"/>
          <w:szCs w:val="24"/>
        </w:rPr>
        <w:t>n Financiera entre la población, desarrollar</w:t>
      </w:r>
      <w:r w:rsidR="00B849FA" w:rsidRPr="00670830">
        <w:rPr>
          <w:rFonts w:ascii="Arial" w:eastAsia="Arial Unicode MS" w:hAnsi="Arial" w:cs="Arial"/>
          <w:sz w:val="24"/>
          <w:szCs w:val="24"/>
        </w:rPr>
        <w:t xml:space="preserve"> productos y herramientas que apoyen, asesoren y orienten a los usu</w:t>
      </w:r>
      <w:r w:rsidRPr="00670830">
        <w:rPr>
          <w:rFonts w:ascii="Arial" w:eastAsia="Arial Unicode MS" w:hAnsi="Arial" w:cs="Arial"/>
          <w:sz w:val="24"/>
          <w:szCs w:val="24"/>
        </w:rPr>
        <w:t xml:space="preserve">arios de servicios financieros y mantener </w:t>
      </w:r>
      <w:r w:rsidR="00B849FA" w:rsidRPr="00670830">
        <w:rPr>
          <w:rFonts w:ascii="Arial" w:eastAsia="Arial Unicode MS" w:hAnsi="Arial" w:cs="Arial"/>
          <w:sz w:val="24"/>
          <w:szCs w:val="24"/>
        </w:rPr>
        <w:t xml:space="preserve"> siempre una relación justa y equitativa entre los usuarios y las instituciones financieras.</w:t>
      </w:r>
      <w:r w:rsidRPr="00670830">
        <w:rPr>
          <w:rFonts w:ascii="Arial" w:eastAsia="Arial Unicode MS" w:hAnsi="Arial" w:cs="Arial"/>
          <w:sz w:val="24"/>
          <w:szCs w:val="24"/>
        </w:rPr>
        <w:t xml:space="preserve"> </w:t>
      </w:r>
      <w:r w:rsidR="00A0071E" w:rsidRPr="00670830">
        <w:rPr>
          <w:rFonts w:ascii="Arial" w:eastAsia="Arial Unicode MS" w:hAnsi="Arial" w:cs="Arial"/>
          <w:sz w:val="24"/>
          <w:szCs w:val="24"/>
        </w:rPr>
        <w:t xml:space="preserve"> </w:t>
      </w:r>
      <w:r w:rsidRPr="00670830">
        <w:rPr>
          <w:rFonts w:ascii="Arial" w:eastAsia="Arial Unicode MS" w:hAnsi="Arial" w:cs="Arial"/>
          <w:sz w:val="24"/>
          <w:szCs w:val="24"/>
        </w:rPr>
        <w:t>[http://www.condusef.gob.mx]</w:t>
      </w:r>
    </w:p>
    <w:p w:rsidR="00645880" w:rsidRPr="00670830" w:rsidRDefault="00645880" w:rsidP="00670830">
      <w:pPr>
        <w:pStyle w:val="Ttulo4"/>
        <w:tabs>
          <w:tab w:val="left" w:pos="6270"/>
        </w:tabs>
        <w:spacing w:before="100" w:beforeAutospacing="1" w:after="100" w:afterAutospacing="1" w:line="360" w:lineRule="auto"/>
        <w:jc w:val="both"/>
        <w:rPr>
          <w:rFonts w:ascii="Arial" w:eastAsia="Arial Unicode MS" w:hAnsi="Arial" w:cs="Arial"/>
          <w:i w:val="0"/>
          <w:color w:val="auto"/>
          <w:sz w:val="24"/>
          <w:szCs w:val="24"/>
        </w:rPr>
      </w:pPr>
    </w:p>
    <w:p w:rsidR="00742407" w:rsidRPr="00670830" w:rsidRDefault="00742407" w:rsidP="00670830">
      <w:pPr>
        <w:pStyle w:val="Ttulo4"/>
        <w:tabs>
          <w:tab w:val="left" w:pos="6270"/>
        </w:tabs>
        <w:spacing w:before="100" w:beforeAutospacing="1" w:after="100" w:afterAutospacing="1" w:line="360" w:lineRule="auto"/>
        <w:jc w:val="both"/>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1.2.3.7. Instituto de Protección al Ahorro Bancario (IPAB)</w:t>
      </w:r>
    </w:p>
    <w:p w:rsidR="00742407" w:rsidRPr="00670830" w:rsidRDefault="00742407"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IPAB es un organismo descentralizado de la Administración Pública Federal, sectorizado a la Secretaría</w:t>
      </w:r>
      <w:r w:rsidR="00EC5C2E" w:rsidRPr="00670830">
        <w:rPr>
          <w:rFonts w:ascii="Arial" w:eastAsia="Arial Unicode MS" w:hAnsi="Arial" w:cs="Arial"/>
          <w:sz w:val="24"/>
          <w:szCs w:val="24"/>
        </w:rPr>
        <w:t xml:space="preserve"> de Hacienda y Crédito Público</w:t>
      </w:r>
      <w:r w:rsidRPr="00670830">
        <w:rPr>
          <w:rFonts w:ascii="Arial" w:eastAsia="Arial Unicode MS" w:hAnsi="Arial" w:cs="Arial"/>
          <w:sz w:val="24"/>
          <w:szCs w:val="24"/>
        </w:rPr>
        <w:t xml:space="preserve">, cuyas funciones se encuentran reguladas en la Ley de Protección al Ahorro Bancario (LPAB) y en la Ley de Instituciones de Crédito (LIC). </w:t>
      </w:r>
    </w:p>
    <w:p w:rsidR="00742407" w:rsidRPr="00670830" w:rsidRDefault="00742407"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IPAB tiene por mandato legal administrar el sistema de protección al ahorro bancario en México (seguro de depósitos), en beneficio de los ahorradores que realicen operaciones bancarias consideradas como obligaciones garantizadas (depósitos, préstamos y créditos), de conformidad con lo dispuesto por la LPAB y la LIC; lo anterior, en los términos y con las limitantes contenidos en las disposiciones normativas correspondientes. El IPAB pagará el saldo de las obligaciones garantizadas, considerando el monto del principal y accesorios, hasta por una cantidad equivalente a 400,000 unidades de inversión (factor de indexación de la cobertura otorgada) por persona, física o moral, cualquiera que sea el número y clase de dichas obligaciones a su favor y a cargo de una misma institución de banca múltiple.</w:t>
      </w:r>
    </w:p>
    <w:p w:rsidR="00EC5C2E" w:rsidRPr="00670830" w:rsidRDefault="0013589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 </w:t>
      </w:r>
      <w:r w:rsidR="00742407" w:rsidRPr="00670830">
        <w:rPr>
          <w:rFonts w:ascii="Arial" w:eastAsia="Arial Unicode MS" w:hAnsi="Arial" w:cs="Arial"/>
          <w:sz w:val="24"/>
          <w:szCs w:val="24"/>
        </w:rPr>
        <w:t>Asimismo, el IPAB tiene por objeto realizar los actos correspondientes para resolver al menor costo posible instituciones de banca múltiple con problemas financieros que afecten su nivel de capitalización, a través de la determinación e implementación de métodos de resolución que permitan la salida ordenada del sistema bancario de dichas instituciones de banca múltiple y, de esta forma, contribuir a la estabilidad del aludido sistema y el buen funcionamiento del sistema de pagos.</w:t>
      </w:r>
      <w:r w:rsidR="00EC5C2E" w:rsidRPr="00670830">
        <w:rPr>
          <w:rFonts w:ascii="Arial" w:eastAsia="Arial Unicode MS" w:hAnsi="Arial" w:cs="Arial"/>
          <w:sz w:val="24"/>
          <w:szCs w:val="24"/>
        </w:rPr>
        <w:t xml:space="preserve"> </w:t>
      </w:r>
    </w:p>
    <w:p w:rsidR="004675C8" w:rsidRPr="00670830" w:rsidRDefault="00EC5C2E"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[http://www.ipab.org.mx]</w:t>
      </w:r>
    </w:p>
    <w:p w:rsidR="00742407" w:rsidRPr="00670830" w:rsidRDefault="005B6441" w:rsidP="00670830">
      <w:pPr>
        <w:pStyle w:val="Ttulo2"/>
        <w:spacing w:before="100" w:beforeAutospacing="1" w:after="100" w:afterAutospacing="1" w:line="360" w:lineRule="auto"/>
        <w:jc w:val="both"/>
        <w:rPr>
          <w:rFonts w:ascii="Arial" w:eastAsia="Arial Unicode MS" w:hAnsi="Arial" w:cs="Arial"/>
          <w:color w:val="auto"/>
          <w:sz w:val="24"/>
          <w:szCs w:val="24"/>
        </w:rPr>
      </w:pPr>
      <w:bookmarkStart w:id="7" w:name="_Toc488230484"/>
      <w:r w:rsidRPr="00670830">
        <w:rPr>
          <w:rFonts w:ascii="Arial" w:eastAsia="Arial Unicode MS" w:hAnsi="Arial" w:cs="Arial"/>
          <w:color w:val="auto"/>
          <w:sz w:val="24"/>
          <w:szCs w:val="24"/>
        </w:rPr>
        <w:t>1.3  Mercados Financieros</w:t>
      </w:r>
      <w:bookmarkEnd w:id="7"/>
    </w:p>
    <w:p w:rsidR="00CF211D" w:rsidRPr="00670830" w:rsidRDefault="005B6441"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mercados financieros son los foros y conjuntos de reglas que permiten a los participantes realizar operaciones de inversión, financiamiento y cobertura, a través de diferentes intermediarios, mediante la negociación de diversos instrumentos financieros. [http://www.banxico.org.mx]</w:t>
      </w:r>
      <w:r w:rsidR="00F17BC6" w:rsidRPr="00670830">
        <w:rPr>
          <w:rFonts w:ascii="Arial" w:eastAsia="Arial Unicode MS" w:hAnsi="Arial" w:cs="Arial"/>
          <w:sz w:val="24"/>
          <w:szCs w:val="24"/>
        </w:rPr>
        <w:tab/>
      </w:r>
    </w:p>
    <w:p w:rsidR="00663EA5" w:rsidRPr="00670830" w:rsidRDefault="00663EA5" w:rsidP="00670830">
      <w:pPr>
        <w:tabs>
          <w:tab w:val="left" w:pos="381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Mercado Financiero es el sitio, no necesariamente lugar físico, donde se realizan transacciones de compraventa de valores (títulos de valor monetario). Su objeto es obtener las mejores condiciones tanto para el oferente como para el demandante de instrumentos financieros.</w:t>
      </w:r>
    </w:p>
    <w:p w:rsidR="00663EA5" w:rsidRPr="00670830" w:rsidRDefault="00663EA5" w:rsidP="00670830">
      <w:pPr>
        <w:pStyle w:val="Prrafodelista"/>
        <w:numPr>
          <w:ilvl w:val="0"/>
          <w:numId w:val="39"/>
        </w:numPr>
        <w:tabs>
          <w:tab w:val="left" w:pos="381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El ahorrador o público inversionista:</w:t>
      </w:r>
      <w:r w:rsidRPr="00670830">
        <w:rPr>
          <w:rFonts w:ascii="Arial" w:eastAsia="Arial Unicode MS" w:hAnsi="Arial" w:cs="Arial"/>
          <w:sz w:val="24"/>
          <w:szCs w:val="24"/>
        </w:rPr>
        <w:t xml:space="preserve"> son aquellas personas u organizaciones que hacen operaciones a través del sistema, y que cuentan con activos monetarios disponibles y líquidos (dinero) sobre los que buscan rendimientos atractivos. </w:t>
      </w:r>
    </w:p>
    <w:p w:rsidR="00663EA5" w:rsidRPr="00670830" w:rsidRDefault="00663EA5" w:rsidP="00670830">
      <w:pPr>
        <w:pStyle w:val="Prrafodelista"/>
        <w:tabs>
          <w:tab w:val="left" w:pos="3810"/>
        </w:tabs>
        <w:spacing w:before="100" w:beforeAutospacing="1" w:after="100" w:afterAutospacing="1" w:line="360" w:lineRule="auto"/>
        <w:jc w:val="both"/>
        <w:rPr>
          <w:rFonts w:ascii="Arial" w:eastAsia="Arial Unicode MS" w:hAnsi="Arial" w:cs="Arial"/>
          <w:sz w:val="24"/>
          <w:szCs w:val="24"/>
        </w:rPr>
      </w:pPr>
    </w:p>
    <w:p w:rsidR="00663EA5" w:rsidRPr="00670830" w:rsidRDefault="00663EA5" w:rsidP="00670830">
      <w:pPr>
        <w:pStyle w:val="Prrafodelista"/>
        <w:numPr>
          <w:ilvl w:val="0"/>
          <w:numId w:val="39"/>
        </w:numPr>
        <w:tabs>
          <w:tab w:val="left" w:pos="381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Los emisores:</w:t>
      </w:r>
      <w:r w:rsidRPr="00670830">
        <w:rPr>
          <w:rFonts w:ascii="Arial" w:eastAsia="Arial Unicode MS" w:hAnsi="Arial" w:cs="Arial"/>
          <w:sz w:val="24"/>
          <w:szCs w:val="24"/>
        </w:rPr>
        <w:t xml:space="preserve"> son aquellas empresas que buscan recursos para cubrir necesidades o financiamiento para proyectos a través de colocación de deuda o préstamos directos de las instituciones que participan en el sector. </w:t>
      </w:r>
    </w:p>
    <w:p w:rsidR="00663EA5" w:rsidRPr="00670830" w:rsidRDefault="00663EA5" w:rsidP="00670830">
      <w:pPr>
        <w:pStyle w:val="Prrafodelista"/>
        <w:spacing w:line="360" w:lineRule="auto"/>
        <w:rPr>
          <w:rFonts w:ascii="Arial" w:eastAsia="Arial Unicode MS" w:hAnsi="Arial" w:cs="Arial"/>
          <w:sz w:val="24"/>
          <w:szCs w:val="24"/>
        </w:rPr>
      </w:pPr>
    </w:p>
    <w:p w:rsidR="00CF211D" w:rsidRPr="00670830" w:rsidRDefault="00663EA5" w:rsidP="00670830">
      <w:pPr>
        <w:pStyle w:val="Prrafodelista"/>
        <w:numPr>
          <w:ilvl w:val="0"/>
          <w:numId w:val="39"/>
        </w:numPr>
        <w:tabs>
          <w:tab w:val="left" w:pos="381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Instituciones financieras y regulatorias:</w:t>
      </w:r>
      <w:r w:rsidRPr="00670830">
        <w:rPr>
          <w:rFonts w:ascii="Arial" w:eastAsia="Arial Unicode MS" w:hAnsi="Arial" w:cs="Arial"/>
          <w:sz w:val="24"/>
          <w:szCs w:val="24"/>
        </w:rPr>
        <w:t xml:space="preserve"> principales y auxiliares, las principales son las instituciones bancarias y las auxiliares incluyen servicios paralelos (casas de cambio, uniones de crédito) o complementarios (seguros, fianzas, pensiones, etc.). Las instituciones regulatorias se encargan de establecer y supervisar la legislación bajo la que se realiza toda la actividad del sector.</w:t>
      </w:r>
    </w:p>
    <w:p w:rsidR="00A0071E" w:rsidRPr="00670830" w:rsidRDefault="003B106A" w:rsidP="00670830">
      <w:pPr>
        <w:tabs>
          <w:tab w:val="left" w:pos="381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[http://www.amaii.com.mx/AMAII/Portal/cfpages/]</w:t>
      </w:r>
    </w:p>
    <w:p w:rsidR="00A0071E" w:rsidRPr="00670830" w:rsidRDefault="00A0071E" w:rsidP="00670830">
      <w:pPr>
        <w:tabs>
          <w:tab w:val="left" w:pos="3810"/>
        </w:tabs>
        <w:spacing w:before="100" w:beforeAutospacing="1" w:after="100" w:afterAutospacing="1" w:line="360" w:lineRule="auto"/>
        <w:jc w:val="both"/>
        <w:rPr>
          <w:rFonts w:ascii="Arial" w:eastAsia="Arial Unicode MS" w:hAnsi="Arial" w:cs="Arial"/>
          <w:sz w:val="24"/>
          <w:szCs w:val="24"/>
        </w:rPr>
      </w:pPr>
    </w:p>
    <w:p w:rsidR="00482D63" w:rsidRPr="00670830" w:rsidRDefault="00482D63" w:rsidP="00670830">
      <w:pPr>
        <w:pStyle w:val="Ttulo3"/>
        <w:tabs>
          <w:tab w:val="left" w:pos="4530"/>
        </w:tabs>
        <w:spacing w:before="100" w:beforeAutospacing="1" w:after="100" w:afterAutospacing="1" w:line="360" w:lineRule="auto"/>
        <w:jc w:val="both"/>
        <w:rPr>
          <w:rFonts w:ascii="Arial" w:eastAsia="Arial Unicode MS" w:hAnsi="Arial" w:cs="Arial"/>
          <w:color w:val="auto"/>
          <w:sz w:val="24"/>
          <w:szCs w:val="24"/>
        </w:rPr>
      </w:pPr>
      <w:bookmarkStart w:id="8" w:name="_Toc488230485"/>
      <w:r w:rsidRPr="00670830">
        <w:rPr>
          <w:rFonts w:ascii="Arial" w:eastAsia="Arial Unicode MS" w:hAnsi="Arial" w:cs="Arial"/>
          <w:color w:val="auto"/>
          <w:sz w:val="24"/>
          <w:szCs w:val="24"/>
        </w:rPr>
        <w:t>1.3.1. Mercado de valores</w:t>
      </w:r>
      <w:bookmarkEnd w:id="8"/>
    </w:p>
    <w:p w:rsidR="00614734" w:rsidRPr="00670830" w:rsidRDefault="0061473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El mercado de valores se define como el conjunto de leyes, reglamentos, instituciones, intermediarios y participantes en general tendientes a poner en contacto la oferta y la demanda de títulos de crédito. La intermediación de valores tiene como objetivo, financiar y capitalizar a las empresas, para brindar a los inversionistas una expectativa de ganancia patrimonial. </w:t>
      </w:r>
    </w:p>
    <w:p w:rsidR="00614734" w:rsidRPr="00670830" w:rsidRDefault="0061473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Existen diferentes actores dentro del mercado de valores, como son las bolsas de valores. Las bolsas de valores son mundialmente conocidas como instituciones que las sociedades establecen en su propio beneficio. A ellas acuden los inversionistas como una opción para tratar de proteger y acrecentar su ahorro financiero, aportando los recursos que, a su vez, permiten, tanto a las empresas, industria y gobiernos, financiar proyectos productivos y de desarrollo, que generan empleos y riqueza.</w:t>
      </w:r>
    </w:p>
    <w:p w:rsidR="00614734" w:rsidRPr="00670830" w:rsidRDefault="0061473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Las bolsas de valores son mercados organizados que contribuyen a que esta canalización de financiamiento se realice de manera libre, eficiente, competitiva, equitativa y transparente, atendiendo a ciertas reglas acordadas previamente por todos los participantes en el mercado.</w:t>
      </w:r>
    </w:p>
    <w:p w:rsidR="00EB255E" w:rsidRPr="00670830" w:rsidRDefault="00A73F0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[http://www.promexico.gob.mx]</w:t>
      </w:r>
    </w:p>
    <w:p w:rsidR="00A76FA0" w:rsidRPr="00670830" w:rsidRDefault="00EB255E" w:rsidP="00670830">
      <w:pPr>
        <w:tabs>
          <w:tab w:val="left" w:pos="264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S</w:t>
      </w:r>
      <w:r w:rsidR="00C45ED6" w:rsidRPr="00670830">
        <w:rPr>
          <w:rFonts w:ascii="Arial" w:eastAsia="Arial Unicode MS" w:hAnsi="Arial" w:cs="Arial"/>
          <w:sz w:val="24"/>
          <w:szCs w:val="24"/>
        </w:rPr>
        <w:t>e puede realizar una clasificación de los valores que se emiten y colocan dentro de este mercado:</w:t>
      </w:r>
    </w:p>
    <w:p w:rsidR="00C45ED6" w:rsidRPr="00670830" w:rsidRDefault="00C45ED6" w:rsidP="00670830">
      <w:pPr>
        <w:pStyle w:val="Prrafodelista"/>
        <w:numPr>
          <w:ilvl w:val="0"/>
          <w:numId w:val="11"/>
        </w:numPr>
        <w:tabs>
          <w:tab w:val="left" w:pos="264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Mercado primario:</w:t>
      </w:r>
      <w:r w:rsidRPr="00670830">
        <w:rPr>
          <w:rFonts w:ascii="Arial" w:eastAsia="Arial Unicode MS" w:hAnsi="Arial" w:cs="Arial"/>
          <w:sz w:val="24"/>
          <w:szCs w:val="24"/>
        </w:rPr>
        <w:t xml:space="preserve"> Cuando en la Bolsa Mexicana de Valores se realiza una oferta pública, colocación de un paquete accionario, de aquellas empresas que acuden a las casas de bolsa para llevar a cabo de una emisión de acciones, las que se ofrecen al público inversionista. La empresa obtiene los recursos por la colocación de las acciones. En ese momento el inversionista se constituye como socio. [García, 2007]</w:t>
      </w:r>
    </w:p>
    <w:p w:rsidR="00EB255E" w:rsidRPr="00670830" w:rsidRDefault="00EB255E" w:rsidP="00670830">
      <w:pPr>
        <w:pStyle w:val="Prrafodelista"/>
        <w:tabs>
          <w:tab w:val="left" w:pos="2640"/>
        </w:tabs>
        <w:spacing w:before="100" w:beforeAutospacing="1" w:after="100" w:afterAutospacing="1" w:line="360" w:lineRule="auto"/>
        <w:jc w:val="both"/>
        <w:rPr>
          <w:rFonts w:ascii="Arial" w:eastAsia="Arial Unicode MS" w:hAnsi="Arial" w:cs="Arial"/>
          <w:sz w:val="24"/>
          <w:szCs w:val="24"/>
        </w:rPr>
      </w:pPr>
    </w:p>
    <w:p w:rsidR="00645880" w:rsidRPr="00670830" w:rsidRDefault="00C45ED6" w:rsidP="00670830">
      <w:pPr>
        <w:pStyle w:val="Prrafodelista"/>
        <w:numPr>
          <w:ilvl w:val="0"/>
          <w:numId w:val="11"/>
        </w:numPr>
        <w:tabs>
          <w:tab w:val="left" w:pos="264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Mercado secundario:</w:t>
      </w:r>
      <w:r w:rsidRPr="00670830">
        <w:rPr>
          <w:rFonts w:ascii="Arial" w:eastAsia="Arial Unicode MS" w:hAnsi="Arial" w:cs="Arial"/>
          <w:sz w:val="24"/>
          <w:szCs w:val="24"/>
        </w:rPr>
        <w:t xml:space="preserve"> aquel en el que se llevan a cabo las operaciones de compra venta de aquellos títulos-valor, que fueron previamente adquiridos en el mercado primario, esto último, cuando el emisor los colocó. El tenedor de acciones puede vender en la Bolsa Mexicana de Valores, a través de las Casas de Bolsa dichos valores, es ahí en donde se dan las operaciones de compra venta del mercado secundario</w:t>
      </w:r>
      <w:r w:rsidR="00E125FA" w:rsidRPr="00670830">
        <w:rPr>
          <w:rFonts w:ascii="Arial" w:eastAsia="Arial Unicode MS" w:hAnsi="Arial" w:cs="Arial"/>
          <w:sz w:val="24"/>
          <w:szCs w:val="24"/>
        </w:rPr>
        <w:t>. [García, 2007]</w:t>
      </w:r>
    </w:p>
    <w:p w:rsidR="00021BDD" w:rsidRPr="00670830" w:rsidRDefault="00021BDD" w:rsidP="00670830">
      <w:pPr>
        <w:pStyle w:val="Prrafodelista"/>
        <w:spacing w:line="360" w:lineRule="auto"/>
        <w:rPr>
          <w:rFonts w:ascii="Arial" w:eastAsia="Arial Unicode MS" w:hAnsi="Arial" w:cs="Arial"/>
          <w:sz w:val="24"/>
          <w:szCs w:val="24"/>
        </w:rPr>
      </w:pPr>
    </w:p>
    <w:p w:rsidR="00021BDD" w:rsidRPr="00670830" w:rsidRDefault="00021BDD" w:rsidP="00670830">
      <w:pPr>
        <w:pStyle w:val="Prrafodelista"/>
        <w:tabs>
          <w:tab w:val="left" w:pos="2640"/>
        </w:tabs>
        <w:spacing w:before="100" w:beforeAutospacing="1" w:after="100" w:afterAutospacing="1" w:line="360" w:lineRule="auto"/>
        <w:jc w:val="both"/>
        <w:rPr>
          <w:rFonts w:ascii="Arial" w:eastAsia="Arial Unicode MS" w:hAnsi="Arial" w:cs="Arial"/>
          <w:sz w:val="24"/>
          <w:szCs w:val="24"/>
        </w:rPr>
      </w:pPr>
    </w:p>
    <w:p w:rsidR="00021BDD" w:rsidRPr="00670830" w:rsidRDefault="00E125FA" w:rsidP="00670830">
      <w:pPr>
        <w:pStyle w:val="Ttulo4"/>
        <w:tabs>
          <w:tab w:val="center" w:pos="4419"/>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i w:val="0"/>
          <w:color w:val="auto"/>
          <w:sz w:val="24"/>
          <w:szCs w:val="24"/>
        </w:rPr>
        <w:t>1.3.1.1.</w:t>
      </w:r>
      <w:r w:rsidR="00DD459E" w:rsidRPr="00670830">
        <w:rPr>
          <w:rFonts w:ascii="Arial" w:eastAsia="Arial Unicode MS" w:hAnsi="Arial" w:cs="Arial"/>
          <w:i w:val="0"/>
          <w:color w:val="auto"/>
          <w:sz w:val="24"/>
          <w:szCs w:val="24"/>
        </w:rPr>
        <w:t xml:space="preserve"> Participantes en el mercado de valores</w:t>
      </w:r>
      <w:r w:rsidR="00051A36" w:rsidRPr="00670830">
        <w:rPr>
          <w:rFonts w:ascii="Arial" w:eastAsia="Arial Unicode MS" w:hAnsi="Arial" w:cs="Arial"/>
          <w:sz w:val="24"/>
          <w:szCs w:val="24"/>
        </w:rPr>
        <w:tab/>
      </w:r>
    </w:p>
    <w:p w:rsidR="004149CE" w:rsidRPr="00670830" w:rsidRDefault="00DD459E" w:rsidP="00670830">
      <w:pPr>
        <w:pStyle w:val="Prrafodelista"/>
        <w:numPr>
          <w:ilvl w:val="0"/>
          <w:numId w:val="12"/>
        </w:numPr>
        <w:tabs>
          <w:tab w:val="left" w:pos="2640"/>
        </w:tabs>
        <w:spacing w:before="100" w:beforeAutospacing="1" w:after="100" w:afterAutospacing="1" w:line="360" w:lineRule="auto"/>
        <w:jc w:val="both"/>
        <w:rPr>
          <w:rFonts w:ascii="Arial" w:eastAsia="Arial Unicode MS" w:hAnsi="Arial" w:cs="Arial"/>
          <w:b/>
          <w:sz w:val="24"/>
          <w:szCs w:val="24"/>
        </w:rPr>
      </w:pPr>
      <w:r w:rsidRPr="00670830">
        <w:rPr>
          <w:rFonts w:ascii="Arial" w:eastAsia="Arial Unicode MS" w:hAnsi="Arial" w:cs="Arial"/>
          <w:b/>
          <w:sz w:val="24"/>
          <w:szCs w:val="24"/>
        </w:rPr>
        <w:t xml:space="preserve">Emisoras: </w:t>
      </w:r>
    </w:p>
    <w:p w:rsidR="004149CE" w:rsidRPr="00670830" w:rsidRDefault="004149CE" w:rsidP="00670830">
      <w:pPr>
        <w:pStyle w:val="Prrafodelista"/>
        <w:numPr>
          <w:ilvl w:val="0"/>
          <w:numId w:val="40"/>
        </w:numPr>
        <w:tabs>
          <w:tab w:val="left" w:pos="264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S</w:t>
      </w:r>
      <w:r w:rsidR="00DD459E" w:rsidRPr="00670830">
        <w:rPr>
          <w:rFonts w:ascii="Arial" w:eastAsia="Arial Unicode MS" w:hAnsi="Arial" w:cs="Arial"/>
          <w:sz w:val="24"/>
          <w:szCs w:val="24"/>
        </w:rPr>
        <w:t xml:space="preserve">on las personas morales (empresas y Gobierno) que colocan sus valores (deuda o capital) y que forman el mercado primario al vendérselos a los inversionistas. </w:t>
      </w:r>
    </w:p>
    <w:p w:rsidR="004149CE" w:rsidRPr="00670830" w:rsidRDefault="004149CE" w:rsidP="00670830">
      <w:pPr>
        <w:pStyle w:val="Prrafodelista"/>
        <w:numPr>
          <w:ilvl w:val="0"/>
          <w:numId w:val="40"/>
        </w:numPr>
        <w:tabs>
          <w:tab w:val="left" w:pos="264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w:t>
      </w:r>
      <w:r w:rsidR="00DD459E" w:rsidRPr="00670830">
        <w:rPr>
          <w:rFonts w:ascii="Arial" w:eastAsia="Arial Unicode MS" w:hAnsi="Arial" w:cs="Arial"/>
          <w:sz w:val="24"/>
          <w:szCs w:val="24"/>
        </w:rPr>
        <w:t xml:space="preserve">agan los rendimientos por dividendos e intereses, y también tienen la responsabilidad de devolver el dinero al final del plazo en instrumentos de deuda. </w:t>
      </w:r>
    </w:p>
    <w:p w:rsidR="00DD459E" w:rsidRPr="00670830" w:rsidRDefault="00DD459E" w:rsidP="00670830">
      <w:pPr>
        <w:pStyle w:val="Prrafodelista"/>
        <w:numPr>
          <w:ilvl w:val="0"/>
          <w:numId w:val="40"/>
        </w:numPr>
        <w:tabs>
          <w:tab w:val="left" w:pos="264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mercado de valores les permite obtener financiamiento.</w:t>
      </w:r>
    </w:p>
    <w:p w:rsidR="004149CE" w:rsidRPr="00670830" w:rsidRDefault="004149CE" w:rsidP="00670830">
      <w:pPr>
        <w:pStyle w:val="Prrafodelista"/>
        <w:tabs>
          <w:tab w:val="left" w:pos="2640"/>
        </w:tabs>
        <w:spacing w:before="100" w:beforeAutospacing="1" w:after="100" w:afterAutospacing="1" w:line="360" w:lineRule="auto"/>
        <w:jc w:val="both"/>
        <w:rPr>
          <w:rFonts w:ascii="Arial" w:eastAsia="Arial Unicode MS" w:hAnsi="Arial" w:cs="Arial"/>
          <w:b/>
          <w:sz w:val="24"/>
          <w:szCs w:val="24"/>
        </w:rPr>
      </w:pPr>
    </w:p>
    <w:p w:rsidR="00021BDD" w:rsidRPr="00670830" w:rsidRDefault="00DD459E" w:rsidP="00670830">
      <w:pPr>
        <w:pStyle w:val="Prrafodelista"/>
        <w:numPr>
          <w:ilvl w:val="0"/>
          <w:numId w:val="12"/>
        </w:numPr>
        <w:tabs>
          <w:tab w:val="left" w:pos="2640"/>
        </w:tabs>
        <w:spacing w:before="100" w:beforeAutospacing="1" w:after="100" w:afterAutospacing="1" w:line="360" w:lineRule="auto"/>
        <w:jc w:val="both"/>
        <w:rPr>
          <w:rFonts w:ascii="Arial" w:eastAsia="Arial Unicode MS" w:hAnsi="Arial" w:cs="Arial"/>
          <w:b/>
          <w:sz w:val="24"/>
          <w:szCs w:val="24"/>
        </w:rPr>
      </w:pPr>
      <w:r w:rsidRPr="00670830">
        <w:rPr>
          <w:rFonts w:ascii="Arial" w:eastAsia="Arial Unicode MS" w:hAnsi="Arial" w:cs="Arial"/>
          <w:b/>
          <w:sz w:val="24"/>
          <w:szCs w:val="24"/>
        </w:rPr>
        <w:t xml:space="preserve">Inversionistas: </w:t>
      </w:r>
    </w:p>
    <w:p w:rsidR="00021BDD" w:rsidRPr="00670830" w:rsidRDefault="00021BDD" w:rsidP="00670830">
      <w:pPr>
        <w:pStyle w:val="Prrafodelista"/>
        <w:numPr>
          <w:ilvl w:val="0"/>
          <w:numId w:val="41"/>
        </w:numPr>
        <w:tabs>
          <w:tab w:val="left" w:pos="2640"/>
        </w:tabs>
        <w:spacing w:before="100" w:beforeAutospacing="1" w:after="100" w:afterAutospacing="1" w:line="360" w:lineRule="auto"/>
        <w:jc w:val="both"/>
        <w:rPr>
          <w:rFonts w:ascii="Arial" w:eastAsia="Arial Unicode MS" w:hAnsi="Arial" w:cs="Arial"/>
          <w:b/>
          <w:sz w:val="24"/>
          <w:szCs w:val="24"/>
        </w:rPr>
      </w:pPr>
      <w:r w:rsidRPr="00670830">
        <w:rPr>
          <w:rFonts w:ascii="Arial" w:eastAsia="Arial Unicode MS" w:hAnsi="Arial" w:cs="Arial"/>
          <w:sz w:val="24"/>
          <w:szCs w:val="24"/>
        </w:rPr>
        <w:t>S</w:t>
      </w:r>
      <w:r w:rsidR="00DD459E" w:rsidRPr="00670830">
        <w:rPr>
          <w:rFonts w:ascii="Arial" w:eastAsia="Arial Unicode MS" w:hAnsi="Arial" w:cs="Arial"/>
          <w:sz w:val="24"/>
          <w:szCs w:val="24"/>
        </w:rPr>
        <w:t xml:space="preserve">on las personas físicas o morales que invierten en valores, pagándole en el mercado primario a las emisoras y en el secundario a otros inversionistas. </w:t>
      </w:r>
    </w:p>
    <w:p w:rsidR="00021BDD" w:rsidRPr="00670830" w:rsidRDefault="00DD459E" w:rsidP="00670830">
      <w:pPr>
        <w:pStyle w:val="Prrafodelista"/>
        <w:numPr>
          <w:ilvl w:val="0"/>
          <w:numId w:val="41"/>
        </w:numPr>
        <w:tabs>
          <w:tab w:val="left" w:pos="2640"/>
        </w:tabs>
        <w:spacing w:before="100" w:beforeAutospacing="1" w:after="100" w:afterAutospacing="1" w:line="360" w:lineRule="auto"/>
        <w:jc w:val="both"/>
        <w:rPr>
          <w:rFonts w:ascii="Arial" w:eastAsia="Arial Unicode MS" w:hAnsi="Arial" w:cs="Arial"/>
          <w:b/>
          <w:sz w:val="24"/>
          <w:szCs w:val="24"/>
        </w:rPr>
      </w:pPr>
      <w:r w:rsidRPr="00670830">
        <w:rPr>
          <w:rFonts w:ascii="Arial" w:eastAsia="Arial Unicode MS" w:hAnsi="Arial" w:cs="Arial"/>
          <w:sz w:val="24"/>
          <w:szCs w:val="24"/>
        </w:rPr>
        <w:t>El mercado de valores les permite invertir directamente en las emisoras.</w:t>
      </w:r>
    </w:p>
    <w:p w:rsidR="00BF02C1" w:rsidRPr="00670830" w:rsidRDefault="00BF02C1" w:rsidP="00670830">
      <w:pPr>
        <w:pStyle w:val="Prrafodelista"/>
        <w:tabs>
          <w:tab w:val="left" w:pos="2640"/>
        </w:tabs>
        <w:spacing w:before="100" w:beforeAutospacing="1" w:after="100" w:afterAutospacing="1" w:line="360" w:lineRule="auto"/>
        <w:ind w:left="1440"/>
        <w:jc w:val="both"/>
        <w:rPr>
          <w:rFonts w:ascii="Arial" w:eastAsia="Arial Unicode MS" w:hAnsi="Arial" w:cs="Arial"/>
          <w:b/>
          <w:sz w:val="24"/>
          <w:szCs w:val="24"/>
        </w:rPr>
      </w:pPr>
    </w:p>
    <w:p w:rsidR="00BF02C1" w:rsidRPr="00670830" w:rsidRDefault="00DD459E" w:rsidP="00670830">
      <w:pPr>
        <w:pStyle w:val="Prrafodelista"/>
        <w:numPr>
          <w:ilvl w:val="0"/>
          <w:numId w:val="12"/>
        </w:numPr>
        <w:tabs>
          <w:tab w:val="left" w:pos="2640"/>
        </w:tabs>
        <w:spacing w:before="100" w:beforeAutospacing="1" w:after="100" w:afterAutospacing="1" w:line="360" w:lineRule="auto"/>
        <w:jc w:val="both"/>
        <w:rPr>
          <w:rFonts w:ascii="Arial" w:eastAsia="Arial Unicode MS" w:hAnsi="Arial" w:cs="Arial"/>
          <w:b/>
          <w:sz w:val="24"/>
          <w:szCs w:val="24"/>
        </w:rPr>
      </w:pPr>
      <w:r w:rsidRPr="00670830">
        <w:rPr>
          <w:rFonts w:ascii="Arial" w:eastAsia="Arial Unicode MS" w:hAnsi="Arial" w:cs="Arial"/>
          <w:b/>
          <w:sz w:val="24"/>
          <w:szCs w:val="24"/>
        </w:rPr>
        <w:t xml:space="preserve">Intermediarios bursátiles: </w:t>
      </w:r>
    </w:p>
    <w:p w:rsidR="00DD459E" w:rsidRPr="00670830" w:rsidRDefault="00021BDD" w:rsidP="00670830">
      <w:pPr>
        <w:pStyle w:val="Prrafodelista"/>
        <w:numPr>
          <w:ilvl w:val="0"/>
          <w:numId w:val="42"/>
        </w:numPr>
        <w:tabs>
          <w:tab w:val="left" w:pos="2640"/>
        </w:tabs>
        <w:spacing w:before="100" w:beforeAutospacing="1" w:after="100" w:afterAutospacing="1" w:line="360" w:lineRule="auto"/>
        <w:jc w:val="both"/>
        <w:rPr>
          <w:rFonts w:ascii="Arial" w:eastAsia="Arial Unicode MS" w:hAnsi="Arial" w:cs="Arial"/>
          <w:b/>
          <w:sz w:val="24"/>
          <w:szCs w:val="24"/>
        </w:rPr>
      </w:pPr>
      <w:r w:rsidRPr="00670830">
        <w:rPr>
          <w:rFonts w:ascii="Arial" w:eastAsia="Arial Unicode MS" w:hAnsi="Arial" w:cs="Arial"/>
          <w:sz w:val="24"/>
          <w:szCs w:val="24"/>
        </w:rPr>
        <w:t>A</w:t>
      </w:r>
      <w:r w:rsidR="00DD459E" w:rsidRPr="00670830">
        <w:rPr>
          <w:rFonts w:ascii="Arial" w:eastAsia="Arial Unicode MS" w:hAnsi="Arial" w:cs="Arial"/>
          <w:sz w:val="24"/>
          <w:szCs w:val="24"/>
        </w:rPr>
        <w:t xml:space="preserve"> través de quienes se tiene contacto entre los inversionistas para realizar sus operaciones en la BMV y las emisoras u otros inversionistas.</w:t>
      </w:r>
    </w:p>
    <w:p w:rsidR="00021BDD" w:rsidRPr="00670830" w:rsidRDefault="00021BDD" w:rsidP="00670830">
      <w:pPr>
        <w:pStyle w:val="Prrafodelista"/>
        <w:tabs>
          <w:tab w:val="left" w:pos="2640"/>
        </w:tabs>
        <w:spacing w:before="100" w:beforeAutospacing="1" w:after="100" w:afterAutospacing="1" w:line="360" w:lineRule="auto"/>
        <w:ind w:left="1440"/>
        <w:jc w:val="both"/>
        <w:rPr>
          <w:rFonts w:ascii="Arial" w:eastAsia="Arial Unicode MS" w:hAnsi="Arial" w:cs="Arial"/>
          <w:b/>
          <w:sz w:val="24"/>
          <w:szCs w:val="24"/>
        </w:rPr>
      </w:pPr>
    </w:p>
    <w:p w:rsidR="00DD459E" w:rsidRPr="00670830" w:rsidRDefault="00DD459E" w:rsidP="00670830">
      <w:pPr>
        <w:pStyle w:val="Prrafodelista"/>
        <w:numPr>
          <w:ilvl w:val="2"/>
          <w:numId w:val="12"/>
        </w:numPr>
        <w:tabs>
          <w:tab w:val="left" w:pos="264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Casas de bolsa</w:t>
      </w:r>
    </w:p>
    <w:p w:rsidR="00021BDD" w:rsidRPr="00670830" w:rsidRDefault="00DD459E" w:rsidP="00670830">
      <w:pPr>
        <w:pStyle w:val="Prrafodelista"/>
        <w:numPr>
          <w:ilvl w:val="2"/>
          <w:numId w:val="12"/>
        </w:numPr>
        <w:tabs>
          <w:tab w:val="left" w:pos="264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Distribuidoras de sociedades de inversión</w:t>
      </w:r>
    </w:p>
    <w:p w:rsidR="00021BDD" w:rsidRPr="00670830" w:rsidRDefault="00021BDD" w:rsidP="00670830">
      <w:pPr>
        <w:pStyle w:val="Prrafodelista"/>
        <w:tabs>
          <w:tab w:val="left" w:pos="2640"/>
        </w:tabs>
        <w:spacing w:before="100" w:beforeAutospacing="1" w:after="100" w:afterAutospacing="1" w:line="360" w:lineRule="auto"/>
        <w:ind w:left="2160"/>
        <w:jc w:val="both"/>
        <w:rPr>
          <w:rFonts w:ascii="Arial" w:eastAsia="Arial Unicode MS" w:hAnsi="Arial" w:cs="Arial"/>
          <w:b/>
          <w:sz w:val="24"/>
          <w:szCs w:val="24"/>
        </w:rPr>
      </w:pPr>
    </w:p>
    <w:p w:rsidR="00021BDD" w:rsidRPr="00670830" w:rsidRDefault="00DD459E" w:rsidP="00670830">
      <w:pPr>
        <w:pStyle w:val="Prrafodelista"/>
        <w:numPr>
          <w:ilvl w:val="0"/>
          <w:numId w:val="12"/>
        </w:numPr>
        <w:tabs>
          <w:tab w:val="left" w:pos="2640"/>
        </w:tabs>
        <w:spacing w:before="100" w:beforeAutospacing="1" w:after="100" w:afterAutospacing="1" w:line="360" w:lineRule="auto"/>
        <w:jc w:val="both"/>
        <w:rPr>
          <w:rFonts w:ascii="Arial" w:eastAsia="Arial Unicode MS" w:hAnsi="Arial" w:cs="Arial"/>
          <w:b/>
          <w:sz w:val="24"/>
          <w:szCs w:val="24"/>
        </w:rPr>
      </w:pPr>
      <w:r w:rsidRPr="00670830">
        <w:rPr>
          <w:rFonts w:ascii="Arial" w:eastAsia="Arial Unicode MS" w:hAnsi="Arial" w:cs="Arial"/>
          <w:b/>
          <w:sz w:val="24"/>
          <w:szCs w:val="24"/>
        </w:rPr>
        <w:t xml:space="preserve">Organismos de apoyo: </w:t>
      </w:r>
    </w:p>
    <w:p w:rsidR="00DD459E" w:rsidRPr="00670830" w:rsidRDefault="00021BDD" w:rsidP="00670830">
      <w:pPr>
        <w:pStyle w:val="Prrafodelista"/>
        <w:numPr>
          <w:ilvl w:val="0"/>
          <w:numId w:val="42"/>
        </w:numPr>
        <w:tabs>
          <w:tab w:val="left" w:pos="2640"/>
        </w:tabs>
        <w:spacing w:before="100" w:beforeAutospacing="1" w:after="100" w:afterAutospacing="1" w:line="360" w:lineRule="auto"/>
        <w:jc w:val="both"/>
        <w:rPr>
          <w:rFonts w:ascii="Arial" w:eastAsia="Arial Unicode MS" w:hAnsi="Arial" w:cs="Arial"/>
          <w:b/>
          <w:sz w:val="24"/>
          <w:szCs w:val="24"/>
        </w:rPr>
      </w:pPr>
      <w:r w:rsidRPr="00670830">
        <w:rPr>
          <w:rFonts w:ascii="Arial" w:eastAsia="Arial Unicode MS" w:hAnsi="Arial" w:cs="Arial"/>
          <w:sz w:val="24"/>
          <w:szCs w:val="24"/>
        </w:rPr>
        <w:t>A</w:t>
      </w:r>
      <w:r w:rsidR="00DD459E" w:rsidRPr="00670830">
        <w:rPr>
          <w:rFonts w:ascii="Arial" w:eastAsia="Arial Unicode MS" w:hAnsi="Arial" w:cs="Arial"/>
          <w:sz w:val="24"/>
          <w:szCs w:val="24"/>
        </w:rPr>
        <w:t>quellos que proporcionan los medios y mecanismos para que se realicen las operaciones que solicitan los intermediarios de acuerdo  a las órdenes de sus clientes (Inversionistas).</w:t>
      </w:r>
    </w:p>
    <w:p w:rsidR="00021BDD" w:rsidRPr="00670830" w:rsidRDefault="00021BDD" w:rsidP="00670830">
      <w:pPr>
        <w:pStyle w:val="Prrafodelista"/>
        <w:tabs>
          <w:tab w:val="left" w:pos="2640"/>
        </w:tabs>
        <w:spacing w:before="100" w:beforeAutospacing="1" w:after="100" w:afterAutospacing="1" w:line="360" w:lineRule="auto"/>
        <w:ind w:left="1440"/>
        <w:jc w:val="both"/>
        <w:rPr>
          <w:rFonts w:ascii="Arial" w:eastAsia="Arial Unicode MS" w:hAnsi="Arial" w:cs="Arial"/>
          <w:b/>
          <w:sz w:val="24"/>
          <w:szCs w:val="24"/>
        </w:rPr>
      </w:pPr>
    </w:p>
    <w:p w:rsidR="00DD459E" w:rsidRPr="00670830" w:rsidRDefault="00DD459E" w:rsidP="00670830">
      <w:pPr>
        <w:pStyle w:val="Prrafodelista"/>
        <w:numPr>
          <w:ilvl w:val="2"/>
          <w:numId w:val="12"/>
        </w:numPr>
        <w:tabs>
          <w:tab w:val="left" w:pos="264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Registro Nacional de Valores: autorización de valores.</w:t>
      </w:r>
    </w:p>
    <w:p w:rsidR="00DD459E" w:rsidRPr="00670830" w:rsidRDefault="00DD459E" w:rsidP="00670830">
      <w:pPr>
        <w:pStyle w:val="Prrafodelista"/>
        <w:numPr>
          <w:ilvl w:val="2"/>
          <w:numId w:val="12"/>
        </w:numPr>
        <w:tabs>
          <w:tab w:val="left" w:pos="264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S.D. </w:t>
      </w:r>
      <w:proofErr w:type="spellStart"/>
      <w:r w:rsidRPr="00670830">
        <w:rPr>
          <w:rFonts w:ascii="Arial" w:eastAsia="Arial Unicode MS" w:hAnsi="Arial" w:cs="Arial"/>
          <w:sz w:val="24"/>
          <w:szCs w:val="24"/>
        </w:rPr>
        <w:t>Indeval</w:t>
      </w:r>
      <w:proofErr w:type="spellEnd"/>
      <w:r w:rsidR="008B6AC3" w:rsidRPr="00670830">
        <w:rPr>
          <w:rFonts w:ascii="Arial" w:eastAsia="Arial Unicode MS" w:hAnsi="Arial" w:cs="Arial"/>
          <w:sz w:val="24"/>
          <w:szCs w:val="24"/>
        </w:rPr>
        <w:t>,</w:t>
      </w:r>
      <w:r w:rsidRPr="00670830">
        <w:rPr>
          <w:rFonts w:ascii="Arial" w:eastAsia="Arial Unicode MS" w:hAnsi="Arial" w:cs="Arial"/>
          <w:sz w:val="24"/>
          <w:szCs w:val="24"/>
        </w:rPr>
        <w:t xml:space="preserve"> S.A. de C.V.: depósito de valores y administración.</w:t>
      </w:r>
    </w:p>
    <w:p w:rsidR="00DD459E" w:rsidRPr="00670830" w:rsidRDefault="00DD459E" w:rsidP="00670830">
      <w:pPr>
        <w:pStyle w:val="Prrafodelista"/>
        <w:numPr>
          <w:ilvl w:val="2"/>
          <w:numId w:val="12"/>
        </w:numPr>
        <w:tabs>
          <w:tab w:val="left" w:pos="264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Bolsa </w:t>
      </w:r>
      <w:proofErr w:type="spellStart"/>
      <w:r w:rsidRPr="00670830">
        <w:rPr>
          <w:rFonts w:ascii="Arial" w:eastAsia="Arial Unicode MS" w:hAnsi="Arial" w:cs="Arial"/>
          <w:sz w:val="24"/>
          <w:szCs w:val="24"/>
        </w:rPr>
        <w:t>Méxicana</w:t>
      </w:r>
      <w:proofErr w:type="spellEnd"/>
      <w:r w:rsidRPr="00670830">
        <w:rPr>
          <w:rFonts w:ascii="Arial" w:eastAsia="Arial Unicode MS" w:hAnsi="Arial" w:cs="Arial"/>
          <w:sz w:val="24"/>
          <w:szCs w:val="24"/>
        </w:rPr>
        <w:t xml:space="preserve"> de Valores</w:t>
      </w:r>
      <w:r w:rsidR="008B6AC3" w:rsidRPr="00670830">
        <w:rPr>
          <w:rFonts w:ascii="Arial" w:eastAsia="Arial Unicode MS" w:hAnsi="Arial" w:cs="Arial"/>
          <w:sz w:val="24"/>
          <w:szCs w:val="24"/>
        </w:rPr>
        <w:t>, S.A. de C.V.</w:t>
      </w:r>
    </w:p>
    <w:p w:rsidR="008B6AC3" w:rsidRPr="00670830" w:rsidRDefault="008B6AC3" w:rsidP="00670830">
      <w:pPr>
        <w:pStyle w:val="Prrafodelista"/>
        <w:numPr>
          <w:ilvl w:val="2"/>
          <w:numId w:val="12"/>
        </w:numPr>
        <w:tabs>
          <w:tab w:val="left" w:pos="2640"/>
        </w:tabs>
        <w:spacing w:before="100" w:beforeAutospacing="1" w:after="100" w:afterAutospacing="1" w:line="360" w:lineRule="auto"/>
        <w:jc w:val="both"/>
        <w:rPr>
          <w:rFonts w:ascii="Arial" w:eastAsia="Arial Unicode MS" w:hAnsi="Arial" w:cs="Arial"/>
          <w:sz w:val="24"/>
          <w:szCs w:val="24"/>
        </w:rPr>
      </w:pPr>
      <w:proofErr w:type="spellStart"/>
      <w:r w:rsidRPr="00670830">
        <w:rPr>
          <w:rFonts w:ascii="Arial" w:eastAsia="Arial Unicode MS" w:hAnsi="Arial" w:cs="Arial"/>
          <w:sz w:val="24"/>
          <w:szCs w:val="24"/>
        </w:rPr>
        <w:t>Brokers</w:t>
      </w:r>
      <w:proofErr w:type="spellEnd"/>
      <w:r w:rsidRPr="00670830">
        <w:rPr>
          <w:rFonts w:ascii="Arial" w:eastAsia="Arial Unicode MS" w:hAnsi="Arial" w:cs="Arial"/>
          <w:sz w:val="24"/>
          <w:szCs w:val="24"/>
        </w:rPr>
        <w:t xml:space="preserve"> de mercado de dinero: sistemas para cotizar mercado de dinero (Reuters, Lince, Enlaces </w:t>
      </w:r>
      <w:proofErr w:type="spellStart"/>
      <w:r w:rsidRPr="00670830">
        <w:rPr>
          <w:rFonts w:ascii="Arial" w:eastAsia="Arial Unicode MS" w:hAnsi="Arial" w:cs="Arial"/>
          <w:sz w:val="24"/>
          <w:szCs w:val="24"/>
        </w:rPr>
        <w:t>Prebon</w:t>
      </w:r>
      <w:proofErr w:type="spellEnd"/>
      <w:r w:rsidRPr="00670830">
        <w:rPr>
          <w:rFonts w:ascii="Arial" w:eastAsia="Arial Unicode MS" w:hAnsi="Arial" w:cs="Arial"/>
          <w:sz w:val="24"/>
          <w:szCs w:val="24"/>
        </w:rPr>
        <w:t>, SIF, etc.)</w:t>
      </w:r>
    </w:p>
    <w:p w:rsidR="008B6AC3" w:rsidRPr="00670830" w:rsidRDefault="008B6AC3"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[http://www.condusef.gob.mx]</w:t>
      </w:r>
    </w:p>
    <w:p w:rsidR="00FD0894" w:rsidRPr="00670830" w:rsidRDefault="00FD0894" w:rsidP="00670830">
      <w:pPr>
        <w:tabs>
          <w:tab w:val="left" w:pos="2640"/>
        </w:tabs>
        <w:spacing w:before="100" w:beforeAutospacing="1" w:after="100" w:afterAutospacing="1" w:line="360" w:lineRule="auto"/>
        <w:jc w:val="both"/>
        <w:rPr>
          <w:rFonts w:ascii="Arial" w:eastAsia="Arial Unicode MS" w:hAnsi="Arial" w:cs="Arial"/>
          <w:sz w:val="24"/>
          <w:szCs w:val="24"/>
        </w:rPr>
      </w:pPr>
    </w:p>
    <w:p w:rsidR="00051A36" w:rsidRPr="00670830" w:rsidRDefault="00051A36" w:rsidP="00670830">
      <w:pPr>
        <w:pStyle w:val="Ttulo4"/>
        <w:tabs>
          <w:tab w:val="center" w:pos="4419"/>
        </w:tabs>
        <w:spacing w:before="100" w:beforeAutospacing="1" w:after="100" w:afterAutospacing="1" w:line="360" w:lineRule="auto"/>
        <w:jc w:val="both"/>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 xml:space="preserve">1.3.1.2. </w:t>
      </w:r>
      <w:r w:rsidR="00A9194A" w:rsidRPr="00670830">
        <w:rPr>
          <w:rFonts w:ascii="Arial" w:eastAsia="Arial Unicode MS" w:hAnsi="Arial" w:cs="Arial"/>
          <w:i w:val="0"/>
          <w:color w:val="auto"/>
          <w:sz w:val="24"/>
          <w:szCs w:val="24"/>
        </w:rPr>
        <w:t xml:space="preserve">Clasificación </w:t>
      </w:r>
    </w:p>
    <w:p w:rsidR="00A9194A" w:rsidRPr="00670830" w:rsidRDefault="00A9194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mercado de valores está dividido, según el plazo en el que se llevan a cabo las operaciones o transacciones mercantiles con activos financieros, en:</w:t>
      </w:r>
    </w:p>
    <w:p w:rsidR="00CF211D" w:rsidRPr="00670830" w:rsidRDefault="00CF211D" w:rsidP="00670830">
      <w:pPr>
        <w:spacing w:before="100" w:beforeAutospacing="1" w:after="100" w:afterAutospacing="1" w:line="360" w:lineRule="auto"/>
        <w:jc w:val="both"/>
        <w:rPr>
          <w:rFonts w:ascii="Arial" w:eastAsia="Arial Unicode MS" w:hAnsi="Arial" w:cs="Arial"/>
          <w:sz w:val="24"/>
          <w:szCs w:val="24"/>
        </w:rPr>
      </w:pPr>
    </w:p>
    <w:p w:rsidR="00A9194A" w:rsidRPr="00670830" w:rsidRDefault="00A9194A" w:rsidP="00670830">
      <w:pPr>
        <w:pStyle w:val="Ttulo5"/>
        <w:spacing w:before="100" w:beforeAutospacing="1" w:after="100" w:afterAutospacing="1" w:line="360" w:lineRule="auto"/>
        <w:jc w:val="both"/>
        <w:rPr>
          <w:rFonts w:ascii="Arial" w:eastAsia="Arial Unicode MS" w:hAnsi="Arial" w:cs="Arial"/>
          <w:b/>
          <w:color w:val="auto"/>
          <w:sz w:val="24"/>
          <w:szCs w:val="24"/>
        </w:rPr>
      </w:pPr>
      <w:r w:rsidRPr="00670830">
        <w:rPr>
          <w:rFonts w:ascii="Arial" w:eastAsia="Arial Unicode MS" w:hAnsi="Arial" w:cs="Arial"/>
          <w:b/>
          <w:color w:val="auto"/>
          <w:sz w:val="24"/>
          <w:szCs w:val="24"/>
        </w:rPr>
        <w:t>1.3.1.2.1. Mercado de dinero</w:t>
      </w:r>
    </w:p>
    <w:p w:rsidR="00E672C9" w:rsidRPr="00670830" w:rsidRDefault="00A9194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El objetivo principal del Mercado de Dinero es unir al conjunto de oferentes y demandantes de dinero, conciliando las necesidades del público ahorrador con los requerimientos de financiamiento para proyectos de inversión o capital de trabajo por parte de empresas privadas, empresas paraestatales, gobierno federal y recientemente gobiernos estatales. </w:t>
      </w:r>
    </w:p>
    <w:p w:rsidR="009914C2" w:rsidRPr="00670830" w:rsidRDefault="00A9194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En lo general, se comercian instrumentos financieros de corto plazo que cuentan con suficiente liquidez</w:t>
      </w:r>
      <w:r w:rsidRPr="00670830">
        <w:rPr>
          <w:rFonts w:ascii="Arial" w:eastAsia="Arial Unicode MS" w:hAnsi="Arial" w:cs="Arial"/>
          <w:b/>
          <w:sz w:val="24"/>
          <w:szCs w:val="24"/>
        </w:rPr>
        <w:t>.</w:t>
      </w:r>
      <w:r w:rsidRPr="00670830">
        <w:rPr>
          <w:rFonts w:ascii="Arial" w:eastAsia="Arial Unicode MS" w:hAnsi="Arial" w:cs="Arial"/>
          <w:sz w:val="24"/>
          <w:szCs w:val="24"/>
        </w:rPr>
        <w:t xml:space="preserve"> Sin embargo, en los últimos años ha aumentado la participación de instrumentos de mediano y largo plazo. </w:t>
      </w:r>
    </w:p>
    <w:p w:rsidR="009914C2" w:rsidRPr="00670830" w:rsidRDefault="009914C2"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1978 marca el inicio del Mercado de Dinero Mexicano con la introducción de los Certificados de la Tesorería de la Federación (CETES). Estos títulos son instrumentos de financiamiento de corto plazo del gobierno federal.</w:t>
      </w:r>
    </w:p>
    <w:p w:rsidR="00411D99" w:rsidRPr="00670830" w:rsidRDefault="009914C2"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Las operaciones que se realizan en el mercado de dinero son la compra-venta en directo y las operaciones de reporto. </w:t>
      </w:r>
    </w:p>
    <w:p w:rsidR="00411D99" w:rsidRPr="00670830" w:rsidRDefault="009914C2"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La compra-venta en directo, se define como la operación en la que el inversionista adquiere un instrumento ofrecido en el mercado de valores con plazo menor a un año y asume los riesgos implícitos del propio instrumento. </w:t>
      </w:r>
    </w:p>
    <w:p w:rsidR="00A9194A" w:rsidRPr="00670830" w:rsidRDefault="009914C2"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Las operaciones de reporto son aquellas en las que una persona (reportador) adquiere de otra (reportado) títulos y asume el compromiso de devolverlos en un plazo determinado más un premio.</w:t>
      </w:r>
    </w:p>
    <w:p w:rsidR="00B3483C" w:rsidRPr="00670830" w:rsidRDefault="009914C2"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Entre los instrumentos principales que se ofrecen en el mercado de dinero encontramos los siguientes: </w:t>
      </w:r>
    </w:p>
    <w:p w:rsidR="003F7DFE" w:rsidRPr="00670830" w:rsidRDefault="003F7DFE" w:rsidP="00670830">
      <w:pPr>
        <w:spacing w:before="100" w:beforeAutospacing="1" w:after="100" w:afterAutospacing="1" w:line="360" w:lineRule="auto"/>
        <w:jc w:val="both"/>
        <w:rPr>
          <w:rFonts w:ascii="Arial" w:eastAsia="Arial Unicode MS" w:hAnsi="Arial" w:cs="Arial"/>
          <w:sz w:val="24"/>
          <w:szCs w:val="24"/>
        </w:rPr>
      </w:pPr>
    </w:p>
    <w:p w:rsidR="009914C2" w:rsidRPr="00670830" w:rsidRDefault="009914C2" w:rsidP="00670830">
      <w:pPr>
        <w:pStyle w:val="Prrafodelista"/>
        <w:numPr>
          <w:ilvl w:val="0"/>
          <w:numId w:val="13"/>
        </w:numPr>
        <w:spacing w:before="100" w:beforeAutospacing="1" w:after="100" w:afterAutospacing="1" w:line="360" w:lineRule="auto"/>
        <w:jc w:val="both"/>
        <w:rPr>
          <w:rFonts w:ascii="Arial" w:eastAsia="Arial Unicode MS" w:hAnsi="Arial" w:cs="Arial"/>
          <w:b/>
          <w:sz w:val="24"/>
          <w:szCs w:val="24"/>
        </w:rPr>
      </w:pPr>
      <w:r w:rsidRPr="00670830">
        <w:rPr>
          <w:rFonts w:ascii="Arial" w:eastAsia="Arial Unicode MS" w:hAnsi="Arial" w:cs="Arial"/>
          <w:b/>
          <w:sz w:val="24"/>
          <w:szCs w:val="24"/>
        </w:rPr>
        <w:t xml:space="preserve">Instrumentos de deuda emitidos por el gobierno federal : </w:t>
      </w:r>
    </w:p>
    <w:p w:rsidR="00411D99" w:rsidRPr="00670830" w:rsidRDefault="009914C2" w:rsidP="00670830">
      <w:pPr>
        <w:spacing w:before="100" w:beforeAutospacing="1" w:after="100" w:afterAutospacing="1" w:line="360" w:lineRule="auto"/>
        <w:ind w:left="360"/>
        <w:jc w:val="both"/>
        <w:rPr>
          <w:rFonts w:ascii="Arial" w:eastAsia="Arial Unicode MS" w:hAnsi="Arial" w:cs="Arial"/>
          <w:sz w:val="24"/>
          <w:szCs w:val="24"/>
        </w:rPr>
      </w:pPr>
      <w:r w:rsidRPr="00670830">
        <w:rPr>
          <w:rFonts w:ascii="Arial" w:eastAsia="Arial Unicode MS" w:hAnsi="Arial" w:cs="Arial"/>
          <w:sz w:val="24"/>
          <w:szCs w:val="24"/>
        </w:rPr>
        <w:t xml:space="preserve">Son títulos de crédito nominativos o al portador, en los cuales se consigna la obligación directa e incondicional del gobierno de pagar una suma en dinero en determinada fecha. Estos instrumentos tienen como propósito financiar el gasto público o bien regular la oferta monetaria. Se colocan mediante subasta a través del Banco de México, y participan las casas de bolsa y los bancos, quienes luego los ofrecen al público inversionista. </w:t>
      </w:r>
    </w:p>
    <w:p w:rsidR="003F7DFE" w:rsidRPr="00670830" w:rsidRDefault="009914C2" w:rsidP="00670830">
      <w:pPr>
        <w:spacing w:before="100" w:beforeAutospacing="1" w:after="100" w:afterAutospacing="1" w:line="360" w:lineRule="auto"/>
        <w:ind w:left="360"/>
        <w:jc w:val="both"/>
        <w:rPr>
          <w:rFonts w:ascii="Arial" w:eastAsia="Arial Unicode MS" w:hAnsi="Arial" w:cs="Arial"/>
          <w:sz w:val="24"/>
          <w:szCs w:val="24"/>
        </w:rPr>
      </w:pPr>
      <w:r w:rsidRPr="00670830">
        <w:rPr>
          <w:rFonts w:ascii="Arial" w:eastAsia="Arial Unicode MS" w:hAnsi="Arial" w:cs="Arial"/>
          <w:sz w:val="24"/>
          <w:szCs w:val="24"/>
        </w:rPr>
        <w:t xml:space="preserve">Entre los instrumentos emitidos por el gobierno se encuentran: </w:t>
      </w:r>
    </w:p>
    <w:p w:rsidR="003F7DFE" w:rsidRPr="00670830" w:rsidRDefault="009914C2" w:rsidP="00670830">
      <w:pPr>
        <w:pStyle w:val="Prrafodelista"/>
        <w:numPr>
          <w:ilvl w:val="0"/>
          <w:numId w:val="51"/>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los Certificados de la Tesorería de la Federación (CETES), </w:t>
      </w:r>
    </w:p>
    <w:p w:rsidR="003F7DFE" w:rsidRPr="00670830" w:rsidRDefault="009914C2" w:rsidP="00670830">
      <w:pPr>
        <w:pStyle w:val="Prrafodelista"/>
        <w:numPr>
          <w:ilvl w:val="0"/>
          <w:numId w:val="51"/>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Bonos de Desarrollo del Gobierno Federal (BONDES), </w:t>
      </w:r>
    </w:p>
    <w:p w:rsidR="003F7DFE" w:rsidRPr="00670830" w:rsidRDefault="009914C2" w:rsidP="00670830">
      <w:pPr>
        <w:pStyle w:val="Prrafodelista"/>
        <w:numPr>
          <w:ilvl w:val="0"/>
          <w:numId w:val="51"/>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Bonos de Desarrollo del Gobierno Federal denominados en Unidades de Inversión (UDIBONOS), </w:t>
      </w:r>
    </w:p>
    <w:p w:rsidR="003F7DFE" w:rsidRPr="00670830" w:rsidRDefault="009914C2" w:rsidP="00670830">
      <w:pPr>
        <w:pStyle w:val="Prrafodelista"/>
        <w:numPr>
          <w:ilvl w:val="0"/>
          <w:numId w:val="51"/>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Bonos de Regulación Monetaria (BREMS), </w:t>
      </w:r>
    </w:p>
    <w:p w:rsidR="009914C2" w:rsidRPr="00670830" w:rsidRDefault="009914C2" w:rsidP="00670830">
      <w:pPr>
        <w:pStyle w:val="Prrafodelista"/>
        <w:numPr>
          <w:ilvl w:val="0"/>
          <w:numId w:val="51"/>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Pagarés de Indemnización Carretera (PIC-FARAC).</w:t>
      </w:r>
    </w:p>
    <w:p w:rsidR="003F7DFE" w:rsidRPr="00670830" w:rsidRDefault="003F7DFE" w:rsidP="00670830">
      <w:pPr>
        <w:spacing w:before="100" w:beforeAutospacing="1" w:after="100" w:afterAutospacing="1" w:line="360" w:lineRule="auto"/>
        <w:ind w:left="360"/>
        <w:jc w:val="both"/>
        <w:rPr>
          <w:rFonts w:ascii="Arial" w:eastAsia="Arial Unicode MS" w:hAnsi="Arial" w:cs="Arial"/>
          <w:b/>
          <w:sz w:val="24"/>
          <w:szCs w:val="24"/>
        </w:rPr>
      </w:pPr>
    </w:p>
    <w:p w:rsidR="009914C2" w:rsidRPr="00670830" w:rsidRDefault="009914C2" w:rsidP="00670830">
      <w:pPr>
        <w:pStyle w:val="Prrafodelista"/>
        <w:numPr>
          <w:ilvl w:val="0"/>
          <w:numId w:val="13"/>
        </w:numPr>
        <w:spacing w:before="100" w:beforeAutospacing="1" w:after="100" w:afterAutospacing="1" w:line="360" w:lineRule="auto"/>
        <w:jc w:val="both"/>
        <w:rPr>
          <w:rFonts w:ascii="Arial" w:eastAsia="Arial Unicode MS" w:hAnsi="Arial" w:cs="Arial"/>
          <w:b/>
          <w:sz w:val="24"/>
          <w:szCs w:val="24"/>
        </w:rPr>
      </w:pPr>
      <w:r w:rsidRPr="00670830">
        <w:rPr>
          <w:rFonts w:ascii="Arial" w:eastAsia="Arial Unicode MS" w:hAnsi="Arial" w:cs="Arial"/>
          <w:b/>
          <w:sz w:val="24"/>
          <w:szCs w:val="24"/>
        </w:rPr>
        <w:t xml:space="preserve">Instrumentos de deuda emitidos por empresas privadas e instituciones bancarias: </w:t>
      </w:r>
    </w:p>
    <w:p w:rsidR="009914C2" w:rsidRPr="00670830" w:rsidRDefault="009914C2" w:rsidP="00670830">
      <w:pPr>
        <w:pStyle w:val="Prrafodelista"/>
        <w:spacing w:before="100" w:beforeAutospacing="1" w:after="100" w:afterAutospacing="1" w:line="360" w:lineRule="auto"/>
        <w:ind w:left="1080"/>
        <w:jc w:val="both"/>
        <w:rPr>
          <w:rFonts w:ascii="Arial" w:eastAsia="Arial Unicode MS" w:hAnsi="Arial" w:cs="Arial"/>
          <w:b/>
          <w:sz w:val="24"/>
          <w:szCs w:val="24"/>
        </w:rPr>
      </w:pPr>
    </w:p>
    <w:p w:rsidR="00411D99" w:rsidRPr="00670830" w:rsidRDefault="009914C2" w:rsidP="00670830">
      <w:pPr>
        <w:pStyle w:val="Prrafodelista"/>
        <w:numPr>
          <w:ilvl w:val="1"/>
          <w:numId w:val="13"/>
        </w:numPr>
        <w:spacing w:before="100" w:beforeAutospacing="1" w:after="100" w:afterAutospacing="1" w:line="360" w:lineRule="auto"/>
        <w:jc w:val="both"/>
        <w:rPr>
          <w:rFonts w:ascii="Arial" w:eastAsia="Arial Unicode MS" w:hAnsi="Arial" w:cs="Arial"/>
          <w:b/>
          <w:sz w:val="24"/>
          <w:szCs w:val="24"/>
        </w:rPr>
      </w:pPr>
      <w:r w:rsidRPr="00670830">
        <w:rPr>
          <w:rFonts w:ascii="Arial" w:eastAsia="Arial Unicode MS" w:hAnsi="Arial" w:cs="Arial"/>
          <w:b/>
          <w:sz w:val="24"/>
          <w:szCs w:val="24"/>
        </w:rPr>
        <w:t>Por la iniciativa privada:</w:t>
      </w:r>
      <w:r w:rsidRPr="00670830">
        <w:rPr>
          <w:rFonts w:ascii="Arial" w:eastAsia="Arial Unicode MS" w:hAnsi="Arial" w:cs="Arial"/>
          <w:sz w:val="24"/>
          <w:szCs w:val="24"/>
        </w:rPr>
        <w:t xml:space="preserve"> los instrumentos emitidos por las entidades privadas son títulos de crédito que cuentan con el respaldo de la empresa emisora que busca financiar necesidades corporativas de capital de trabajo a corto plazo. Las empresas realizan emisiones de Papel Comercial, Pagarés a mediano plazo y Obligaciones y los títulos se colocan a través de una casa de bolsa. </w:t>
      </w:r>
    </w:p>
    <w:p w:rsidR="00411D99" w:rsidRPr="00670830" w:rsidRDefault="00411D99" w:rsidP="00670830">
      <w:pPr>
        <w:pStyle w:val="Prrafodelista"/>
        <w:spacing w:before="100" w:beforeAutospacing="1" w:after="100" w:afterAutospacing="1" w:line="360" w:lineRule="auto"/>
        <w:ind w:left="1440"/>
        <w:jc w:val="both"/>
        <w:rPr>
          <w:rFonts w:ascii="Arial" w:eastAsia="Arial Unicode MS" w:hAnsi="Arial" w:cs="Arial"/>
          <w:b/>
          <w:sz w:val="24"/>
          <w:szCs w:val="24"/>
        </w:rPr>
      </w:pPr>
    </w:p>
    <w:p w:rsidR="009914C2" w:rsidRPr="00670830" w:rsidRDefault="009914C2" w:rsidP="00670830">
      <w:pPr>
        <w:pStyle w:val="Prrafodelista"/>
        <w:numPr>
          <w:ilvl w:val="1"/>
          <w:numId w:val="13"/>
        </w:numPr>
        <w:spacing w:before="100" w:beforeAutospacing="1" w:after="100" w:afterAutospacing="1" w:line="360" w:lineRule="auto"/>
        <w:jc w:val="both"/>
        <w:rPr>
          <w:rFonts w:ascii="Arial" w:eastAsia="Arial Unicode MS" w:hAnsi="Arial" w:cs="Arial"/>
          <w:b/>
          <w:sz w:val="24"/>
          <w:szCs w:val="24"/>
        </w:rPr>
      </w:pPr>
      <w:r w:rsidRPr="00670830">
        <w:rPr>
          <w:rFonts w:ascii="Arial" w:eastAsia="Arial Unicode MS" w:hAnsi="Arial" w:cs="Arial"/>
          <w:b/>
          <w:sz w:val="24"/>
          <w:szCs w:val="24"/>
        </w:rPr>
        <w:t>Por las instituciones bancarias:</w:t>
      </w:r>
      <w:r w:rsidRPr="00670830">
        <w:rPr>
          <w:rFonts w:ascii="Arial" w:eastAsia="Arial Unicode MS" w:hAnsi="Arial" w:cs="Arial"/>
          <w:sz w:val="24"/>
          <w:szCs w:val="24"/>
        </w:rPr>
        <w:t xml:space="preserve"> los instrumentos emitidos por los bancos, son títulos de crédito que el banco coloca entre sus clientes y cuentan con la garantía del patrimonio de las instituciones de crédito emisoras. Los instrumentos que emiten los bancos son las Aceptaciones Bancarias, los Pagarés, los Bonos Bancarios, etc. </w:t>
      </w:r>
    </w:p>
    <w:p w:rsidR="009914C2" w:rsidRPr="00670830" w:rsidRDefault="009914C2"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[http://www.ciep.itam.mx]</w:t>
      </w:r>
    </w:p>
    <w:p w:rsidR="00A9194A" w:rsidRPr="00670830" w:rsidRDefault="00A9194A" w:rsidP="00670830">
      <w:pPr>
        <w:tabs>
          <w:tab w:val="left" w:pos="1485"/>
        </w:tabs>
        <w:spacing w:before="100" w:beforeAutospacing="1" w:after="100" w:afterAutospacing="1" w:line="360" w:lineRule="auto"/>
        <w:jc w:val="both"/>
        <w:rPr>
          <w:rFonts w:ascii="Arial" w:eastAsia="Arial Unicode MS" w:hAnsi="Arial" w:cs="Arial"/>
          <w:sz w:val="24"/>
          <w:szCs w:val="24"/>
        </w:rPr>
      </w:pPr>
    </w:p>
    <w:p w:rsidR="009656CE" w:rsidRPr="00670830" w:rsidRDefault="009656CE" w:rsidP="00670830">
      <w:pPr>
        <w:pStyle w:val="Ttulo5"/>
        <w:spacing w:before="100" w:beforeAutospacing="1" w:after="100" w:afterAutospacing="1" w:line="360" w:lineRule="auto"/>
        <w:jc w:val="both"/>
        <w:rPr>
          <w:rFonts w:ascii="Arial" w:eastAsia="Arial Unicode MS" w:hAnsi="Arial" w:cs="Arial"/>
          <w:b/>
          <w:color w:val="auto"/>
          <w:sz w:val="24"/>
          <w:szCs w:val="24"/>
        </w:rPr>
      </w:pPr>
      <w:r w:rsidRPr="00670830">
        <w:rPr>
          <w:rFonts w:ascii="Arial" w:eastAsia="Arial Unicode MS" w:hAnsi="Arial" w:cs="Arial"/>
          <w:b/>
          <w:color w:val="auto"/>
          <w:sz w:val="24"/>
          <w:szCs w:val="24"/>
        </w:rPr>
        <w:t xml:space="preserve">1.3.1.2.2. </w:t>
      </w:r>
      <w:r w:rsidR="00CF211D" w:rsidRPr="00670830">
        <w:rPr>
          <w:rFonts w:ascii="Arial" w:eastAsia="Arial Unicode MS" w:hAnsi="Arial" w:cs="Arial"/>
          <w:b/>
          <w:color w:val="auto"/>
          <w:sz w:val="24"/>
          <w:szCs w:val="24"/>
        </w:rPr>
        <w:t>Mercado de capitales</w:t>
      </w:r>
    </w:p>
    <w:p w:rsidR="003B0EB0" w:rsidRPr="00670830" w:rsidRDefault="003B0EB0" w:rsidP="00670830">
      <w:pPr>
        <w:tabs>
          <w:tab w:val="left" w:pos="148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Mercado de Capitales es aquel en donde se realizan la compra-venta de títulos valor, representativos de activos financieros de empresas y otras unidades económicas como son las acciones, obligaciones y títulos de deuda de largo plazo.</w:t>
      </w:r>
    </w:p>
    <w:p w:rsidR="003B0EB0" w:rsidRPr="00670830" w:rsidRDefault="003B0EB0" w:rsidP="00670830">
      <w:pPr>
        <w:tabs>
          <w:tab w:val="left" w:pos="148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Este mercado otorga a los inversionistas la posibilidad de participar como socios (en parte proporcional a lo invertido), en el capital de las mejores empresas de México.</w:t>
      </w:r>
    </w:p>
    <w:p w:rsidR="003B0EB0" w:rsidRPr="00670830" w:rsidRDefault="003B0EB0" w:rsidP="00670830">
      <w:pPr>
        <w:tabs>
          <w:tab w:val="left" w:pos="148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En contraparte a las empresas les otorga la posibilidad de colocar parte de su capital entre un gran número de inversionistas, con el objeto de financiar capital de trabajo y/o la expansión de la misma empresa.</w:t>
      </w:r>
    </w:p>
    <w:p w:rsidR="003B0EB0" w:rsidRPr="00670830" w:rsidRDefault="003B0EB0" w:rsidP="00670830">
      <w:pPr>
        <w:pStyle w:val="Prrafodelista"/>
        <w:numPr>
          <w:ilvl w:val="0"/>
          <w:numId w:val="14"/>
        </w:numPr>
        <w:tabs>
          <w:tab w:val="left" w:pos="1485"/>
        </w:tabs>
        <w:spacing w:before="100" w:beforeAutospacing="1" w:after="100" w:afterAutospacing="1" w:line="360" w:lineRule="auto"/>
        <w:jc w:val="both"/>
        <w:rPr>
          <w:rFonts w:ascii="Arial" w:eastAsia="Arial Unicode MS" w:hAnsi="Arial" w:cs="Arial"/>
          <w:b/>
          <w:sz w:val="24"/>
          <w:szCs w:val="24"/>
        </w:rPr>
      </w:pPr>
      <w:r w:rsidRPr="00670830">
        <w:rPr>
          <w:rFonts w:ascii="Arial" w:eastAsia="Arial Unicode MS" w:hAnsi="Arial" w:cs="Arial"/>
          <w:b/>
          <w:sz w:val="24"/>
          <w:szCs w:val="24"/>
        </w:rPr>
        <w:t>Beneficios:</w:t>
      </w:r>
    </w:p>
    <w:p w:rsidR="00406790" w:rsidRPr="00670830" w:rsidRDefault="00406790" w:rsidP="00670830">
      <w:pPr>
        <w:pStyle w:val="Prrafodelista"/>
        <w:tabs>
          <w:tab w:val="left" w:pos="1485"/>
        </w:tabs>
        <w:spacing w:before="100" w:beforeAutospacing="1" w:after="100" w:afterAutospacing="1" w:line="360" w:lineRule="auto"/>
        <w:jc w:val="both"/>
        <w:rPr>
          <w:rFonts w:ascii="Arial" w:eastAsia="Arial Unicode MS" w:hAnsi="Arial" w:cs="Arial"/>
          <w:b/>
          <w:sz w:val="24"/>
          <w:szCs w:val="24"/>
        </w:rPr>
      </w:pPr>
    </w:p>
    <w:p w:rsidR="003B0EB0" w:rsidRPr="00670830" w:rsidRDefault="003B0EB0" w:rsidP="00670830">
      <w:pPr>
        <w:pStyle w:val="Prrafodelista"/>
        <w:numPr>
          <w:ilvl w:val="1"/>
          <w:numId w:val="14"/>
        </w:numPr>
        <w:tabs>
          <w:tab w:val="left" w:pos="1485"/>
        </w:tabs>
        <w:spacing w:before="100" w:beforeAutospacing="1" w:after="100" w:afterAutospacing="1" w:line="360" w:lineRule="auto"/>
        <w:jc w:val="both"/>
        <w:rPr>
          <w:rFonts w:ascii="Arial" w:eastAsia="Arial Unicode MS" w:hAnsi="Arial" w:cs="Arial"/>
          <w:b/>
          <w:sz w:val="24"/>
          <w:szCs w:val="24"/>
        </w:rPr>
      </w:pPr>
      <w:r w:rsidRPr="00670830">
        <w:rPr>
          <w:rFonts w:ascii="Arial" w:eastAsia="Arial Unicode MS" w:hAnsi="Arial" w:cs="Arial"/>
          <w:sz w:val="24"/>
          <w:szCs w:val="24"/>
        </w:rPr>
        <w:t>Otorga alta rentabilidad de largo plazo</w:t>
      </w:r>
    </w:p>
    <w:p w:rsidR="003B0EB0" w:rsidRPr="00670830" w:rsidRDefault="003B0EB0" w:rsidP="00670830">
      <w:pPr>
        <w:pStyle w:val="Prrafodelista"/>
        <w:numPr>
          <w:ilvl w:val="1"/>
          <w:numId w:val="14"/>
        </w:numPr>
        <w:tabs>
          <w:tab w:val="left" w:pos="1485"/>
        </w:tabs>
        <w:spacing w:before="100" w:beforeAutospacing="1" w:after="100" w:afterAutospacing="1" w:line="360" w:lineRule="auto"/>
        <w:jc w:val="both"/>
        <w:rPr>
          <w:rFonts w:ascii="Arial" w:eastAsia="Arial Unicode MS" w:hAnsi="Arial" w:cs="Arial"/>
          <w:b/>
          <w:sz w:val="24"/>
          <w:szCs w:val="24"/>
        </w:rPr>
      </w:pPr>
      <w:r w:rsidRPr="00670830">
        <w:rPr>
          <w:rFonts w:ascii="Arial" w:eastAsia="Arial Unicode MS" w:hAnsi="Arial" w:cs="Arial"/>
          <w:sz w:val="24"/>
          <w:szCs w:val="24"/>
        </w:rPr>
        <w:t>Perm</w:t>
      </w:r>
      <w:r w:rsidR="008D7A42" w:rsidRPr="00670830">
        <w:rPr>
          <w:rFonts w:ascii="Arial" w:eastAsia="Arial Unicode MS" w:hAnsi="Arial" w:cs="Arial"/>
          <w:sz w:val="24"/>
          <w:szCs w:val="24"/>
        </w:rPr>
        <w:t>ite diversificar el riesgo de las carteras</w:t>
      </w:r>
      <w:r w:rsidRPr="00670830">
        <w:rPr>
          <w:rFonts w:ascii="Arial" w:eastAsia="Arial Unicode MS" w:hAnsi="Arial" w:cs="Arial"/>
          <w:sz w:val="24"/>
          <w:szCs w:val="24"/>
        </w:rPr>
        <w:t xml:space="preserve"> de inversión</w:t>
      </w:r>
    </w:p>
    <w:p w:rsidR="003B0EB0" w:rsidRPr="00670830" w:rsidRDefault="003B0EB0" w:rsidP="00670830">
      <w:pPr>
        <w:pStyle w:val="Prrafodelista"/>
        <w:numPr>
          <w:ilvl w:val="1"/>
          <w:numId w:val="14"/>
        </w:numPr>
        <w:tabs>
          <w:tab w:val="left" w:pos="1485"/>
        </w:tabs>
        <w:spacing w:before="100" w:beforeAutospacing="1" w:after="100" w:afterAutospacing="1" w:line="360" w:lineRule="auto"/>
        <w:jc w:val="both"/>
        <w:rPr>
          <w:rFonts w:ascii="Arial" w:eastAsia="Arial Unicode MS" w:hAnsi="Arial" w:cs="Arial"/>
          <w:b/>
          <w:sz w:val="24"/>
          <w:szCs w:val="24"/>
        </w:rPr>
      </w:pPr>
      <w:r w:rsidRPr="00670830">
        <w:rPr>
          <w:rFonts w:ascii="Arial" w:eastAsia="Arial Unicode MS" w:hAnsi="Arial" w:cs="Arial"/>
          <w:sz w:val="24"/>
          <w:szCs w:val="24"/>
        </w:rPr>
        <w:t>Acceso a las mejores empresas de México y del mundo dentro de un marco de legalidad y vigilancia</w:t>
      </w:r>
    </w:p>
    <w:p w:rsidR="00406790" w:rsidRPr="00670830" w:rsidRDefault="00406790" w:rsidP="00670830">
      <w:pPr>
        <w:pStyle w:val="Prrafodelista"/>
        <w:tabs>
          <w:tab w:val="left" w:pos="1485"/>
        </w:tabs>
        <w:spacing w:before="100" w:beforeAutospacing="1" w:after="100" w:afterAutospacing="1" w:line="360" w:lineRule="auto"/>
        <w:ind w:left="1440"/>
        <w:jc w:val="both"/>
        <w:rPr>
          <w:rFonts w:ascii="Arial" w:eastAsia="Arial Unicode MS" w:hAnsi="Arial" w:cs="Arial"/>
          <w:b/>
          <w:sz w:val="24"/>
          <w:szCs w:val="24"/>
        </w:rPr>
      </w:pPr>
    </w:p>
    <w:p w:rsidR="003B0EB0" w:rsidRPr="00670830" w:rsidRDefault="003B0EB0" w:rsidP="00670830">
      <w:pPr>
        <w:pStyle w:val="Prrafodelista"/>
        <w:numPr>
          <w:ilvl w:val="0"/>
          <w:numId w:val="14"/>
        </w:numPr>
        <w:tabs>
          <w:tab w:val="left" w:pos="1485"/>
        </w:tabs>
        <w:spacing w:before="100" w:beforeAutospacing="1" w:after="100" w:afterAutospacing="1" w:line="360" w:lineRule="auto"/>
        <w:jc w:val="both"/>
        <w:rPr>
          <w:rFonts w:ascii="Arial" w:eastAsia="Arial Unicode MS" w:hAnsi="Arial" w:cs="Arial"/>
          <w:b/>
          <w:sz w:val="24"/>
          <w:szCs w:val="24"/>
        </w:rPr>
      </w:pPr>
      <w:r w:rsidRPr="00670830">
        <w:rPr>
          <w:rFonts w:ascii="Arial" w:eastAsia="Arial Unicode MS" w:hAnsi="Arial" w:cs="Arial"/>
          <w:b/>
          <w:sz w:val="24"/>
          <w:szCs w:val="24"/>
        </w:rPr>
        <w:t xml:space="preserve"> Riesgos:</w:t>
      </w:r>
    </w:p>
    <w:p w:rsidR="00406790" w:rsidRPr="00670830" w:rsidRDefault="00406790" w:rsidP="00670830">
      <w:pPr>
        <w:pStyle w:val="Prrafodelista"/>
        <w:tabs>
          <w:tab w:val="left" w:pos="1485"/>
        </w:tabs>
        <w:spacing w:before="100" w:beforeAutospacing="1" w:after="100" w:afterAutospacing="1" w:line="360" w:lineRule="auto"/>
        <w:jc w:val="both"/>
        <w:rPr>
          <w:rFonts w:ascii="Arial" w:eastAsia="Arial Unicode MS" w:hAnsi="Arial" w:cs="Arial"/>
          <w:b/>
          <w:sz w:val="24"/>
          <w:szCs w:val="24"/>
        </w:rPr>
      </w:pPr>
    </w:p>
    <w:p w:rsidR="0083315B" w:rsidRPr="00670830" w:rsidRDefault="003B0EB0" w:rsidP="00670830">
      <w:pPr>
        <w:pStyle w:val="Prrafodelista"/>
        <w:numPr>
          <w:ilvl w:val="1"/>
          <w:numId w:val="14"/>
        </w:numPr>
        <w:tabs>
          <w:tab w:val="left" w:pos="1485"/>
        </w:tabs>
        <w:spacing w:before="100" w:beforeAutospacing="1" w:after="100" w:afterAutospacing="1" w:line="360" w:lineRule="auto"/>
        <w:jc w:val="both"/>
        <w:rPr>
          <w:rFonts w:ascii="Arial" w:eastAsia="Arial Unicode MS" w:hAnsi="Arial" w:cs="Arial"/>
          <w:b/>
          <w:sz w:val="24"/>
          <w:szCs w:val="24"/>
        </w:rPr>
      </w:pPr>
      <w:r w:rsidRPr="00670830">
        <w:rPr>
          <w:rFonts w:ascii="Arial" w:eastAsia="Arial Unicode MS" w:hAnsi="Arial" w:cs="Arial"/>
          <w:sz w:val="24"/>
          <w:szCs w:val="24"/>
        </w:rPr>
        <w:t>Al ser un mercado de altos rendimientos derivado de instrumentos emitidos por empresas, que están sujetas a la interacción de múltiples variables tanto económicas y financieras, el inversionista debe estar consciente de que participa en un mercado de rendimientos variables, en donde no existe garantía de beneficios.</w:t>
      </w:r>
    </w:p>
    <w:p w:rsidR="003B0EB0" w:rsidRPr="00670830" w:rsidRDefault="003B0EB0" w:rsidP="00670830">
      <w:pPr>
        <w:tabs>
          <w:tab w:val="left" w:pos="148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Se participa en el Mercado de Capitales a través de la compra-venta de:</w:t>
      </w:r>
    </w:p>
    <w:p w:rsidR="009F0616" w:rsidRPr="00670830" w:rsidRDefault="003B0EB0" w:rsidP="00670830">
      <w:pPr>
        <w:pStyle w:val="Prrafodelista"/>
        <w:numPr>
          <w:ilvl w:val="0"/>
          <w:numId w:val="15"/>
        </w:numPr>
        <w:tabs>
          <w:tab w:val="left" w:pos="148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Acciones de Empresas Mexicanas:</w:t>
      </w:r>
      <w:r w:rsidRPr="00670830">
        <w:rPr>
          <w:rFonts w:ascii="Arial" w:eastAsia="Arial Unicode MS" w:hAnsi="Arial" w:cs="Arial"/>
          <w:sz w:val="24"/>
          <w:szCs w:val="24"/>
        </w:rPr>
        <w:t xml:space="preserve"> </w:t>
      </w:r>
    </w:p>
    <w:p w:rsidR="009F0616" w:rsidRPr="00670830" w:rsidRDefault="009F0616" w:rsidP="00670830">
      <w:pPr>
        <w:pStyle w:val="Prrafodelista"/>
        <w:tabs>
          <w:tab w:val="left" w:pos="1485"/>
        </w:tabs>
        <w:spacing w:before="100" w:beforeAutospacing="1" w:after="100" w:afterAutospacing="1" w:line="360" w:lineRule="auto"/>
        <w:jc w:val="both"/>
        <w:rPr>
          <w:rFonts w:ascii="Arial" w:eastAsia="Arial Unicode MS" w:hAnsi="Arial" w:cs="Arial"/>
          <w:sz w:val="24"/>
          <w:szCs w:val="24"/>
        </w:rPr>
      </w:pPr>
    </w:p>
    <w:p w:rsidR="003B0EB0" w:rsidRPr="00670830" w:rsidRDefault="009F0616" w:rsidP="00670830">
      <w:pPr>
        <w:pStyle w:val="Prrafodelista"/>
        <w:tabs>
          <w:tab w:val="left" w:pos="148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S</w:t>
      </w:r>
      <w:r w:rsidR="003B0EB0" w:rsidRPr="00670830">
        <w:rPr>
          <w:rFonts w:ascii="Arial" w:eastAsia="Arial Unicode MS" w:hAnsi="Arial" w:cs="Arial"/>
          <w:sz w:val="24"/>
          <w:szCs w:val="24"/>
        </w:rPr>
        <w:t>on títulos que representan parte del capital social de una empresa, colocados entre el gran público inversionista a través de la Bolsa Mexicana de Valores para obtener financiamiento. La posición</w:t>
      </w:r>
      <w:r w:rsidRPr="00670830">
        <w:rPr>
          <w:rFonts w:ascii="Arial" w:eastAsia="Arial Unicode MS" w:hAnsi="Arial" w:cs="Arial"/>
          <w:sz w:val="24"/>
          <w:szCs w:val="24"/>
        </w:rPr>
        <w:t>,</w:t>
      </w:r>
      <w:r w:rsidR="003B0EB0" w:rsidRPr="00670830">
        <w:rPr>
          <w:rFonts w:ascii="Arial" w:eastAsia="Arial Unicode MS" w:hAnsi="Arial" w:cs="Arial"/>
          <w:sz w:val="24"/>
          <w:szCs w:val="24"/>
        </w:rPr>
        <w:t xml:space="preserve"> dichos títulos</w:t>
      </w:r>
      <w:r w:rsidRPr="00670830">
        <w:rPr>
          <w:rFonts w:ascii="Arial" w:eastAsia="Arial Unicode MS" w:hAnsi="Arial" w:cs="Arial"/>
          <w:sz w:val="24"/>
          <w:szCs w:val="24"/>
        </w:rPr>
        <w:t>,</w:t>
      </w:r>
      <w:r w:rsidR="003B0EB0" w:rsidRPr="00670830">
        <w:rPr>
          <w:rFonts w:ascii="Arial" w:eastAsia="Arial Unicode MS" w:hAnsi="Arial" w:cs="Arial"/>
          <w:sz w:val="24"/>
          <w:szCs w:val="24"/>
        </w:rPr>
        <w:t xml:space="preserve"> (acciones) otorga a sus compradores los derechos de un socio.</w:t>
      </w:r>
    </w:p>
    <w:p w:rsidR="009F0616" w:rsidRPr="00670830" w:rsidRDefault="009F0616" w:rsidP="00670830">
      <w:pPr>
        <w:pStyle w:val="Prrafodelista"/>
        <w:tabs>
          <w:tab w:val="left" w:pos="1485"/>
        </w:tabs>
        <w:spacing w:before="100" w:beforeAutospacing="1" w:after="100" w:afterAutospacing="1" w:line="360" w:lineRule="auto"/>
        <w:jc w:val="both"/>
        <w:rPr>
          <w:rFonts w:ascii="Arial" w:eastAsia="Arial Unicode MS" w:hAnsi="Arial" w:cs="Arial"/>
          <w:sz w:val="24"/>
          <w:szCs w:val="24"/>
        </w:rPr>
      </w:pPr>
    </w:p>
    <w:p w:rsidR="009F0616" w:rsidRPr="00670830" w:rsidRDefault="003B0EB0" w:rsidP="00670830">
      <w:pPr>
        <w:pStyle w:val="Prrafodelista"/>
        <w:numPr>
          <w:ilvl w:val="0"/>
          <w:numId w:val="15"/>
        </w:numPr>
        <w:tabs>
          <w:tab w:val="left" w:pos="148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Acciones de Empresas Extranjeras:</w:t>
      </w:r>
      <w:r w:rsidRPr="00670830">
        <w:rPr>
          <w:rFonts w:ascii="Arial" w:eastAsia="Arial Unicode MS" w:hAnsi="Arial" w:cs="Arial"/>
          <w:sz w:val="24"/>
          <w:szCs w:val="24"/>
        </w:rPr>
        <w:t xml:space="preserve"> </w:t>
      </w:r>
    </w:p>
    <w:p w:rsidR="009F0616" w:rsidRPr="00670830" w:rsidRDefault="009F0616" w:rsidP="00670830">
      <w:pPr>
        <w:pStyle w:val="Prrafodelista"/>
        <w:tabs>
          <w:tab w:val="left" w:pos="1485"/>
        </w:tabs>
        <w:spacing w:before="100" w:beforeAutospacing="1" w:after="100" w:afterAutospacing="1" w:line="360" w:lineRule="auto"/>
        <w:jc w:val="both"/>
        <w:rPr>
          <w:rFonts w:ascii="Arial" w:eastAsia="Arial Unicode MS" w:hAnsi="Arial" w:cs="Arial"/>
          <w:sz w:val="24"/>
          <w:szCs w:val="24"/>
        </w:rPr>
      </w:pPr>
    </w:p>
    <w:p w:rsidR="003B0EB0" w:rsidRPr="00670830" w:rsidRDefault="009F0616" w:rsidP="00670830">
      <w:pPr>
        <w:pStyle w:val="Prrafodelista"/>
        <w:tabs>
          <w:tab w:val="left" w:pos="148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S</w:t>
      </w:r>
      <w:r w:rsidR="003B0EB0" w:rsidRPr="00670830">
        <w:rPr>
          <w:rFonts w:ascii="Arial" w:eastAsia="Arial Unicode MS" w:hAnsi="Arial" w:cs="Arial"/>
          <w:sz w:val="24"/>
          <w:szCs w:val="24"/>
        </w:rPr>
        <w:t>istema Internacional de Cotizaciones (SIC) permite comprar en pesos, acciones de empresas listadas en mercados de diferentes países.</w:t>
      </w:r>
    </w:p>
    <w:p w:rsidR="009F0616" w:rsidRPr="00670830" w:rsidRDefault="009F0616" w:rsidP="00670830">
      <w:pPr>
        <w:pStyle w:val="Prrafodelista"/>
        <w:tabs>
          <w:tab w:val="left" w:pos="1485"/>
        </w:tabs>
        <w:spacing w:before="100" w:beforeAutospacing="1" w:after="100" w:afterAutospacing="1" w:line="360" w:lineRule="auto"/>
        <w:jc w:val="both"/>
        <w:rPr>
          <w:rFonts w:ascii="Arial" w:eastAsia="Arial Unicode MS" w:hAnsi="Arial" w:cs="Arial"/>
          <w:sz w:val="24"/>
          <w:szCs w:val="24"/>
        </w:rPr>
      </w:pPr>
    </w:p>
    <w:p w:rsidR="009F0616" w:rsidRPr="00670830" w:rsidRDefault="003B0EB0" w:rsidP="00670830">
      <w:pPr>
        <w:pStyle w:val="Prrafodelista"/>
        <w:numPr>
          <w:ilvl w:val="0"/>
          <w:numId w:val="15"/>
        </w:numPr>
        <w:tabs>
          <w:tab w:val="left" w:pos="148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Obligaciones:</w:t>
      </w:r>
      <w:r w:rsidRPr="00670830">
        <w:rPr>
          <w:rFonts w:ascii="Arial" w:eastAsia="Arial Unicode MS" w:hAnsi="Arial" w:cs="Arial"/>
          <w:sz w:val="24"/>
          <w:szCs w:val="24"/>
        </w:rPr>
        <w:t xml:space="preserve"> </w:t>
      </w:r>
    </w:p>
    <w:p w:rsidR="009F0616" w:rsidRPr="00670830" w:rsidRDefault="009F0616" w:rsidP="00670830">
      <w:pPr>
        <w:pStyle w:val="Prrafodelista"/>
        <w:tabs>
          <w:tab w:val="left" w:pos="1485"/>
        </w:tabs>
        <w:spacing w:before="100" w:beforeAutospacing="1" w:after="100" w:afterAutospacing="1" w:line="360" w:lineRule="auto"/>
        <w:jc w:val="both"/>
        <w:rPr>
          <w:rFonts w:ascii="Arial" w:eastAsia="Arial Unicode MS" w:hAnsi="Arial" w:cs="Arial"/>
          <w:sz w:val="24"/>
          <w:szCs w:val="24"/>
        </w:rPr>
      </w:pPr>
    </w:p>
    <w:p w:rsidR="003B0EB0" w:rsidRPr="00670830" w:rsidRDefault="003B0EB0" w:rsidP="00670830">
      <w:pPr>
        <w:pStyle w:val="Prrafodelista"/>
        <w:tabs>
          <w:tab w:val="left" w:pos="148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Las obligaciones son títulos de crédito que incorporan una parte proporcional de un crédito colectivo constituido a cargo de una empresa que cotiza en la Bolsa Mexicana de Valores.</w:t>
      </w:r>
    </w:p>
    <w:p w:rsidR="00E25881" w:rsidRPr="00670830" w:rsidRDefault="003B0EB0"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[http://www.bancomer.com]</w:t>
      </w:r>
    </w:p>
    <w:p w:rsidR="00950514" w:rsidRPr="00670830" w:rsidRDefault="00950514" w:rsidP="00670830">
      <w:pPr>
        <w:pStyle w:val="Ttulo3"/>
        <w:tabs>
          <w:tab w:val="left" w:pos="4530"/>
        </w:tabs>
        <w:spacing w:before="100" w:beforeAutospacing="1" w:after="100" w:afterAutospacing="1" w:line="360" w:lineRule="auto"/>
        <w:jc w:val="both"/>
        <w:rPr>
          <w:rFonts w:ascii="Arial" w:eastAsia="Arial Unicode MS" w:hAnsi="Arial" w:cs="Arial"/>
          <w:color w:val="auto"/>
          <w:sz w:val="24"/>
          <w:szCs w:val="24"/>
        </w:rPr>
      </w:pPr>
      <w:bookmarkStart w:id="9" w:name="_Toc488230486"/>
      <w:r w:rsidRPr="00670830">
        <w:rPr>
          <w:rFonts w:ascii="Arial" w:eastAsia="Arial Unicode MS" w:hAnsi="Arial" w:cs="Arial"/>
          <w:color w:val="auto"/>
          <w:sz w:val="24"/>
          <w:szCs w:val="24"/>
        </w:rPr>
        <w:t>1.3.2. Mercado cambiario o de divisas</w:t>
      </w:r>
      <w:bookmarkEnd w:id="9"/>
      <w:r w:rsidR="00482D63" w:rsidRPr="00670830">
        <w:rPr>
          <w:rFonts w:ascii="Arial" w:eastAsia="Arial Unicode MS" w:hAnsi="Arial" w:cs="Arial"/>
          <w:color w:val="auto"/>
          <w:sz w:val="24"/>
          <w:szCs w:val="24"/>
        </w:rPr>
        <w:tab/>
      </w:r>
    </w:p>
    <w:p w:rsidR="00950514" w:rsidRPr="00670830" w:rsidRDefault="00950514" w:rsidP="00670830">
      <w:pPr>
        <w:tabs>
          <w:tab w:val="left" w:pos="264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Es el lugar en que concurren oferentes y demandantes de monedas de curso extranjero. El volumen de transacciones con monedas extranjeras determina los precios diarios de unas monedas en función de otras, o el tipo de cambio con respecto a la moneda nacional.</w:t>
      </w:r>
    </w:p>
    <w:p w:rsidR="006B09A7" w:rsidRPr="00670830" w:rsidRDefault="006B09A7" w:rsidP="00670830">
      <w:pPr>
        <w:tabs>
          <w:tab w:val="left" w:pos="264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[http://www.banxico.org.mx/sistema-financiero/material-educativo/basico/fichas/estructura-del-sistema-financiero/]</w:t>
      </w:r>
    </w:p>
    <w:p w:rsidR="00050E07" w:rsidRPr="00670830" w:rsidRDefault="00050E07" w:rsidP="00670830">
      <w:pPr>
        <w:tabs>
          <w:tab w:val="left" w:pos="264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El mercado cambiario o también conocido </w:t>
      </w:r>
      <w:r w:rsidR="00A76FA0" w:rsidRPr="00670830">
        <w:rPr>
          <w:rFonts w:ascii="Arial" w:eastAsia="Arial Unicode MS" w:hAnsi="Arial" w:cs="Arial"/>
          <w:sz w:val="24"/>
          <w:szCs w:val="24"/>
        </w:rPr>
        <w:t xml:space="preserve">como mercado de divisas o </w:t>
      </w:r>
      <w:proofErr w:type="spellStart"/>
      <w:r w:rsidR="00A76FA0" w:rsidRPr="00670830">
        <w:rPr>
          <w:rFonts w:ascii="Arial" w:eastAsia="Arial Unicode MS" w:hAnsi="Arial" w:cs="Arial"/>
          <w:sz w:val="24"/>
          <w:szCs w:val="24"/>
        </w:rPr>
        <w:t>forex</w:t>
      </w:r>
      <w:proofErr w:type="spellEnd"/>
      <w:r w:rsidR="00892588" w:rsidRPr="00670830">
        <w:rPr>
          <w:rFonts w:ascii="Arial" w:eastAsia="Arial Unicode MS" w:hAnsi="Arial" w:cs="Arial"/>
          <w:sz w:val="24"/>
          <w:szCs w:val="24"/>
        </w:rPr>
        <w:t>, e</w:t>
      </w:r>
      <w:r w:rsidRPr="00670830">
        <w:rPr>
          <w:rFonts w:ascii="Arial" w:eastAsia="Arial Unicode MS" w:hAnsi="Arial" w:cs="Arial"/>
          <w:sz w:val="24"/>
          <w:szCs w:val="24"/>
        </w:rPr>
        <w:t>s considerado el mayor mercado financiero del mundo. El tipo de cambio representa una variable macroeconómica fundamental para cualquier economía.</w:t>
      </w:r>
    </w:p>
    <w:p w:rsidR="00050E07" w:rsidRPr="00670830" w:rsidRDefault="00050E07" w:rsidP="00670830">
      <w:pPr>
        <w:tabs>
          <w:tab w:val="left" w:pos="264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 Las cotizaciones están dadas por los tipos de cambio de las divisas en cuestión, informan sobre el precio al cual se debe de comprar o vender una divisa, el comportamiento del mercado cambiario y la posición que desea tener el operador de la mesa de cambios. Las cotizaciones se fijan, en términos generales, por la relación de oferta y demanda. Las tasas de cambio de una divisa en términos de otra permiten facilitar los intercambios comerciales. [http://www.divisasforex.com]</w:t>
      </w:r>
    </w:p>
    <w:p w:rsidR="00B5594B" w:rsidRPr="00670830" w:rsidRDefault="00B5594B" w:rsidP="00670830">
      <w:pPr>
        <w:tabs>
          <w:tab w:val="left" w:pos="264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Por lo general, los bancos centrales juegan un papel fundamental en el mercado cambiario, ya que lo vigilan y lo regulan con el fin de evitar que éste afecte a la economía como un todo. Mucho de lo que ocurre en el mercado cambiario es reflejo de la intervención del banco central y de las modalidades de tipo</w:t>
      </w:r>
      <w:r w:rsidR="00892588" w:rsidRPr="00670830">
        <w:rPr>
          <w:rFonts w:ascii="Arial" w:eastAsia="Arial Unicode MS" w:hAnsi="Arial" w:cs="Arial"/>
          <w:sz w:val="24"/>
          <w:szCs w:val="24"/>
        </w:rPr>
        <w:t>s de cambio que se establezcan.</w:t>
      </w:r>
    </w:p>
    <w:p w:rsidR="00050E07" w:rsidRPr="00670830" w:rsidRDefault="00B5594B" w:rsidP="00670830">
      <w:pPr>
        <w:tabs>
          <w:tab w:val="left" w:pos="264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En los casos en los que se restringen mucho las libertades en los mercados cambiarios, suelen surgir mercados (cambiarios) paralelos que buscan satisfacer las necesidades de los agentes económicos que no están satisfechos con las restricciones para el intercambio de divisas.</w:t>
      </w:r>
    </w:p>
    <w:p w:rsidR="00B5594B" w:rsidRPr="00670830" w:rsidRDefault="00B5594B" w:rsidP="00670830">
      <w:pPr>
        <w:tabs>
          <w:tab w:val="left" w:pos="264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mercado cambiario permite realizar la compra o venta de divisas. Su manera de operar difiere de entre otros mercados financieros como lo son el mercado accionario o el mercado de bonos, ya que no necesita un lugar establecido para operar, se puede llevar a cabo en distintas instalaciones como ventanillas bancarias, casas de cambio o a través de una computadora o teléfonos.</w:t>
      </w:r>
    </w:p>
    <w:p w:rsidR="00B5594B" w:rsidRPr="00670830" w:rsidRDefault="00B5594B" w:rsidP="00670830">
      <w:pPr>
        <w:tabs>
          <w:tab w:val="left" w:pos="264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precio al que se adquieren las divisas se conoce como tipo de cambio, el cual es determinado por la oferta y demanda de divisas. El mercado cambiario está disponible prácticamente las 24 horas del día debido a que siempre habrá alguna persona en alguna parte del mundo que tenga la necesidad de cambiar su moneda por otra.</w:t>
      </w:r>
    </w:p>
    <w:p w:rsidR="00B5594B" w:rsidRPr="00670830" w:rsidRDefault="00B5594B" w:rsidP="00670830">
      <w:pPr>
        <w:tabs>
          <w:tab w:val="left" w:pos="264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En México, la política cambiaria es responsabilidad de la Comisión de Cambios, la cual está integrada por funcionarios de la Secretaría de Hacienda y Crédito Público y el Banco de México. A finales de 1994, dicha Comisión acordó que el tipo de cambio fuera determinado libremente por </w:t>
      </w:r>
      <w:r w:rsidR="00AF2244" w:rsidRPr="00670830">
        <w:rPr>
          <w:rFonts w:ascii="Arial" w:eastAsia="Arial Unicode MS" w:hAnsi="Arial" w:cs="Arial"/>
          <w:sz w:val="24"/>
          <w:szCs w:val="24"/>
        </w:rPr>
        <w:t>las fuerzas del mercado (tipo de cambio flexible o flotante).</w:t>
      </w:r>
    </w:p>
    <w:p w:rsidR="00AF2244" w:rsidRPr="00670830" w:rsidRDefault="00AF2244" w:rsidP="00670830">
      <w:pPr>
        <w:tabs>
          <w:tab w:val="left" w:pos="264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[http://www.banxico.org.mx/portal-mercado-cambiario/index.html]</w:t>
      </w:r>
    </w:p>
    <w:p w:rsidR="00AF2244" w:rsidRPr="00670830" w:rsidRDefault="00AF2244" w:rsidP="00670830">
      <w:pPr>
        <w:tabs>
          <w:tab w:val="left" w:pos="2640"/>
        </w:tabs>
        <w:spacing w:before="100" w:beforeAutospacing="1" w:after="100" w:afterAutospacing="1" w:line="360" w:lineRule="auto"/>
        <w:jc w:val="both"/>
        <w:rPr>
          <w:rFonts w:ascii="Arial" w:eastAsia="Arial Unicode MS" w:hAnsi="Arial" w:cs="Arial"/>
          <w:sz w:val="24"/>
          <w:szCs w:val="24"/>
        </w:rPr>
      </w:pPr>
    </w:p>
    <w:p w:rsidR="00483F6F" w:rsidRPr="00670830" w:rsidRDefault="00483F6F" w:rsidP="00670830">
      <w:pPr>
        <w:pStyle w:val="Ttulo3"/>
        <w:spacing w:before="100" w:beforeAutospacing="1" w:after="100" w:afterAutospacing="1" w:line="360" w:lineRule="auto"/>
        <w:jc w:val="both"/>
        <w:rPr>
          <w:rFonts w:ascii="Arial" w:eastAsia="Arial Unicode MS" w:hAnsi="Arial" w:cs="Arial"/>
          <w:color w:val="auto"/>
          <w:sz w:val="24"/>
          <w:szCs w:val="24"/>
        </w:rPr>
      </w:pPr>
      <w:bookmarkStart w:id="10" w:name="_Toc488230487"/>
      <w:r w:rsidRPr="00670830">
        <w:rPr>
          <w:rFonts w:ascii="Arial" w:eastAsia="Arial Unicode MS" w:hAnsi="Arial" w:cs="Arial"/>
          <w:color w:val="auto"/>
          <w:sz w:val="24"/>
          <w:szCs w:val="24"/>
        </w:rPr>
        <w:t>1.3.3. Mercado de derivados</w:t>
      </w:r>
      <w:bookmarkEnd w:id="10"/>
    </w:p>
    <w:p w:rsidR="00483F6F" w:rsidRPr="00670830" w:rsidRDefault="00483F6F"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Es aquel a través del cual las partes celebran contratos con instrumentos cuyo valor depende o es contingente del valor de otro(s) activo(s), denominado(s) activo(s) subyacente(s). </w:t>
      </w:r>
    </w:p>
    <w:p w:rsidR="005C604F" w:rsidRPr="00670830" w:rsidRDefault="005C604F"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derivados son instrumentos diseñados para manejar riesgos financieros de manera eficiente. Un contrato de derivados puede ser definido, generalmente, como un contrato privado cuyo valor deriva del precio de un activo subyacente, tasa de referencia, a algún índice como una acción, bono, tipo de cambio, o inclusive el precio de alguna materia prima. Dicho contrato también especifica un valor nocional, definido en términos de la moneda, acciones o en alguna otra unidad. En contraste con otros instrumentos, como las acciones o los bonos, que son emitidos para atraer capital, los derivados son contratos, o acuerdos privados entre dos partes.</w:t>
      </w:r>
    </w:p>
    <w:p w:rsidR="005C604F" w:rsidRPr="00670830" w:rsidRDefault="005C604F"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El ejemplo más sencillo de un contrato de derivados, es un contrato de Futuro sobre una moneda extranjera, el cual es una promesa de comprar un monto fijo (nocional) a un precio establecido en una fecha futura. Este contrato se puede usar, en primera instancia, por una compañía que importa productos extranjeros para los cuales el costo se factura en una moneda extranjera. La firma importadora podría comprar el futuro sobre la moneda extranjera buscando eliminar el riesgo de las fluctuaciones en el tipo de cambio. </w:t>
      </w:r>
    </w:p>
    <w:p w:rsidR="005C604F" w:rsidRPr="00670830" w:rsidRDefault="005C604F"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w:t>
      </w:r>
      <w:proofErr w:type="spellStart"/>
      <w:r w:rsidRPr="00670830">
        <w:rPr>
          <w:rFonts w:ascii="Arial" w:eastAsia="Arial Unicode MS" w:hAnsi="Arial" w:cs="Arial"/>
          <w:sz w:val="24"/>
          <w:szCs w:val="24"/>
        </w:rPr>
        <w:t>Jorion</w:t>
      </w:r>
      <w:proofErr w:type="spellEnd"/>
      <w:r w:rsidRPr="00670830">
        <w:rPr>
          <w:rFonts w:ascii="Arial" w:eastAsia="Arial Unicode MS" w:hAnsi="Arial" w:cs="Arial"/>
          <w:sz w:val="24"/>
          <w:szCs w:val="24"/>
        </w:rPr>
        <w:t>, 2007]</w:t>
      </w:r>
    </w:p>
    <w:p w:rsidR="005C604F" w:rsidRPr="00670830" w:rsidRDefault="005C604F" w:rsidP="00670830">
      <w:pPr>
        <w:spacing w:before="100" w:beforeAutospacing="1" w:after="100" w:afterAutospacing="1" w:line="360" w:lineRule="auto"/>
        <w:jc w:val="both"/>
        <w:rPr>
          <w:rFonts w:ascii="Arial" w:eastAsia="Arial Unicode MS" w:hAnsi="Arial" w:cs="Arial"/>
          <w:sz w:val="24"/>
          <w:szCs w:val="24"/>
        </w:rPr>
      </w:pPr>
    </w:p>
    <w:p w:rsidR="00483F6F" w:rsidRPr="00670830" w:rsidRDefault="00483F6F"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función primordial del mercado de derivados consiste en proveer instrumentos financieros de cobertura o inversión que fomenten una adecuada administración de riesgos.</w:t>
      </w:r>
    </w:p>
    <w:p w:rsidR="00483F6F" w:rsidRPr="00670830" w:rsidRDefault="00483F6F"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mercado de derivados se divide en:</w:t>
      </w:r>
    </w:p>
    <w:p w:rsidR="00483F6F" w:rsidRPr="00670830" w:rsidRDefault="00483F6F" w:rsidP="00670830">
      <w:pPr>
        <w:pStyle w:val="Prrafodelista"/>
        <w:numPr>
          <w:ilvl w:val="0"/>
          <w:numId w:val="10"/>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Mercado bursátil:</w:t>
      </w:r>
      <w:r w:rsidRPr="00670830">
        <w:rPr>
          <w:rFonts w:ascii="Arial" w:eastAsia="Arial Unicode MS" w:hAnsi="Arial" w:cs="Arial"/>
          <w:sz w:val="24"/>
          <w:szCs w:val="24"/>
        </w:rPr>
        <w:t xml:space="preserve"> es aquel en el que las transacciones se realizan en una bolsa reconocida. En México la bolsa de derivados se denomina: Mercado </w:t>
      </w:r>
      <w:r w:rsidR="00F17BC6" w:rsidRPr="00670830">
        <w:rPr>
          <w:rFonts w:ascii="Arial" w:eastAsia="Arial Unicode MS" w:hAnsi="Arial" w:cs="Arial"/>
          <w:sz w:val="24"/>
          <w:szCs w:val="24"/>
        </w:rPr>
        <w:t>Mexicano de Derivados (</w:t>
      </w:r>
      <w:proofErr w:type="spellStart"/>
      <w:r w:rsidR="00F17BC6" w:rsidRPr="00670830">
        <w:rPr>
          <w:rFonts w:ascii="Arial" w:eastAsia="Arial Unicode MS" w:hAnsi="Arial" w:cs="Arial"/>
          <w:sz w:val="24"/>
          <w:szCs w:val="24"/>
        </w:rPr>
        <w:t>MexDer</w:t>
      </w:r>
      <w:proofErr w:type="spellEnd"/>
      <w:r w:rsidR="00F17BC6" w:rsidRPr="00670830">
        <w:rPr>
          <w:rFonts w:ascii="Arial" w:eastAsia="Arial Unicode MS" w:hAnsi="Arial" w:cs="Arial"/>
          <w:sz w:val="24"/>
          <w:szCs w:val="24"/>
        </w:rPr>
        <w:t>)</w:t>
      </w:r>
      <w:r w:rsidRPr="00670830">
        <w:rPr>
          <w:rFonts w:ascii="Arial" w:eastAsia="Arial Unicode MS" w:hAnsi="Arial" w:cs="Arial"/>
          <w:sz w:val="24"/>
          <w:szCs w:val="24"/>
        </w:rPr>
        <w:t xml:space="preserve">. Actualmente </w:t>
      </w:r>
      <w:proofErr w:type="spellStart"/>
      <w:r w:rsidRPr="00670830">
        <w:rPr>
          <w:rFonts w:ascii="Arial" w:eastAsia="Arial Unicode MS" w:hAnsi="Arial" w:cs="Arial"/>
          <w:sz w:val="24"/>
          <w:szCs w:val="24"/>
        </w:rPr>
        <w:t>MexDer</w:t>
      </w:r>
      <w:proofErr w:type="spellEnd"/>
      <w:r w:rsidRPr="00670830">
        <w:rPr>
          <w:rFonts w:ascii="Arial" w:eastAsia="Arial Unicode MS" w:hAnsi="Arial" w:cs="Arial"/>
          <w:sz w:val="24"/>
          <w:szCs w:val="24"/>
        </w:rPr>
        <w:t xml:space="preserve"> opera contratos de futuro y de opción sobre los siguientes activos financieros: dólar, euro, bonos, acciones, índices y tasas de interés. </w:t>
      </w:r>
    </w:p>
    <w:p w:rsidR="00B3483C" w:rsidRPr="00670830" w:rsidRDefault="00B3483C" w:rsidP="00670830">
      <w:pPr>
        <w:pStyle w:val="Prrafodelista"/>
        <w:spacing w:before="100" w:beforeAutospacing="1" w:after="100" w:afterAutospacing="1" w:line="360" w:lineRule="auto"/>
        <w:jc w:val="both"/>
        <w:rPr>
          <w:rFonts w:ascii="Arial" w:eastAsia="Arial Unicode MS" w:hAnsi="Arial" w:cs="Arial"/>
          <w:sz w:val="24"/>
          <w:szCs w:val="24"/>
        </w:rPr>
      </w:pPr>
    </w:p>
    <w:p w:rsidR="00483F6F" w:rsidRPr="00670830" w:rsidRDefault="00483F6F" w:rsidP="00670830">
      <w:pPr>
        <w:pStyle w:val="Prrafodelista"/>
        <w:numPr>
          <w:ilvl w:val="0"/>
          <w:numId w:val="10"/>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Mercado extrabursátil:</w:t>
      </w:r>
      <w:r w:rsidRPr="00670830">
        <w:rPr>
          <w:rFonts w:ascii="Arial" w:eastAsia="Arial Unicode MS" w:hAnsi="Arial" w:cs="Arial"/>
          <w:sz w:val="24"/>
          <w:szCs w:val="24"/>
        </w:rPr>
        <w:t xml:space="preserve"> es aquel en el cual se pactan las operaciones directamente entre compradores y vendedores, sin que exista una contraparte central que disminuya el riesgo de crédito.</w:t>
      </w:r>
    </w:p>
    <w:p w:rsidR="00F17BC6" w:rsidRPr="00670830" w:rsidRDefault="00F17BC6" w:rsidP="00670830">
      <w:pPr>
        <w:tabs>
          <w:tab w:val="left" w:pos="381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[http://www.banxico.org.mx]</w:t>
      </w:r>
      <w:r w:rsidRPr="00670830">
        <w:rPr>
          <w:rFonts w:ascii="Arial" w:eastAsia="Arial Unicode MS" w:hAnsi="Arial" w:cs="Arial"/>
          <w:sz w:val="24"/>
          <w:szCs w:val="24"/>
        </w:rPr>
        <w:tab/>
      </w:r>
    </w:p>
    <w:p w:rsidR="00255027" w:rsidRPr="00670830" w:rsidRDefault="00F17BC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historia marca el origen de los mercados de futuros y opciones financieros en la ciudad de Chicago, considerado el centro financiero más importante en lo que a productos derivados se refiere. Este mercado empezó desde finales del siglo XIX con los agricultores al tener la necesidad de asegurar el precio de sus cosechas.</w:t>
      </w:r>
    </w:p>
    <w:p w:rsidR="00B849FA" w:rsidRPr="00670830" w:rsidRDefault="00F17BC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En México el mercado de derivados tiene relativamente poco tiempo, el cual inició operaciones el 15 de diciembre de 1998 al listar contratos de futuros sobre subyacentes financieros, siendo constituida como una sociedad anónima de capital variable, autorizada por la Secretaría de Hacienda y Crédito Público (SHCP). Con este hecho, se da uno de los avances más significativos en el proceso de desarrollo e internacionalización del Sistema Financiero Mexicano.</w:t>
      </w:r>
    </w:p>
    <w:p w:rsidR="005C604F" w:rsidRPr="00670830" w:rsidRDefault="005C604F" w:rsidP="00670830">
      <w:pPr>
        <w:spacing w:before="100" w:beforeAutospacing="1" w:after="100" w:afterAutospacing="1" w:line="360" w:lineRule="auto"/>
        <w:jc w:val="both"/>
        <w:rPr>
          <w:rFonts w:ascii="Arial" w:hAnsi="Arial" w:cs="Arial"/>
          <w:sz w:val="24"/>
          <w:szCs w:val="24"/>
        </w:rPr>
      </w:pPr>
      <w:proofErr w:type="spellStart"/>
      <w:r w:rsidRPr="00670830">
        <w:rPr>
          <w:rFonts w:ascii="Arial" w:hAnsi="Arial" w:cs="Arial"/>
          <w:sz w:val="24"/>
          <w:szCs w:val="24"/>
        </w:rPr>
        <w:t>Mexder</w:t>
      </w:r>
      <w:proofErr w:type="spellEnd"/>
      <w:r w:rsidRPr="00670830">
        <w:rPr>
          <w:rFonts w:ascii="Arial" w:hAnsi="Arial" w:cs="Arial"/>
          <w:sz w:val="24"/>
          <w:szCs w:val="24"/>
        </w:rPr>
        <w:t xml:space="preserve"> S.A de C.V. es el mercado Mexicano de Derivados, donde se negocian contratos estandarizados de futuros y opciones que se compensan y liquidan a través de una Cámara de Compensación la cual hace el papel de contraparte para cada transacción realizada. </w:t>
      </w:r>
    </w:p>
    <w:p w:rsidR="005C604F" w:rsidRPr="00670830" w:rsidRDefault="005C604F" w:rsidP="00670830">
      <w:pPr>
        <w:spacing w:before="100" w:beforeAutospacing="1" w:after="100" w:afterAutospacing="1" w:line="360" w:lineRule="auto"/>
        <w:jc w:val="both"/>
        <w:rPr>
          <w:rFonts w:ascii="Arial" w:hAnsi="Arial" w:cs="Arial"/>
          <w:sz w:val="24"/>
          <w:szCs w:val="24"/>
        </w:rPr>
      </w:pPr>
      <w:r w:rsidRPr="00670830">
        <w:rPr>
          <w:rFonts w:ascii="Arial" w:hAnsi="Arial" w:cs="Arial"/>
          <w:sz w:val="24"/>
          <w:szCs w:val="24"/>
        </w:rPr>
        <w:t>La Cámara de Compensación es un Fideicomi</w:t>
      </w:r>
      <w:r w:rsidR="008A69E5" w:rsidRPr="00670830">
        <w:rPr>
          <w:rFonts w:ascii="Arial" w:hAnsi="Arial" w:cs="Arial"/>
          <w:sz w:val="24"/>
          <w:szCs w:val="24"/>
        </w:rPr>
        <w:t xml:space="preserve">so de </w:t>
      </w:r>
      <w:r w:rsidRPr="00670830">
        <w:rPr>
          <w:rFonts w:ascii="Arial" w:hAnsi="Arial" w:cs="Arial"/>
          <w:sz w:val="24"/>
          <w:szCs w:val="24"/>
        </w:rPr>
        <w:t>administración integrada por Socios Liquid</w:t>
      </w:r>
      <w:r w:rsidR="008A69E5" w:rsidRPr="00670830">
        <w:rPr>
          <w:rFonts w:ascii="Arial" w:hAnsi="Arial" w:cs="Arial"/>
          <w:sz w:val="24"/>
          <w:szCs w:val="24"/>
        </w:rPr>
        <w:t>adores y Socios Operadores. Los Socios Liquidadores son Bancos o</w:t>
      </w:r>
      <w:r w:rsidRPr="00670830">
        <w:rPr>
          <w:rFonts w:ascii="Arial" w:hAnsi="Arial" w:cs="Arial"/>
          <w:sz w:val="24"/>
          <w:szCs w:val="24"/>
        </w:rPr>
        <w:t xml:space="preserve"> Casas de Bo</w:t>
      </w:r>
      <w:r w:rsidR="008A69E5" w:rsidRPr="00670830">
        <w:rPr>
          <w:rFonts w:ascii="Arial" w:hAnsi="Arial" w:cs="Arial"/>
          <w:sz w:val="24"/>
          <w:szCs w:val="24"/>
        </w:rPr>
        <w:t xml:space="preserve">lsa que precisamente liquidan o </w:t>
      </w:r>
      <w:r w:rsidRPr="00670830">
        <w:rPr>
          <w:rFonts w:ascii="Arial" w:hAnsi="Arial" w:cs="Arial"/>
          <w:sz w:val="24"/>
          <w:szCs w:val="24"/>
        </w:rPr>
        <w:t>celebran contratos operados en la bolsa. Los Soc</w:t>
      </w:r>
      <w:r w:rsidR="008A69E5" w:rsidRPr="00670830">
        <w:rPr>
          <w:rFonts w:ascii="Arial" w:hAnsi="Arial" w:cs="Arial"/>
          <w:sz w:val="24"/>
          <w:szCs w:val="24"/>
        </w:rPr>
        <w:t xml:space="preserve">ios Operadores pueden ser tanto </w:t>
      </w:r>
      <w:r w:rsidRPr="00670830">
        <w:rPr>
          <w:rFonts w:ascii="Arial" w:hAnsi="Arial" w:cs="Arial"/>
          <w:sz w:val="24"/>
          <w:szCs w:val="24"/>
        </w:rPr>
        <w:t>Bancos, Casas de Bolsa, como personas físicas y</w:t>
      </w:r>
      <w:r w:rsidR="008A69E5" w:rsidRPr="00670830">
        <w:rPr>
          <w:rFonts w:ascii="Arial" w:hAnsi="Arial" w:cs="Arial"/>
          <w:sz w:val="24"/>
          <w:szCs w:val="24"/>
        </w:rPr>
        <w:t xml:space="preserve">/o morales que están facultadas </w:t>
      </w:r>
      <w:r w:rsidRPr="00670830">
        <w:rPr>
          <w:rFonts w:ascii="Arial" w:hAnsi="Arial" w:cs="Arial"/>
          <w:sz w:val="24"/>
          <w:szCs w:val="24"/>
        </w:rPr>
        <w:t>a través del Socio Liquidador para celebrar contratos.</w:t>
      </w:r>
    </w:p>
    <w:p w:rsidR="005C604F" w:rsidRPr="00670830" w:rsidRDefault="005C604F" w:rsidP="00670830">
      <w:pPr>
        <w:spacing w:before="100" w:beforeAutospacing="1" w:after="100" w:afterAutospacing="1" w:line="360" w:lineRule="auto"/>
        <w:jc w:val="both"/>
        <w:rPr>
          <w:rFonts w:ascii="Arial" w:hAnsi="Arial" w:cs="Arial"/>
          <w:sz w:val="24"/>
          <w:szCs w:val="24"/>
        </w:rPr>
      </w:pPr>
      <w:r w:rsidRPr="00670830">
        <w:rPr>
          <w:rFonts w:ascii="Arial" w:hAnsi="Arial" w:cs="Arial"/>
          <w:sz w:val="24"/>
          <w:szCs w:val="24"/>
        </w:rPr>
        <w:t>Toda aquella persona que desee adquirir un cont</w:t>
      </w:r>
      <w:r w:rsidR="00EB6EC7" w:rsidRPr="00670830">
        <w:rPr>
          <w:rFonts w:ascii="Arial" w:hAnsi="Arial" w:cs="Arial"/>
          <w:sz w:val="24"/>
          <w:szCs w:val="24"/>
        </w:rPr>
        <w:t xml:space="preserve">rato de compra-venta de futuros </w:t>
      </w:r>
      <w:r w:rsidRPr="00670830">
        <w:rPr>
          <w:rFonts w:ascii="Arial" w:hAnsi="Arial" w:cs="Arial"/>
          <w:sz w:val="24"/>
          <w:szCs w:val="24"/>
        </w:rPr>
        <w:t>u opciones, deposita un margen en la Cámara de Compensación, el margen es un</w:t>
      </w:r>
      <w:r w:rsidR="00A23D66" w:rsidRPr="00670830">
        <w:rPr>
          <w:rFonts w:ascii="Arial" w:hAnsi="Arial" w:cs="Arial"/>
          <w:sz w:val="24"/>
          <w:szCs w:val="24"/>
        </w:rPr>
        <w:t xml:space="preserve"> </w:t>
      </w:r>
      <w:r w:rsidRPr="00670830">
        <w:rPr>
          <w:rFonts w:ascii="Arial" w:hAnsi="Arial" w:cs="Arial"/>
          <w:sz w:val="24"/>
          <w:szCs w:val="24"/>
        </w:rPr>
        <w:t>depósito obligatorio (determinado porcentaje del val</w:t>
      </w:r>
      <w:r w:rsidR="00A23D66" w:rsidRPr="00670830">
        <w:rPr>
          <w:rFonts w:ascii="Arial" w:hAnsi="Arial" w:cs="Arial"/>
          <w:sz w:val="24"/>
          <w:szCs w:val="24"/>
        </w:rPr>
        <w:t>or del contrato) que le permite cubrir el riesgo asumido. T</w:t>
      </w:r>
      <w:r w:rsidRPr="00670830">
        <w:rPr>
          <w:rFonts w:ascii="Arial" w:hAnsi="Arial" w:cs="Arial"/>
          <w:sz w:val="24"/>
          <w:szCs w:val="24"/>
        </w:rPr>
        <w:t>iene la función</w:t>
      </w:r>
      <w:r w:rsidR="00A23D66" w:rsidRPr="00670830">
        <w:rPr>
          <w:rFonts w:ascii="Arial" w:hAnsi="Arial" w:cs="Arial"/>
          <w:sz w:val="24"/>
          <w:szCs w:val="24"/>
        </w:rPr>
        <w:t xml:space="preserve"> de una garantía que asegura el </w:t>
      </w:r>
      <w:r w:rsidRPr="00670830">
        <w:rPr>
          <w:rFonts w:ascii="Arial" w:hAnsi="Arial" w:cs="Arial"/>
          <w:sz w:val="24"/>
          <w:szCs w:val="24"/>
        </w:rPr>
        <w:t>cumplimiento de ambas partes, tanto del vended</w:t>
      </w:r>
      <w:r w:rsidR="00A23D66" w:rsidRPr="00670830">
        <w:rPr>
          <w:rFonts w:ascii="Arial" w:hAnsi="Arial" w:cs="Arial"/>
          <w:sz w:val="24"/>
          <w:szCs w:val="24"/>
        </w:rPr>
        <w:t xml:space="preserve">or (al cual se le llama corto), </w:t>
      </w:r>
      <w:r w:rsidRPr="00670830">
        <w:rPr>
          <w:rFonts w:ascii="Arial" w:hAnsi="Arial" w:cs="Arial"/>
          <w:sz w:val="24"/>
          <w:szCs w:val="24"/>
        </w:rPr>
        <w:t>como del comprador (al cual se le llama largo).</w:t>
      </w:r>
    </w:p>
    <w:p w:rsidR="00B3483C" w:rsidRPr="00670830" w:rsidRDefault="005C604F" w:rsidP="00670830">
      <w:pPr>
        <w:spacing w:before="100" w:beforeAutospacing="1" w:after="100" w:afterAutospacing="1" w:line="360" w:lineRule="auto"/>
        <w:jc w:val="both"/>
        <w:rPr>
          <w:rFonts w:ascii="Arial" w:hAnsi="Arial" w:cs="Arial"/>
          <w:sz w:val="24"/>
          <w:szCs w:val="24"/>
        </w:rPr>
      </w:pPr>
      <w:r w:rsidRPr="00670830">
        <w:rPr>
          <w:rFonts w:ascii="Arial" w:hAnsi="Arial" w:cs="Arial"/>
          <w:sz w:val="24"/>
          <w:szCs w:val="24"/>
        </w:rPr>
        <w:t>Tanto los futuros como las opciones son herramie</w:t>
      </w:r>
      <w:r w:rsidR="00A23D66" w:rsidRPr="00670830">
        <w:rPr>
          <w:rFonts w:ascii="Arial" w:hAnsi="Arial" w:cs="Arial"/>
          <w:sz w:val="24"/>
          <w:szCs w:val="24"/>
        </w:rPr>
        <w:t xml:space="preserve">ntas empleadas para neutralizar </w:t>
      </w:r>
      <w:r w:rsidRPr="00670830">
        <w:rPr>
          <w:rFonts w:ascii="Arial" w:hAnsi="Arial" w:cs="Arial"/>
          <w:sz w:val="24"/>
          <w:szCs w:val="24"/>
        </w:rPr>
        <w:t>los riesgos de tasas de interés, de tasas cambiarías y de p</w:t>
      </w:r>
      <w:r w:rsidR="00A23D66" w:rsidRPr="00670830">
        <w:rPr>
          <w:rFonts w:ascii="Arial" w:hAnsi="Arial" w:cs="Arial"/>
          <w:sz w:val="24"/>
          <w:szCs w:val="24"/>
        </w:rPr>
        <w:t xml:space="preserve">recio. Se dice que estos </w:t>
      </w:r>
      <w:r w:rsidRPr="00670830">
        <w:rPr>
          <w:rFonts w:ascii="Arial" w:hAnsi="Arial" w:cs="Arial"/>
          <w:sz w:val="24"/>
          <w:szCs w:val="24"/>
        </w:rPr>
        <w:t>contratos son estandarizados por que el inversi</w:t>
      </w:r>
      <w:r w:rsidR="00A23D66" w:rsidRPr="00670830">
        <w:rPr>
          <w:rFonts w:ascii="Arial" w:hAnsi="Arial" w:cs="Arial"/>
          <w:sz w:val="24"/>
          <w:szCs w:val="24"/>
        </w:rPr>
        <w:t xml:space="preserve">onista no puede fijar fechas de </w:t>
      </w:r>
      <w:r w:rsidRPr="00670830">
        <w:rPr>
          <w:rFonts w:ascii="Arial" w:hAnsi="Arial" w:cs="Arial"/>
          <w:sz w:val="24"/>
          <w:szCs w:val="24"/>
        </w:rPr>
        <w:t>vencimiento, tamaños del contrato, condiciones de</w:t>
      </w:r>
      <w:r w:rsidR="00A23D66" w:rsidRPr="00670830">
        <w:rPr>
          <w:rFonts w:ascii="Arial" w:hAnsi="Arial" w:cs="Arial"/>
          <w:sz w:val="24"/>
          <w:szCs w:val="24"/>
        </w:rPr>
        <w:t xml:space="preserve"> entrega, lo único que se puede </w:t>
      </w:r>
      <w:r w:rsidRPr="00670830">
        <w:rPr>
          <w:rFonts w:ascii="Arial" w:hAnsi="Arial" w:cs="Arial"/>
          <w:sz w:val="24"/>
          <w:szCs w:val="24"/>
        </w:rPr>
        <w:t>negociar es el precio.</w:t>
      </w:r>
    </w:p>
    <w:p w:rsidR="00FD0894" w:rsidRPr="00670830" w:rsidRDefault="00DA6E41" w:rsidP="00670830">
      <w:pPr>
        <w:pStyle w:val="Ttulo3"/>
        <w:spacing w:before="100" w:beforeAutospacing="1" w:after="100" w:afterAutospacing="1" w:line="360" w:lineRule="auto"/>
        <w:jc w:val="both"/>
        <w:rPr>
          <w:rFonts w:ascii="Arial" w:hAnsi="Arial" w:cs="Arial"/>
          <w:sz w:val="24"/>
          <w:szCs w:val="24"/>
        </w:rPr>
      </w:pPr>
      <w:bookmarkStart w:id="11" w:name="_Toc488230488"/>
      <w:r w:rsidRPr="00670830">
        <w:rPr>
          <w:rFonts w:ascii="Arial" w:eastAsia="Arial Unicode MS" w:hAnsi="Arial" w:cs="Arial"/>
          <w:color w:val="auto"/>
          <w:sz w:val="24"/>
          <w:szCs w:val="24"/>
        </w:rPr>
        <w:t>1.3.3.1 Los Futuros</w:t>
      </w:r>
      <w:bookmarkEnd w:id="11"/>
    </w:p>
    <w:p w:rsidR="00DA6E41" w:rsidRPr="00670830" w:rsidRDefault="00DA6E41" w:rsidP="00670830">
      <w:pPr>
        <w:spacing w:before="100" w:beforeAutospacing="1" w:after="100" w:afterAutospacing="1" w:line="360" w:lineRule="auto"/>
        <w:jc w:val="both"/>
        <w:rPr>
          <w:rFonts w:ascii="Arial" w:hAnsi="Arial" w:cs="Arial"/>
          <w:sz w:val="24"/>
          <w:szCs w:val="24"/>
        </w:rPr>
      </w:pPr>
      <w:r w:rsidRPr="00670830">
        <w:rPr>
          <w:rFonts w:ascii="Arial" w:hAnsi="Arial" w:cs="Arial"/>
          <w:sz w:val="24"/>
          <w:szCs w:val="24"/>
        </w:rPr>
        <w:t>En los contratos de futuros se involucran dos partes y en la fecha fijada se estipula una acc</w:t>
      </w:r>
      <w:r w:rsidR="002860B7" w:rsidRPr="00670830">
        <w:rPr>
          <w:rFonts w:ascii="Arial" w:hAnsi="Arial" w:cs="Arial"/>
          <w:sz w:val="24"/>
          <w:szCs w:val="24"/>
        </w:rPr>
        <w:t>ión obligatoria ya sea comprar o</w:t>
      </w:r>
      <w:r w:rsidRPr="00670830">
        <w:rPr>
          <w:rFonts w:ascii="Arial" w:hAnsi="Arial" w:cs="Arial"/>
          <w:sz w:val="24"/>
          <w:szCs w:val="24"/>
        </w:rPr>
        <w:t xml:space="preserve"> vende</w:t>
      </w:r>
      <w:r w:rsidR="002860B7" w:rsidRPr="00670830">
        <w:rPr>
          <w:rFonts w:ascii="Arial" w:hAnsi="Arial" w:cs="Arial"/>
          <w:sz w:val="24"/>
          <w:szCs w:val="24"/>
        </w:rPr>
        <w:t>r activos reales</w:t>
      </w:r>
      <w:r w:rsidRPr="00670830">
        <w:rPr>
          <w:rFonts w:ascii="Arial" w:hAnsi="Arial" w:cs="Arial"/>
          <w:sz w:val="24"/>
          <w:szCs w:val="24"/>
        </w:rPr>
        <w:t xml:space="preserve"> o financieros a un precio previamente acordado sin importar la cotización que se tenga en el mercado, es aquí donde la decisión tomada de compra o venta puede representar pérdidas o ganancias.</w:t>
      </w:r>
    </w:p>
    <w:p w:rsidR="00DA6E41" w:rsidRPr="00670830" w:rsidRDefault="00DA6E41" w:rsidP="00670830">
      <w:pPr>
        <w:pStyle w:val="Ttulo3"/>
        <w:spacing w:before="100" w:beforeAutospacing="1" w:after="100" w:afterAutospacing="1" w:line="360" w:lineRule="auto"/>
        <w:jc w:val="both"/>
        <w:rPr>
          <w:rFonts w:ascii="Arial" w:eastAsia="Arial Unicode MS" w:hAnsi="Arial" w:cs="Arial"/>
          <w:color w:val="auto"/>
          <w:sz w:val="24"/>
          <w:szCs w:val="24"/>
        </w:rPr>
      </w:pPr>
      <w:bookmarkStart w:id="12" w:name="_Toc488230489"/>
      <w:r w:rsidRPr="00670830">
        <w:rPr>
          <w:rFonts w:ascii="Arial" w:eastAsia="Arial Unicode MS" w:hAnsi="Arial" w:cs="Arial"/>
          <w:color w:val="auto"/>
          <w:sz w:val="24"/>
          <w:szCs w:val="24"/>
        </w:rPr>
        <w:t>1.3.3.2 Las Opciones</w:t>
      </w:r>
      <w:bookmarkEnd w:id="12"/>
    </w:p>
    <w:p w:rsidR="00DA6E41" w:rsidRPr="00670830" w:rsidRDefault="00DA6E41" w:rsidP="00670830">
      <w:pPr>
        <w:spacing w:line="360" w:lineRule="auto"/>
        <w:jc w:val="both"/>
        <w:rPr>
          <w:rFonts w:ascii="Arial" w:hAnsi="Arial" w:cs="Arial"/>
          <w:sz w:val="24"/>
          <w:szCs w:val="24"/>
        </w:rPr>
      </w:pPr>
      <w:r w:rsidRPr="00670830">
        <w:rPr>
          <w:rFonts w:ascii="Arial" w:hAnsi="Arial" w:cs="Arial"/>
          <w:sz w:val="24"/>
          <w:szCs w:val="24"/>
        </w:rPr>
        <w:t>Al igual que los futuros</w:t>
      </w:r>
      <w:r w:rsidR="00B3483C" w:rsidRPr="00670830">
        <w:rPr>
          <w:rFonts w:ascii="Arial" w:hAnsi="Arial" w:cs="Arial"/>
          <w:sz w:val="24"/>
          <w:szCs w:val="24"/>
        </w:rPr>
        <w:t>, las opciones son un</w:t>
      </w:r>
      <w:r w:rsidRPr="00670830">
        <w:rPr>
          <w:rFonts w:ascii="Arial" w:hAnsi="Arial" w:cs="Arial"/>
          <w:sz w:val="24"/>
          <w:szCs w:val="24"/>
        </w:rPr>
        <w:t xml:space="preserve"> contrato </w:t>
      </w:r>
      <w:r w:rsidR="00B3483C" w:rsidRPr="00670830">
        <w:rPr>
          <w:rFonts w:ascii="Arial" w:hAnsi="Arial" w:cs="Arial"/>
          <w:sz w:val="24"/>
          <w:szCs w:val="24"/>
        </w:rPr>
        <w:t xml:space="preserve">que se celebra </w:t>
      </w:r>
      <w:r w:rsidRPr="00670830">
        <w:rPr>
          <w:rFonts w:ascii="Arial" w:hAnsi="Arial" w:cs="Arial"/>
          <w:sz w:val="24"/>
          <w:szCs w:val="24"/>
        </w:rPr>
        <w:t xml:space="preserve">entre dos </w:t>
      </w:r>
      <w:r w:rsidR="00B3483C" w:rsidRPr="00670830">
        <w:rPr>
          <w:rFonts w:ascii="Arial" w:hAnsi="Arial" w:cs="Arial"/>
          <w:sz w:val="24"/>
          <w:szCs w:val="24"/>
        </w:rPr>
        <w:t>partes, pero a diferencia de éstos</w:t>
      </w:r>
      <w:r w:rsidR="009F5873" w:rsidRPr="00670830">
        <w:rPr>
          <w:rFonts w:ascii="Arial" w:hAnsi="Arial" w:cs="Arial"/>
          <w:sz w:val="24"/>
          <w:szCs w:val="24"/>
        </w:rPr>
        <w:t xml:space="preserve">, en las opciones se tiene el </w:t>
      </w:r>
      <w:r w:rsidRPr="00670830">
        <w:rPr>
          <w:rFonts w:ascii="Arial" w:hAnsi="Arial" w:cs="Arial"/>
          <w:sz w:val="24"/>
          <w:szCs w:val="24"/>
        </w:rPr>
        <w:t xml:space="preserve">derecho de decidir ejercerla cuando </w:t>
      </w:r>
      <w:r w:rsidR="009F5873" w:rsidRPr="00670830">
        <w:rPr>
          <w:rFonts w:ascii="Arial" w:hAnsi="Arial" w:cs="Arial"/>
          <w:sz w:val="24"/>
          <w:szCs w:val="24"/>
        </w:rPr>
        <w:t xml:space="preserve">las condiciones son favorables o no, es decir, </w:t>
      </w:r>
      <w:r w:rsidRPr="00670830">
        <w:rPr>
          <w:rFonts w:ascii="Arial" w:hAnsi="Arial" w:cs="Arial"/>
          <w:sz w:val="24"/>
          <w:szCs w:val="24"/>
        </w:rPr>
        <w:t>las opciones confieren derechos pero no obligaciones.</w:t>
      </w:r>
    </w:p>
    <w:p w:rsidR="00DA6E41" w:rsidRPr="00670830" w:rsidRDefault="00DA6E41" w:rsidP="00670830">
      <w:pPr>
        <w:spacing w:line="360" w:lineRule="auto"/>
        <w:jc w:val="both"/>
        <w:rPr>
          <w:rFonts w:ascii="Arial" w:hAnsi="Arial" w:cs="Arial"/>
          <w:sz w:val="24"/>
          <w:szCs w:val="24"/>
        </w:rPr>
      </w:pPr>
      <w:r w:rsidRPr="00670830">
        <w:rPr>
          <w:rFonts w:ascii="Arial" w:hAnsi="Arial" w:cs="Arial"/>
          <w:sz w:val="24"/>
          <w:szCs w:val="24"/>
        </w:rPr>
        <w:t>Cua</w:t>
      </w:r>
      <w:r w:rsidR="009F5873" w:rsidRPr="00670830">
        <w:rPr>
          <w:rFonts w:ascii="Arial" w:hAnsi="Arial" w:cs="Arial"/>
          <w:sz w:val="24"/>
          <w:szCs w:val="24"/>
        </w:rPr>
        <w:t>ndo se compra una opción se está</w:t>
      </w:r>
      <w:r w:rsidRPr="00670830">
        <w:rPr>
          <w:rFonts w:ascii="Arial" w:hAnsi="Arial" w:cs="Arial"/>
          <w:sz w:val="24"/>
          <w:szCs w:val="24"/>
        </w:rPr>
        <w:t xml:space="preserve"> especul</w:t>
      </w:r>
      <w:r w:rsidR="009F5873" w:rsidRPr="00670830">
        <w:rPr>
          <w:rFonts w:ascii="Arial" w:hAnsi="Arial" w:cs="Arial"/>
          <w:sz w:val="24"/>
          <w:szCs w:val="24"/>
        </w:rPr>
        <w:t xml:space="preserve">ando a que el precio del activo </w:t>
      </w:r>
      <w:r w:rsidRPr="00670830">
        <w:rPr>
          <w:rFonts w:ascii="Arial" w:hAnsi="Arial" w:cs="Arial"/>
          <w:sz w:val="24"/>
          <w:szCs w:val="24"/>
        </w:rPr>
        <w:t>subir</w:t>
      </w:r>
      <w:r w:rsidR="009F5873" w:rsidRPr="00670830">
        <w:rPr>
          <w:rFonts w:ascii="Arial" w:hAnsi="Arial" w:cs="Arial"/>
          <w:sz w:val="24"/>
          <w:szCs w:val="24"/>
        </w:rPr>
        <w:t xml:space="preserve">á arriba del precio acordado </w:t>
      </w:r>
      <w:r w:rsidR="009F5873" w:rsidRPr="00670830">
        <w:rPr>
          <w:rFonts w:ascii="Arial" w:hAnsi="Arial" w:cs="Arial"/>
          <w:b/>
          <w:i/>
          <w:sz w:val="24"/>
          <w:szCs w:val="24"/>
        </w:rPr>
        <w:t>P*</w:t>
      </w:r>
      <w:r w:rsidRPr="00670830">
        <w:rPr>
          <w:rFonts w:ascii="Arial" w:hAnsi="Arial" w:cs="Arial"/>
          <w:sz w:val="24"/>
          <w:szCs w:val="24"/>
        </w:rPr>
        <w:t xml:space="preserve"> y sólo entonces </w:t>
      </w:r>
      <w:r w:rsidR="009F5873" w:rsidRPr="00670830">
        <w:rPr>
          <w:rFonts w:ascii="Arial" w:hAnsi="Arial" w:cs="Arial"/>
          <w:sz w:val="24"/>
          <w:szCs w:val="24"/>
        </w:rPr>
        <w:t xml:space="preserve">se ejercerá el derecho de </w:t>
      </w:r>
      <w:r w:rsidRPr="00670830">
        <w:rPr>
          <w:rFonts w:ascii="Arial" w:hAnsi="Arial" w:cs="Arial"/>
          <w:sz w:val="24"/>
          <w:szCs w:val="24"/>
        </w:rPr>
        <w:t xml:space="preserve">compra, </w:t>
      </w:r>
      <w:r w:rsidR="009F5873" w:rsidRPr="00670830">
        <w:rPr>
          <w:rFonts w:ascii="Arial" w:hAnsi="Arial" w:cs="Arial"/>
          <w:sz w:val="24"/>
          <w:szCs w:val="24"/>
        </w:rPr>
        <w:t xml:space="preserve">es decir, se pagará menos por </w:t>
      </w:r>
      <w:r w:rsidRPr="00670830">
        <w:rPr>
          <w:rFonts w:ascii="Arial" w:hAnsi="Arial" w:cs="Arial"/>
          <w:sz w:val="24"/>
          <w:szCs w:val="24"/>
        </w:rPr>
        <w:t>algo que vale más</w:t>
      </w:r>
      <w:r w:rsidR="009F5873" w:rsidRPr="00670830">
        <w:rPr>
          <w:rFonts w:ascii="Arial" w:hAnsi="Arial" w:cs="Arial"/>
          <w:sz w:val="24"/>
          <w:szCs w:val="24"/>
        </w:rPr>
        <w:t xml:space="preserve">. Lo único </w:t>
      </w:r>
      <w:r w:rsidRPr="00670830">
        <w:rPr>
          <w:rFonts w:ascii="Arial" w:hAnsi="Arial" w:cs="Arial"/>
          <w:sz w:val="24"/>
          <w:szCs w:val="24"/>
        </w:rPr>
        <w:t>que se puede perder sí el precio de cotización no</w:t>
      </w:r>
      <w:r w:rsidR="009F5873" w:rsidRPr="00670830">
        <w:rPr>
          <w:rFonts w:ascii="Arial" w:hAnsi="Arial" w:cs="Arial"/>
          <w:sz w:val="24"/>
          <w:szCs w:val="24"/>
        </w:rPr>
        <w:t xml:space="preserve"> aumenta es la prima pagada por </w:t>
      </w:r>
      <w:r w:rsidRPr="00670830">
        <w:rPr>
          <w:rFonts w:ascii="Arial" w:hAnsi="Arial" w:cs="Arial"/>
          <w:sz w:val="24"/>
          <w:szCs w:val="24"/>
        </w:rPr>
        <w:t>la compra de la opción.</w:t>
      </w:r>
    </w:p>
    <w:p w:rsidR="00DA6E41" w:rsidRPr="00670830" w:rsidRDefault="00DA6E41" w:rsidP="00670830">
      <w:pPr>
        <w:spacing w:line="360" w:lineRule="auto"/>
        <w:jc w:val="both"/>
        <w:rPr>
          <w:rFonts w:ascii="Arial" w:hAnsi="Arial" w:cs="Arial"/>
          <w:sz w:val="24"/>
          <w:szCs w:val="24"/>
        </w:rPr>
      </w:pPr>
      <w:r w:rsidRPr="00670830">
        <w:rPr>
          <w:rFonts w:ascii="Arial" w:hAnsi="Arial" w:cs="Arial"/>
          <w:sz w:val="24"/>
          <w:szCs w:val="24"/>
        </w:rPr>
        <w:t>En caso contrario, cuando se decide adqui</w:t>
      </w:r>
      <w:r w:rsidR="009F5873" w:rsidRPr="00670830">
        <w:rPr>
          <w:rFonts w:ascii="Arial" w:hAnsi="Arial" w:cs="Arial"/>
          <w:sz w:val="24"/>
          <w:szCs w:val="24"/>
        </w:rPr>
        <w:t xml:space="preserve">rir una opción de venta, se está </w:t>
      </w:r>
      <w:r w:rsidRPr="00670830">
        <w:rPr>
          <w:rFonts w:ascii="Arial" w:hAnsi="Arial" w:cs="Arial"/>
          <w:sz w:val="24"/>
          <w:szCs w:val="24"/>
        </w:rPr>
        <w:t>especulando a que el precio del activo disminuirá con respecto al precio acordado</w:t>
      </w:r>
      <w:r w:rsidR="009F5873" w:rsidRPr="00670830">
        <w:rPr>
          <w:rFonts w:ascii="Arial" w:hAnsi="Arial" w:cs="Arial"/>
          <w:sz w:val="24"/>
          <w:szCs w:val="24"/>
        </w:rPr>
        <w:t xml:space="preserve"> </w:t>
      </w:r>
      <w:r w:rsidRPr="00670830">
        <w:rPr>
          <w:rFonts w:ascii="Arial" w:hAnsi="Arial" w:cs="Arial"/>
          <w:b/>
          <w:i/>
          <w:sz w:val="24"/>
          <w:szCs w:val="24"/>
        </w:rPr>
        <w:t>P*</w:t>
      </w:r>
      <w:r w:rsidR="009F5873" w:rsidRPr="00670830">
        <w:rPr>
          <w:rFonts w:ascii="Arial" w:hAnsi="Arial" w:cs="Arial"/>
          <w:sz w:val="24"/>
          <w:szCs w:val="24"/>
        </w:rPr>
        <w:t>,</w:t>
      </w:r>
      <w:r w:rsidRPr="00670830">
        <w:rPr>
          <w:rFonts w:ascii="Arial" w:hAnsi="Arial" w:cs="Arial"/>
          <w:sz w:val="24"/>
          <w:szCs w:val="24"/>
        </w:rPr>
        <w:t xml:space="preserve"> sólo entonce</w:t>
      </w:r>
      <w:r w:rsidR="009F5873" w:rsidRPr="00670830">
        <w:rPr>
          <w:rFonts w:ascii="Arial" w:hAnsi="Arial" w:cs="Arial"/>
          <w:sz w:val="24"/>
          <w:szCs w:val="24"/>
        </w:rPr>
        <w:t>s ejercerá su derecho de venta</w:t>
      </w:r>
      <w:r w:rsidRPr="00670830">
        <w:rPr>
          <w:rFonts w:ascii="Arial" w:hAnsi="Arial" w:cs="Arial"/>
          <w:sz w:val="24"/>
          <w:szCs w:val="24"/>
        </w:rPr>
        <w:t>, es decir, venderá más caro algo que va</w:t>
      </w:r>
      <w:r w:rsidR="009F5873" w:rsidRPr="00670830">
        <w:rPr>
          <w:rFonts w:ascii="Arial" w:hAnsi="Arial" w:cs="Arial"/>
          <w:sz w:val="24"/>
          <w:szCs w:val="24"/>
        </w:rPr>
        <w:t>le menos</w:t>
      </w:r>
      <w:r w:rsidRPr="00670830">
        <w:rPr>
          <w:rFonts w:ascii="Arial" w:hAnsi="Arial" w:cs="Arial"/>
          <w:sz w:val="24"/>
          <w:szCs w:val="24"/>
        </w:rPr>
        <w:t>. Lo único que se puede perder sí el precio</w:t>
      </w:r>
      <w:r w:rsidR="009F5873" w:rsidRPr="00670830">
        <w:rPr>
          <w:rFonts w:ascii="Arial" w:hAnsi="Arial" w:cs="Arial"/>
          <w:sz w:val="24"/>
          <w:szCs w:val="24"/>
        </w:rPr>
        <w:t xml:space="preserve"> de cotización no disminuye es la prima pagada por la venta de la opción.</w:t>
      </w:r>
    </w:p>
    <w:p w:rsidR="00B3483C" w:rsidRPr="00670830" w:rsidRDefault="00B3483C" w:rsidP="00670830">
      <w:pPr>
        <w:tabs>
          <w:tab w:val="left" w:pos="1999"/>
        </w:tabs>
        <w:spacing w:before="100" w:beforeAutospacing="1" w:after="100" w:afterAutospacing="1" w:line="360" w:lineRule="auto"/>
        <w:jc w:val="both"/>
        <w:rPr>
          <w:rFonts w:ascii="Arial" w:hAnsi="Arial" w:cs="Arial"/>
          <w:sz w:val="24"/>
          <w:szCs w:val="24"/>
        </w:rPr>
      </w:pPr>
    </w:p>
    <w:p w:rsidR="00217C25" w:rsidRPr="00670830" w:rsidRDefault="00BC7554" w:rsidP="00670830">
      <w:pPr>
        <w:pStyle w:val="Ttulo1"/>
        <w:spacing w:before="100" w:beforeAutospacing="1" w:after="100" w:afterAutospacing="1" w:line="360" w:lineRule="auto"/>
        <w:jc w:val="center"/>
        <w:rPr>
          <w:rFonts w:ascii="Arial" w:eastAsia="Arial Unicode MS" w:hAnsi="Arial" w:cs="Arial"/>
          <w:color w:val="auto"/>
          <w:sz w:val="24"/>
          <w:szCs w:val="24"/>
        </w:rPr>
      </w:pPr>
      <w:bookmarkStart w:id="13" w:name="_Toc488230490"/>
      <w:r w:rsidRPr="00670830">
        <w:rPr>
          <w:rFonts w:ascii="Arial" w:eastAsia="Arial Unicode MS" w:hAnsi="Arial" w:cs="Arial"/>
          <w:color w:val="auto"/>
          <w:sz w:val="24"/>
          <w:szCs w:val="24"/>
        </w:rPr>
        <w:t>Capítulo 2. Mercado de Capitales</w:t>
      </w:r>
      <w:bookmarkEnd w:id="13"/>
    </w:p>
    <w:p w:rsidR="00217C25" w:rsidRPr="00670830" w:rsidRDefault="005F6D00"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Mercados de Capitales son m</w:t>
      </w:r>
      <w:r w:rsidR="00F94F5D" w:rsidRPr="00670830">
        <w:rPr>
          <w:rFonts w:ascii="Arial" w:eastAsia="Arial Unicode MS" w:hAnsi="Arial" w:cs="Arial"/>
          <w:sz w:val="24"/>
          <w:szCs w:val="24"/>
        </w:rPr>
        <w:t>ercado</w:t>
      </w:r>
      <w:r w:rsidRPr="00670830">
        <w:rPr>
          <w:rFonts w:ascii="Arial" w:eastAsia="Arial Unicode MS" w:hAnsi="Arial" w:cs="Arial"/>
          <w:sz w:val="24"/>
          <w:szCs w:val="24"/>
        </w:rPr>
        <w:t>s</w:t>
      </w:r>
      <w:r w:rsidR="00F94F5D" w:rsidRPr="00670830">
        <w:rPr>
          <w:rFonts w:ascii="Arial" w:eastAsia="Arial Unicode MS" w:hAnsi="Arial" w:cs="Arial"/>
          <w:sz w:val="24"/>
          <w:szCs w:val="24"/>
        </w:rPr>
        <w:t xml:space="preserve"> financiero</w:t>
      </w:r>
      <w:r w:rsidR="00063E31" w:rsidRPr="00670830">
        <w:rPr>
          <w:rFonts w:ascii="Arial" w:eastAsia="Arial Unicode MS" w:hAnsi="Arial" w:cs="Arial"/>
          <w:sz w:val="24"/>
          <w:szCs w:val="24"/>
        </w:rPr>
        <w:t>s</w:t>
      </w:r>
      <w:r w:rsidR="00F94F5D" w:rsidRPr="00670830">
        <w:rPr>
          <w:rFonts w:ascii="Arial" w:eastAsia="Arial Unicode MS" w:hAnsi="Arial" w:cs="Arial"/>
          <w:sz w:val="24"/>
          <w:szCs w:val="24"/>
        </w:rPr>
        <w:t xml:space="preserve"> donde se intercambian recursos, tanto propios (acciones), como ajenos (créditos de cualquier tipo), a largo plazo. </w:t>
      </w:r>
    </w:p>
    <w:p w:rsidR="00F94F5D" w:rsidRPr="00670830" w:rsidRDefault="00F94F5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definición de largo plazo es muy subjetiva. Sin embargo, la mayor parte de los financieros concuerdan en que el largo plazo se refiere a períodos superiores a un año. [http://ciep.itam.mx/]</w:t>
      </w:r>
    </w:p>
    <w:p w:rsidR="000344A6" w:rsidRPr="00670830" w:rsidRDefault="00C51001"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mercado de valores puede dividirse en mercado de dinero y mercado de capitales de acuerdo con el plazo de vencimiento original de los instrumentos que se negocian.</w:t>
      </w:r>
    </w:p>
    <w:p w:rsidR="00C51001" w:rsidRPr="00670830" w:rsidRDefault="00C51001"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mercado de dinero es en el que se negocian instrumentos de deuda a corto plazo, con bajo riesgo y con alta liquidez que son emitidos por los diferentes niveles de gobierno, empresas e instituciones financieras. Los vencimientos de los instrumentos del mercado de dinero van desde un día hasta un año pero con frecuencia no sobrepasan los 90 días.</w:t>
      </w:r>
    </w:p>
    <w:p w:rsidR="00217C25" w:rsidRPr="00670830" w:rsidRDefault="00C51001"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Algunos ejemplos de los instrumentos que se negocian en el mercado de dinero son</w:t>
      </w:r>
      <w:r w:rsidR="00217C25" w:rsidRPr="00670830">
        <w:rPr>
          <w:rFonts w:ascii="Arial" w:eastAsia="Arial Unicode MS" w:hAnsi="Arial" w:cs="Arial"/>
          <w:sz w:val="24"/>
          <w:szCs w:val="24"/>
        </w:rPr>
        <w:t>:</w:t>
      </w:r>
      <w:r w:rsidRPr="00670830">
        <w:rPr>
          <w:rFonts w:ascii="Arial" w:eastAsia="Arial Unicode MS" w:hAnsi="Arial" w:cs="Arial"/>
          <w:sz w:val="24"/>
          <w:szCs w:val="24"/>
        </w:rPr>
        <w:t xml:space="preserve"> </w:t>
      </w:r>
    </w:p>
    <w:p w:rsidR="005F6D00" w:rsidRPr="00670830" w:rsidRDefault="00217C25" w:rsidP="00670830">
      <w:pPr>
        <w:pStyle w:val="Prrafodelista"/>
        <w:numPr>
          <w:ilvl w:val="0"/>
          <w:numId w:val="42"/>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w:t>
      </w:r>
      <w:r w:rsidR="00C51001" w:rsidRPr="00670830">
        <w:rPr>
          <w:rFonts w:ascii="Arial" w:eastAsia="Arial Unicode MS" w:hAnsi="Arial" w:cs="Arial"/>
          <w:sz w:val="24"/>
          <w:szCs w:val="24"/>
        </w:rPr>
        <w:t xml:space="preserve">os Certificados de la Tesorería de la Federación (Cetes), </w:t>
      </w:r>
    </w:p>
    <w:p w:rsidR="005F6D00" w:rsidRPr="00670830" w:rsidRDefault="00C51001" w:rsidP="00670830">
      <w:pPr>
        <w:pStyle w:val="Prrafodelista"/>
        <w:numPr>
          <w:ilvl w:val="0"/>
          <w:numId w:val="42"/>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Bonos Ajustables del Gobierno Federal (Ajustabonos), </w:t>
      </w:r>
    </w:p>
    <w:p w:rsidR="005F6D00" w:rsidRPr="00670830" w:rsidRDefault="00217C25" w:rsidP="00670830">
      <w:pPr>
        <w:pStyle w:val="Prrafodelista"/>
        <w:numPr>
          <w:ilvl w:val="0"/>
          <w:numId w:val="42"/>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w:t>
      </w:r>
      <w:r w:rsidR="00C51001" w:rsidRPr="00670830">
        <w:rPr>
          <w:rFonts w:ascii="Arial" w:eastAsia="Arial Unicode MS" w:hAnsi="Arial" w:cs="Arial"/>
          <w:sz w:val="24"/>
          <w:szCs w:val="24"/>
        </w:rPr>
        <w:t xml:space="preserve">os Bonos de la Tesorería de la Federación (Bondes), </w:t>
      </w:r>
    </w:p>
    <w:p w:rsidR="005F6D00" w:rsidRPr="00670830" w:rsidRDefault="00217C25" w:rsidP="00670830">
      <w:pPr>
        <w:pStyle w:val="Prrafodelista"/>
        <w:numPr>
          <w:ilvl w:val="0"/>
          <w:numId w:val="42"/>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w:t>
      </w:r>
      <w:r w:rsidR="00C51001" w:rsidRPr="00670830">
        <w:rPr>
          <w:rFonts w:ascii="Arial" w:eastAsia="Arial Unicode MS" w:hAnsi="Arial" w:cs="Arial"/>
          <w:sz w:val="24"/>
          <w:szCs w:val="24"/>
        </w:rPr>
        <w:t>a</w:t>
      </w:r>
      <w:r w:rsidR="005F6D00" w:rsidRPr="00670830">
        <w:rPr>
          <w:rFonts w:ascii="Arial" w:eastAsia="Arial Unicode MS" w:hAnsi="Arial" w:cs="Arial"/>
          <w:sz w:val="24"/>
          <w:szCs w:val="24"/>
        </w:rPr>
        <w:t>s Aceptaciones Bancarias (</w:t>
      </w:r>
      <w:proofErr w:type="spellStart"/>
      <w:r w:rsidR="005F6D00" w:rsidRPr="00670830">
        <w:rPr>
          <w:rFonts w:ascii="Arial" w:eastAsia="Arial Unicode MS" w:hAnsi="Arial" w:cs="Arial"/>
          <w:sz w:val="24"/>
          <w:szCs w:val="24"/>
        </w:rPr>
        <w:t>ABs</w:t>
      </w:r>
      <w:proofErr w:type="spellEnd"/>
      <w:r w:rsidR="005F6D00" w:rsidRPr="00670830">
        <w:rPr>
          <w:rFonts w:ascii="Arial" w:eastAsia="Arial Unicode MS" w:hAnsi="Arial" w:cs="Arial"/>
          <w:sz w:val="24"/>
          <w:szCs w:val="24"/>
        </w:rPr>
        <w:t>),</w:t>
      </w:r>
    </w:p>
    <w:p w:rsidR="005F6D00" w:rsidRPr="00670830" w:rsidRDefault="00217C25" w:rsidP="00670830">
      <w:pPr>
        <w:pStyle w:val="Prrafodelista"/>
        <w:numPr>
          <w:ilvl w:val="0"/>
          <w:numId w:val="42"/>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w:t>
      </w:r>
      <w:r w:rsidR="00C51001" w:rsidRPr="00670830">
        <w:rPr>
          <w:rFonts w:ascii="Arial" w:eastAsia="Arial Unicode MS" w:hAnsi="Arial" w:cs="Arial"/>
          <w:sz w:val="24"/>
          <w:szCs w:val="24"/>
        </w:rPr>
        <w:t xml:space="preserve">l Papel Comercial (PC) </w:t>
      </w:r>
    </w:p>
    <w:p w:rsidR="00C51001" w:rsidRPr="00670830" w:rsidRDefault="00C51001" w:rsidP="00670830">
      <w:pPr>
        <w:pStyle w:val="Prrafodelista"/>
        <w:numPr>
          <w:ilvl w:val="0"/>
          <w:numId w:val="42"/>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y las Operaciones de Reporto (OR).</w:t>
      </w:r>
    </w:p>
    <w:p w:rsidR="00C51001" w:rsidRPr="00670830" w:rsidRDefault="00C51001"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mercado de capitales comprende valores de renta fija</w:t>
      </w:r>
      <w:r w:rsidR="00217C25" w:rsidRPr="00670830">
        <w:rPr>
          <w:rFonts w:ascii="Arial" w:eastAsia="Arial Unicode MS" w:hAnsi="Arial" w:cs="Arial"/>
          <w:sz w:val="24"/>
          <w:szCs w:val="24"/>
        </w:rPr>
        <w:t xml:space="preserve"> y de renta variable que tienen </w:t>
      </w:r>
      <w:r w:rsidRPr="00670830">
        <w:rPr>
          <w:rFonts w:ascii="Arial" w:eastAsia="Arial Unicode MS" w:hAnsi="Arial" w:cs="Arial"/>
          <w:sz w:val="24"/>
          <w:szCs w:val="24"/>
        </w:rPr>
        <w:t>vencimiento</w:t>
      </w:r>
      <w:r w:rsidR="00217C25" w:rsidRPr="00670830">
        <w:rPr>
          <w:rFonts w:ascii="Arial" w:eastAsia="Arial Unicode MS" w:hAnsi="Arial" w:cs="Arial"/>
          <w:sz w:val="24"/>
          <w:szCs w:val="24"/>
        </w:rPr>
        <w:t>s</w:t>
      </w:r>
      <w:r w:rsidRPr="00670830">
        <w:rPr>
          <w:rFonts w:ascii="Arial" w:eastAsia="Arial Unicode MS" w:hAnsi="Arial" w:cs="Arial"/>
          <w:sz w:val="24"/>
          <w:szCs w:val="24"/>
        </w:rPr>
        <w:t xml:space="preserve"> superior</w:t>
      </w:r>
      <w:r w:rsidR="00217C25" w:rsidRPr="00670830">
        <w:rPr>
          <w:rFonts w:ascii="Arial" w:eastAsia="Arial Unicode MS" w:hAnsi="Arial" w:cs="Arial"/>
          <w:sz w:val="24"/>
          <w:szCs w:val="24"/>
        </w:rPr>
        <w:t>es</w:t>
      </w:r>
      <w:r w:rsidRPr="00670830">
        <w:rPr>
          <w:rFonts w:ascii="Arial" w:eastAsia="Arial Unicode MS" w:hAnsi="Arial" w:cs="Arial"/>
          <w:sz w:val="24"/>
          <w:szCs w:val="24"/>
        </w:rPr>
        <w:t xml:space="preserve"> a un año. El riesgo de estos instrumentos financieros generalmente es mayor que el de los valores del mercado de dinero debido al vencimiento más largo y a las características mismas de los títulos. </w:t>
      </w:r>
    </w:p>
    <w:p w:rsidR="00C51001" w:rsidRPr="00670830" w:rsidRDefault="00C51001"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Los instrumentos de renta fija son las obligaciones que compra un inversionista y que representan un pasivo para el emisor. Los instrumentos de renta variable le dan al inversionista la posibilidad de participar de la propiedad, las utilidades y los riesgos de operación de la empresa mediante la adquisición de acciones de capital. </w:t>
      </w:r>
    </w:p>
    <w:p w:rsidR="00217C25" w:rsidRPr="00670830" w:rsidRDefault="00C51001"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Entre los instrumentos del mercado de capitales se encuentran</w:t>
      </w:r>
      <w:r w:rsidR="00217C25" w:rsidRPr="00670830">
        <w:rPr>
          <w:rFonts w:ascii="Arial" w:eastAsia="Arial Unicode MS" w:hAnsi="Arial" w:cs="Arial"/>
          <w:sz w:val="24"/>
          <w:szCs w:val="24"/>
        </w:rPr>
        <w:t>:</w:t>
      </w:r>
    </w:p>
    <w:p w:rsidR="005F6D00" w:rsidRPr="00670830" w:rsidRDefault="00217C25" w:rsidP="00670830">
      <w:pPr>
        <w:pStyle w:val="Prrafodelista"/>
        <w:numPr>
          <w:ilvl w:val="0"/>
          <w:numId w:val="44"/>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w:t>
      </w:r>
      <w:r w:rsidR="00C51001" w:rsidRPr="00670830">
        <w:rPr>
          <w:rFonts w:ascii="Arial" w:eastAsia="Arial Unicode MS" w:hAnsi="Arial" w:cs="Arial"/>
          <w:sz w:val="24"/>
          <w:szCs w:val="24"/>
        </w:rPr>
        <w:t xml:space="preserve">os Pagarés de Mediano Plazo, </w:t>
      </w:r>
    </w:p>
    <w:p w:rsidR="005F6D00" w:rsidRPr="00670830" w:rsidRDefault="00217C25" w:rsidP="00670830">
      <w:pPr>
        <w:pStyle w:val="Prrafodelista"/>
        <w:numPr>
          <w:ilvl w:val="0"/>
          <w:numId w:val="44"/>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w:t>
      </w:r>
      <w:r w:rsidR="00C51001" w:rsidRPr="00670830">
        <w:rPr>
          <w:rFonts w:ascii="Arial" w:eastAsia="Arial Unicode MS" w:hAnsi="Arial" w:cs="Arial"/>
          <w:sz w:val="24"/>
          <w:szCs w:val="24"/>
        </w:rPr>
        <w:t xml:space="preserve">as Obligaciones, </w:t>
      </w:r>
    </w:p>
    <w:p w:rsidR="005F6D00" w:rsidRPr="00670830" w:rsidRDefault="00217C25" w:rsidP="00670830">
      <w:pPr>
        <w:pStyle w:val="Prrafodelista"/>
        <w:numPr>
          <w:ilvl w:val="0"/>
          <w:numId w:val="44"/>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w:t>
      </w:r>
      <w:r w:rsidR="00C51001" w:rsidRPr="00670830">
        <w:rPr>
          <w:rFonts w:ascii="Arial" w:eastAsia="Arial Unicode MS" w:hAnsi="Arial" w:cs="Arial"/>
          <w:sz w:val="24"/>
          <w:szCs w:val="24"/>
        </w:rPr>
        <w:t>os Certificados de Participación Inmobiliaria Amortizables (</w:t>
      </w:r>
      <w:proofErr w:type="spellStart"/>
      <w:r w:rsidR="00C51001" w:rsidRPr="00670830">
        <w:rPr>
          <w:rFonts w:ascii="Arial" w:eastAsia="Arial Unicode MS" w:hAnsi="Arial" w:cs="Arial"/>
          <w:sz w:val="24"/>
          <w:szCs w:val="24"/>
        </w:rPr>
        <w:t>CPIs</w:t>
      </w:r>
      <w:proofErr w:type="spellEnd"/>
      <w:r w:rsidR="00C51001" w:rsidRPr="00670830">
        <w:rPr>
          <w:rFonts w:ascii="Arial" w:eastAsia="Arial Unicode MS" w:hAnsi="Arial" w:cs="Arial"/>
          <w:sz w:val="24"/>
          <w:szCs w:val="24"/>
        </w:rPr>
        <w:t xml:space="preserve">), </w:t>
      </w:r>
    </w:p>
    <w:p w:rsidR="005F6D00" w:rsidRPr="00670830" w:rsidRDefault="00217C25" w:rsidP="00670830">
      <w:pPr>
        <w:pStyle w:val="Prrafodelista"/>
        <w:numPr>
          <w:ilvl w:val="0"/>
          <w:numId w:val="44"/>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w:t>
      </w:r>
      <w:r w:rsidR="00C51001" w:rsidRPr="00670830">
        <w:rPr>
          <w:rFonts w:ascii="Arial" w:eastAsia="Arial Unicode MS" w:hAnsi="Arial" w:cs="Arial"/>
          <w:sz w:val="24"/>
          <w:szCs w:val="24"/>
        </w:rPr>
        <w:t>os Certificados de Participación Ordinarios no Amortizables que Representan Acciones (</w:t>
      </w:r>
      <w:proofErr w:type="spellStart"/>
      <w:r w:rsidR="00C51001" w:rsidRPr="00670830">
        <w:rPr>
          <w:rFonts w:ascii="Arial" w:eastAsia="Arial Unicode MS" w:hAnsi="Arial" w:cs="Arial"/>
          <w:sz w:val="24"/>
          <w:szCs w:val="24"/>
        </w:rPr>
        <w:t>CPOs</w:t>
      </w:r>
      <w:proofErr w:type="spellEnd"/>
      <w:r w:rsidR="00C51001" w:rsidRPr="00670830">
        <w:rPr>
          <w:rFonts w:ascii="Arial" w:eastAsia="Arial Unicode MS" w:hAnsi="Arial" w:cs="Arial"/>
          <w:sz w:val="24"/>
          <w:szCs w:val="24"/>
        </w:rPr>
        <w:t xml:space="preserve">) </w:t>
      </w:r>
      <w:r w:rsidR="005F6D00" w:rsidRPr="00670830">
        <w:rPr>
          <w:rFonts w:ascii="Arial" w:eastAsia="Arial Unicode MS" w:hAnsi="Arial" w:cs="Arial"/>
          <w:sz w:val="24"/>
          <w:szCs w:val="24"/>
        </w:rPr>
        <w:t>,</w:t>
      </w:r>
    </w:p>
    <w:p w:rsidR="005F6D00" w:rsidRPr="00670830" w:rsidRDefault="00217C25" w:rsidP="00670830">
      <w:pPr>
        <w:pStyle w:val="Prrafodelista"/>
        <w:numPr>
          <w:ilvl w:val="0"/>
          <w:numId w:val="44"/>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y las A</w:t>
      </w:r>
      <w:r w:rsidR="00C51001" w:rsidRPr="00670830">
        <w:rPr>
          <w:rFonts w:ascii="Arial" w:eastAsia="Arial Unicode MS" w:hAnsi="Arial" w:cs="Arial"/>
          <w:sz w:val="24"/>
          <w:szCs w:val="24"/>
        </w:rPr>
        <w:t>ccion</w:t>
      </w:r>
      <w:r w:rsidRPr="00670830">
        <w:rPr>
          <w:rFonts w:ascii="Arial" w:eastAsia="Arial Unicode MS" w:hAnsi="Arial" w:cs="Arial"/>
          <w:sz w:val="24"/>
          <w:szCs w:val="24"/>
        </w:rPr>
        <w:t xml:space="preserve">es preferentes y comunes, </w:t>
      </w:r>
    </w:p>
    <w:p w:rsidR="00C51001" w:rsidRPr="00670830" w:rsidRDefault="00217C25" w:rsidP="00670830">
      <w:pPr>
        <w:pStyle w:val="Prrafodelista"/>
        <w:numPr>
          <w:ilvl w:val="0"/>
          <w:numId w:val="44"/>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O</w:t>
      </w:r>
      <w:r w:rsidR="00C51001" w:rsidRPr="00670830">
        <w:rPr>
          <w:rFonts w:ascii="Arial" w:eastAsia="Arial Unicode MS" w:hAnsi="Arial" w:cs="Arial"/>
          <w:sz w:val="24"/>
          <w:szCs w:val="24"/>
        </w:rPr>
        <w:t>tros.</w:t>
      </w:r>
    </w:p>
    <w:p w:rsidR="00624AD5" w:rsidRPr="00670830" w:rsidRDefault="00C51001"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[Villareal, 2008]</w:t>
      </w:r>
    </w:p>
    <w:p w:rsidR="009B5FF4" w:rsidRPr="00670830" w:rsidRDefault="009B5FF4" w:rsidP="00670830">
      <w:pPr>
        <w:spacing w:before="100" w:beforeAutospacing="1" w:after="100" w:afterAutospacing="1" w:line="360" w:lineRule="auto"/>
        <w:jc w:val="both"/>
        <w:rPr>
          <w:rFonts w:ascii="Arial" w:eastAsia="Arial Unicode MS" w:hAnsi="Arial" w:cs="Arial"/>
          <w:sz w:val="24"/>
          <w:szCs w:val="24"/>
        </w:rPr>
      </w:pPr>
    </w:p>
    <w:p w:rsidR="00740DD9" w:rsidRPr="00670830" w:rsidRDefault="00740DD9" w:rsidP="00670830">
      <w:pPr>
        <w:pStyle w:val="Ttulo2"/>
        <w:spacing w:before="100" w:beforeAutospacing="1" w:after="100" w:afterAutospacing="1" w:line="360" w:lineRule="auto"/>
        <w:jc w:val="both"/>
        <w:rPr>
          <w:rFonts w:ascii="Arial" w:eastAsia="Arial Unicode MS" w:hAnsi="Arial" w:cs="Arial"/>
          <w:color w:val="auto"/>
          <w:sz w:val="24"/>
          <w:szCs w:val="24"/>
        </w:rPr>
      </w:pPr>
      <w:bookmarkStart w:id="14" w:name="_Toc488230491"/>
      <w:r w:rsidRPr="00670830">
        <w:rPr>
          <w:rFonts w:ascii="Arial" w:eastAsia="Arial Unicode MS" w:hAnsi="Arial" w:cs="Arial"/>
          <w:color w:val="auto"/>
          <w:sz w:val="24"/>
          <w:szCs w:val="24"/>
        </w:rPr>
        <w:t>2.1. Instrumentos de renta variable</w:t>
      </w:r>
      <w:bookmarkEnd w:id="14"/>
    </w:p>
    <w:p w:rsidR="00B162FC" w:rsidRPr="00670830" w:rsidRDefault="00B162F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instrumentos financieros se dividen básicamente en tres: de renta fija, de renta variable y en derivados.</w:t>
      </w:r>
    </w:p>
    <w:p w:rsidR="00B162FC" w:rsidRPr="00670830" w:rsidRDefault="00B162F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Los instrumentos de renta variable son aquellos instrumentos que no tienen predeterminado ni su valor, ni el plazo ni el rendimiento. </w:t>
      </w:r>
    </w:p>
    <w:p w:rsidR="00B162FC" w:rsidRPr="00670830" w:rsidRDefault="00B162F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Los instrumentos de renta variable los podemos clasificar básicamente en dos: instrumentos mexicanos e instrumentos extranjeros, los cuales cotizan en el Mercado Global BMV. </w:t>
      </w:r>
    </w:p>
    <w:p w:rsidR="00217C25" w:rsidRPr="00670830" w:rsidRDefault="00B162F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instrumentos más conocidos de este tipo de renta son las acciones</w:t>
      </w:r>
      <w:r w:rsidR="00217C25" w:rsidRPr="00670830">
        <w:rPr>
          <w:rFonts w:ascii="Arial" w:eastAsia="Arial Unicode MS" w:hAnsi="Arial" w:cs="Arial"/>
          <w:sz w:val="24"/>
          <w:szCs w:val="24"/>
        </w:rPr>
        <w:t xml:space="preserve">. Las acciones, </w:t>
      </w:r>
      <w:r w:rsidRPr="00670830">
        <w:rPr>
          <w:rFonts w:ascii="Arial" w:eastAsia="Arial Unicode MS" w:hAnsi="Arial" w:cs="Arial"/>
          <w:sz w:val="24"/>
          <w:szCs w:val="24"/>
        </w:rPr>
        <w:t xml:space="preserve"> son t</w:t>
      </w:r>
      <w:r w:rsidR="000344A6" w:rsidRPr="00670830">
        <w:rPr>
          <w:rFonts w:ascii="Arial" w:eastAsia="Arial Unicode MS" w:hAnsi="Arial" w:cs="Arial"/>
          <w:sz w:val="24"/>
          <w:szCs w:val="24"/>
        </w:rPr>
        <w:t>í</w:t>
      </w:r>
      <w:r w:rsidRPr="00670830">
        <w:rPr>
          <w:rFonts w:ascii="Arial" w:eastAsia="Arial Unicode MS" w:hAnsi="Arial" w:cs="Arial"/>
          <w:sz w:val="24"/>
          <w:szCs w:val="24"/>
        </w:rPr>
        <w:t>tulos que representan parte del capital social de una empresa que son colocados entre el gran p</w:t>
      </w:r>
      <w:r w:rsidR="000344A6" w:rsidRPr="00670830">
        <w:rPr>
          <w:rFonts w:ascii="Arial" w:eastAsia="Arial Unicode MS" w:hAnsi="Arial" w:cs="Arial"/>
          <w:sz w:val="24"/>
          <w:szCs w:val="24"/>
        </w:rPr>
        <w:t>ú</w:t>
      </w:r>
      <w:r w:rsidRPr="00670830">
        <w:rPr>
          <w:rFonts w:ascii="Arial" w:eastAsia="Arial Unicode MS" w:hAnsi="Arial" w:cs="Arial"/>
          <w:sz w:val="24"/>
          <w:szCs w:val="24"/>
        </w:rPr>
        <w:t>blico inversionista a trav</w:t>
      </w:r>
      <w:r w:rsidR="000344A6" w:rsidRPr="00670830">
        <w:rPr>
          <w:rFonts w:ascii="Arial" w:eastAsia="Arial Unicode MS" w:hAnsi="Arial" w:cs="Arial"/>
          <w:sz w:val="24"/>
          <w:szCs w:val="24"/>
        </w:rPr>
        <w:t>é</w:t>
      </w:r>
      <w:r w:rsidRPr="00670830">
        <w:rPr>
          <w:rFonts w:ascii="Arial" w:eastAsia="Arial Unicode MS" w:hAnsi="Arial" w:cs="Arial"/>
          <w:sz w:val="24"/>
          <w:szCs w:val="24"/>
        </w:rPr>
        <w:t xml:space="preserve">s de la BMV para obtener financiamiento. </w:t>
      </w:r>
    </w:p>
    <w:p w:rsidR="000344A6" w:rsidRPr="00670830" w:rsidRDefault="00B162F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tenencia de las acciones otorga a sus compradores los derechos de un socio. El rendimiento para el inversionista se presenta de dos formas</w:t>
      </w:r>
      <w:r w:rsidR="000344A6" w:rsidRPr="00670830">
        <w:rPr>
          <w:rFonts w:ascii="Arial" w:eastAsia="Arial Unicode MS" w:hAnsi="Arial" w:cs="Arial"/>
          <w:sz w:val="24"/>
          <w:szCs w:val="24"/>
        </w:rPr>
        <w:t>:</w:t>
      </w:r>
    </w:p>
    <w:p w:rsidR="00217C25" w:rsidRPr="00670830" w:rsidRDefault="00B162FC" w:rsidP="00670830">
      <w:pPr>
        <w:pStyle w:val="Prrafodelista"/>
        <w:numPr>
          <w:ilvl w:val="0"/>
          <w:numId w:val="22"/>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Dividendos que genera la empresa (las acciones permiten al inversionista crecer en sociedad con la empresa y, por lo tanto, participar de sus utilidades).</w:t>
      </w:r>
    </w:p>
    <w:p w:rsidR="000344A6" w:rsidRPr="00670830" w:rsidRDefault="00B162FC" w:rsidP="00670830">
      <w:pPr>
        <w:pStyle w:val="Prrafodelista"/>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 </w:t>
      </w:r>
    </w:p>
    <w:p w:rsidR="00B162FC" w:rsidRPr="00670830" w:rsidRDefault="00B162FC" w:rsidP="00670830">
      <w:pPr>
        <w:pStyle w:val="Prrafodelista"/>
        <w:numPr>
          <w:ilvl w:val="0"/>
          <w:numId w:val="22"/>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Ganancias de capital, que es el diferencial -en su caso- entre el precio al que se compr</w:t>
      </w:r>
      <w:r w:rsidR="000344A6" w:rsidRPr="00670830">
        <w:rPr>
          <w:rFonts w:ascii="Arial" w:eastAsia="Arial Unicode MS" w:hAnsi="Arial" w:cs="Arial"/>
          <w:sz w:val="24"/>
          <w:szCs w:val="24"/>
        </w:rPr>
        <w:t>ó</w:t>
      </w:r>
      <w:r w:rsidRPr="00670830">
        <w:rPr>
          <w:rFonts w:ascii="Arial" w:eastAsia="Arial Unicode MS" w:hAnsi="Arial" w:cs="Arial"/>
          <w:sz w:val="24"/>
          <w:szCs w:val="24"/>
        </w:rPr>
        <w:t xml:space="preserve"> y el precio al que se vendi</w:t>
      </w:r>
      <w:r w:rsidR="000344A6" w:rsidRPr="00670830">
        <w:rPr>
          <w:rFonts w:ascii="Arial" w:eastAsia="Arial Unicode MS" w:hAnsi="Arial" w:cs="Arial"/>
          <w:sz w:val="24"/>
          <w:szCs w:val="24"/>
        </w:rPr>
        <w:t>ó</w:t>
      </w:r>
      <w:r w:rsidRPr="00670830">
        <w:rPr>
          <w:rFonts w:ascii="Arial" w:eastAsia="Arial Unicode MS" w:hAnsi="Arial" w:cs="Arial"/>
          <w:sz w:val="24"/>
          <w:szCs w:val="24"/>
        </w:rPr>
        <w:t xml:space="preserve"> la acci</w:t>
      </w:r>
      <w:r w:rsidR="000344A6" w:rsidRPr="00670830">
        <w:rPr>
          <w:rFonts w:ascii="Arial" w:eastAsia="Arial Unicode MS" w:hAnsi="Arial" w:cs="Arial"/>
          <w:sz w:val="24"/>
          <w:szCs w:val="24"/>
        </w:rPr>
        <w:t>ó</w:t>
      </w:r>
      <w:r w:rsidRPr="00670830">
        <w:rPr>
          <w:rFonts w:ascii="Arial" w:eastAsia="Arial Unicode MS" w:hAnsi="Arial" w:cs="Arial"/>
          <w:sz w:val="24"/>
          <w:szCs w:val="24"/>
        </w:rPr>
        <w:t xml:space="preserve">n. </w:t>
      </w:r>
    </w:p>
    <w:p w:rsidR="00217C25" w:rsidRPr="00670830" w:rsidRDefault="00B162F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plazo en este valor no existe, pues la decisi</w:t>
      </w:r>
      <w:r w:rsidR="000344A6" w:rsidRPr="00670830">
        <w:rPr>
          <w:rFonts w:ascii="Arial" w:eastAsia="Arial Unicode MS" w:hAnsi="Arial" w:cs="Arial"/>
          <w:sz w:val="24"/>
          <w:szCs w:val="24"/>
        </w:rPr>
        <w:t>ó</w:t>
      </w:r>
      <w:r w:rsidRPr="00670830">
        <w:rPr>
          <w:rFonts w:ascii="Arial" w:eastAsia="Arial Unicode MS" w:hAnsi="Arial" w:cs="Arial"/>
          <w:sz w:val="24"/>
          <w:szCs w:val="24"/>
        </w:rPr>
        <w:t>n de venderlo o retenerlo reside exclusivamente en el tenedor. El precio est</w:t>
      </w:r>
      <w:r w:rsidR="000344A6" w:rsidRPr="00670830">
        <w:rPr>
          <w:rFonts w:ascii="Arial" w:eastAsia="Arial Unicode MS" w:hAnsi="Arial" w:cs="Arial"/>
          <w:sz w:val="24"/>
          <w:szCs w:val="24"/>
        </w:rPr>
        <w:t>á</w:t>
      </w:r>
      <w:r w:rsidRPr="00670830">
        <w:rPr>
          <w:rFonts w:ascii="Arial" w:eastAsia="Arial Unicode MS" w:hAnsi="Arial" w:cs="Arial"/>
          <w:sz w:val="24"/>
          <w:szCs w:val="24"/>
        </w:rPr>
        <w:t xml:space="preserve"> en funci</w:t>
      </w:r>
      <w:r w:rsidR="000344A6" w:rsidRPr="00670830">
        <w:rPr>
          <w:rFonts w:ascii="Arial" w:eastAsia="Arial Unicode MS" w:hAnsi="Arial" w:cs="Arial"/>
          <w:sz w:val="24"/>
          <w:szCs w:val="24"/>
        </w:rPr>
        <w:t>ó</w:t>
      </w:r>
      <w:r w:rsidRPr="00670830">
        <w:rPr>
          <w:rFonts w:ascii="Arial" w:eastAsia="Arial Unicode MS" w:hAnsi="Arial" w:cs="Arial"/>
          <w:sz w:val="24"/>
          <w:szCs w:val="24"/>
        </w:rPr>
        <w:t>n del desempe</w:t>
      </w:r>
      <w:r w:rsidR="000344A6" w:rsidRPr="00670830">
        <w:rPr>
          <w:rFonts w:ascii="Arial" w:eastAsia="Arial Unicode MS" w:hAnsi="Arial" w:cs="Arial"/>
          <w:sz w:val="24"/>
          <w:szCs w:val="24"/>
        </w:rPr>
        <w:t>ñ</w:t>
      </w:r>
      <w:r w:rsidRPr="00670830">
        <w:rPr>
          <w:rFonts w:ascii="Arial" w:eastAsia="Arial Unicode MS" w:hAnsi="Arial" w:cs="Arial"/>
          <w:sz w:val="24"/>
          <w:szCs w:val="24"/>
        </w:rPr>
        <w:t xml:space="preserve">o de la empresa emisora y de las expectativas que haya sobre su desarrollo. </w:t>
      </w:r>
    </w:p>
    <w:p w:rsidR="00B162FC" w:rsidRPr="00670830" w:rsidRDefault="00B162F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Asimismo, en su precio tambi</w:t>
      </w:r>
      <w:r w:rsidR="000344A6" w:rsidRPr="00670830">
        <w:rPr>
          <w:rFonts w:ascii="Arial" w:eastAsia="Arial Unicode MS" w:hAnsi="Arial" w:cs="Arial"/>
          <w:sz w:val="24"/>
          <w:szCs w:val="24"/>
        </w:rPr>
        <w:t>é</w:t>
      </w:r>
      <w:r w:rsidRPr="00670830">
        <w:rPr>
          <w:rFonts w:ascii="Arial" w:eastAsia="Arial Unicode MS" w:hAnsi="Arial" w:cs="Arial"/>
          <w:sz w:val="24"/>
          <w:szCs w:val="24"/>
        </w:rPr>
        <w:t xml:space="preserve">n influyen elementos externos que </w:t>
      </w:r>
      <w:r w:rsidR="000344A6" w:rsidRPr="00670830">
        <w:rPr>
          <w:rFonts w:ascii="Arial" w:eastAsia="Arial Unicode MS" w:hAnsi="Arial" w:cs="Arial"/>
          <w:sz w:val="24"/>
          <w:szCs w:val="24"/>
        </w:rPr>
        <w:t xml:space="preserve">afectan al mercado en general. </w:t>
      </w:r>
    </w:p>
    <w:p w:rsidR="000344A6" w:rsidRPr="00670830" w:rsidRDefault="000344A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[http://www.ciep.itam.mx]</w:t>
      </w:r>
    </w:p>
    <w:p w:rsidR="000344A6" w:rsidRPr="00670830" w:rsidRDefault="000344A6" w:rsidP="00670830">
      <w:pPr>
        <w:spacing w:before="100" w:beforeAutospacing="1" w:after="100" w:afterAutospacing="1" w:line="360" w:lineRule="auto"/>
        <w:ind w:left="708" w:hanging="708"/>
        <w:jc w:val="both"/>
        <w:rPr>
          <w:rFonts w:ascii="Arial" w:eastAsia="Arial Unicode MS" w:hAnsi="Arial" w:cs="Arial"/>
          <w:sz w:val="24"/>
          <w:szCs w:val="24"/>
        </w:rPr>
      </w:pPr>
    </w:p>
    <w:p w:rsidR="00740DD9" w:rsidRPr="00670830" w:rsidRDefault="00740DD9" w:rsidP="00670830">
      <w:pPr>
        <w:pStyle w:val="Ttulo3"/>
        <w:spacing w:before="100" w:beforeAutospacing="1" w:after="100" w:afterAutospacing="1" w:line="360" w:lineRule="auto"/>
        <w:jc w:val="both"/>
        <w:rPr>
          <w:rFonts w:ascii="Arial" w:eastAsia="Arial Unicode MS" w:hAnsi="Arial" w:cs="Arial"/>
          <w:color w:val="auto"/>
          <w:sz w:val="24"/>
          <w:szCs w:val="24"/>
        </w:rPr>
      </w:pPr>
      <w:bookmarkStart w:id="15" w:name="_Toc488230492"/>
      <w:r w:rsidRPr="00670830">
        <w:rPr>
          <w:rFonts w:ascii="Arial" w:eastAsia="Arial Unicode MS" w:hAnsi="Arial" w:cs="Arial"/>
          <w:color w:val="auto"/>
          <w:sz w:val="24"/>
          <w:szCs w:val="24"/>
        </w:rPr>
        <w:t>2.1.1. Acciones</w:t>
      </w:r>
      <w:bookmarkEnd w:id="15"/>
    </w:p>
    <w:p w:rsidR="00B14368" w:rsidRPr="00670830" w:rsidRDefault="00B14368" w:rsidP="00670830">
      <w:pPr>
        <w:spacing w:line="360" w:lineRule="auto"/>
        <w:jc w:val="both"/>
        <w:rPr>
          <w:rFonts w:ascii="Arial" w:hAnsi="Arial" w:cs="Arial"/>
          <w:sz w:val="24"/>
          <w:szCs w:val="24"/>
        </w:rPr>
      </w:pPr>
      <w:r w:rsidRPr="00670830">
        <w:rPr>
          <w:rFonts w:ascii="Arial" w:hAnsi="Arial" w:cs="Arial"/>
          <w:sz w:val="24"/>
          <w:szCs w:val="24"/>
        </w:rPr>
        <w:t>Los mercados accionarios son los espacios físicos o virtuales, y el conjunto de reglas que permiten a inversionistas, emisores e intermediarios realizar operaciones de emisión colocación, distribución e intermediación de títulos accionarios inscritos en el Registro Nacional de Valores.</w:t>
      </w:r>
    </w:p>
    <w:p w:rsidR="00B14368" w:rsidRPr="00670830" w:rsidRDefault="00B1436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compraventa de acciones se puede llevar a cabo a través de mercados primarios, cuando éstas son emitidas por primera vez, o a través de mercados secundarios cuando los títulos ya han sido adquiridos previamente mediante ofertas públicas y privadas.</w:t>
      </w:r>
    </w:p>
    <w:p w:rsidR="00B14368" w:rsidRPr="00670830" w:rsidRDefault="00B1436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títulos que se comercializan en este mercado pueden clasificarse por:</w:t>
      </w:r>
    </w:p>
    <w:p w:rsidR="00B14368" w:rsidRPr="00670830" w:rsidRDefault="00B14368" w:rsidP="00670830">
      <w:pPr>
        <w:pStyle w:val="Prrafodelista"/>
        <w:numPr>
          <w:ilvl w:val="0"/>
          <w:numId w:val="45"/>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Emisor:</w:t>
      </w:r>
      <w:r w:rsidRPr="00670830">
        <w:rPr>
          <w:rFonts w:ascii="Arial" w:eastAsia="Arial Unicode MS" w:hAnsi="Arial" w:cs="Arial"/>
          <w:sz w:val="24"/>
          <w:szCs w:val="24"/>
        </w:rPr>
        <w:t xml:space="preserve"> empresas privadas o sociedades de inversión.</w:t>
      </w:r>
    </w:p>
    <w:p w:rsidR="005F6D00" w:rsidRPr="00670830" w:rsidRDefault="005F6D00" w:rsidP="00670830">
      <w:pPr>
        <w:pStyle w:val="Prrafodelista"/>
        <w:spacing w:before="100" w:beforeAutospacing="1" w:after="100" w:afterAutospacing="1" w:line="360" w:lineRule="auto"/>
        <w:jc w:val="both"/>
        <w:rPr>
          <w:rFonts w:ascii="Arial" w:eastAsia="Arial Unicode MS" w:hAnsi="Arial" w:cs="Arial"/>
          <w:sz w:val="24"/>
          <w:szCs w:val="24"/>
        </w:rPr>
      </w:pPr>
    </w:p>
    <w:p w:rsidR="00B14368" w:rsidRPr="00670830" w:rsidRDefault="00B14368" w:rsidP="00670830">
      <w:pPr>
        <w:pStyle w:val="Prrafodelista"/>
        <w:numPr>
          <w:ilvl w:val="0"/>
          <w:numId w:val="45"/>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Tipo:</w:t>
      </w:r>
      <w:r w:rsidRPr="00670830">
        <w:rPr>
          <w:rFonts w:ascii="Arial" w:eastAsia="Arial Unicode MS" w:hAnsi="Arial" w:cs="Arial"/>
          <w:sz w:val="24"/>
          <w:szCs w:val="24"/>
        </w:rPr>
        <w:t xml:space="preserve"> preferentes, comunes o de goce.</w:t>
      </w:r>
    </w:p>
    <w:p w:rsidR="00B14368" w:rsidRPr="00670830" w:rsidRDefault="00B1436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[http://www.banxico.org.mx/sistema-financiero/material-educativo/basico/fichas/estructura-del-sistema-financiero/%7BDC08DC5F-6B04-ED99-ECBA-07D486D664B8%7D.pdf]</w:t>
      </w:r>
    </w:p>
    <w:p w:rsidR="00794F05" w:rsidRPr="00670830" w:rsidRDefault="00794F05"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Una acción en el mercado financiero es un título emitido por una sociedad que representa el valor de una de las fracciones iguales en que se divide su capital social. </w:t>
      </w:r>
    </w:p>
    <w:p w:rsidR="00794F05" w:rsidRPr="00670830" w:rsidRDefault="00794F05"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Las acciones, generalmente, confieren a su titular, llamado accionista, derechos políticos, como el de voto en la junta de accionistas de la entidad, y económicos, como participar en los beneficios de la empresa.</w:t>
      </w:r>
    </w:p>
    <w:p w:rsidR="00025A54" w:rsidRPr="00670830" w:rsidRDefault="00794F05"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R</w:t>
      </w:r>
      <w:r w:rsidR="00025A54" w:rsidRPr="00670830">
        <w:rPr>
          <w:rFonts w:ascii="Arial" w:eastAsia="Arial Unicode MS" w:hAnsi="Arial" w:cs="Arial"/>
          <w:sz w:val="24"/>
          <w:szCs w:val="24"/>
        </w:rPr>
        <w:t>epresentan parte del capital social de una empresa que son colocados entre el gran público inversionista a través de la BMV para obtener financiamiento. La tenencia de las acciones otorga a sus compradores los derechos de un socio.</w:t>
      </w:r>
    </w:p>
    <w:p w:rsidR="00025A54" w:rsidRPr="00670830" w:rsidRDefault="00025A5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rendimiento para el inversionista se presenta de dos formas:</w:t>
      </w:r>
    </w:p>
    <w:p w:rsidR="00025A54" w:rsidRPr="00670830" w:rsidRDefault="00025A54" w:rsidP="00670830">
      <w:pPr>
        <w:pStyle w:val="Prrafodelista"/>
        <w:numPr>
          <w:ilvl w:val="0"/>
          <w:numId w:val="18"/>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Dividendos que genera la empresa (las acciones permiten al inversionista crecer en sociedad con la empresa y, por lo tanto, participar de sus utilidades).</w:t>
      </w:r>
    </w:p>
    <w:p w:rsidR="00E41244" w:rsidRPr="00670830" w:rsidRDefault="00E41244" w:rsidP="00670830">
      <w:pPr>
        <w:pStyle w:val="Prrafodelista"/>
        <w:spacing w:before="100" w:beforeAutospacing="1" w:after="100" w:afterAutospacing="1" w:line="360" w:lineRule="auto"/>
        <w:jc w:val="both"/>
        <w:rPr>
          <w:rFonts w:ascii="Arial" w:eastAsia="Arial Unicode MS" w:hAnsi="Arial" w:cs="Arial"/>
          <w:sz w:val="24"/>
          <w:szCs w:val="24"/>
        </w:rPr>
      </w:pPr>
    </w:p>
    <w:p w:rsidR="00025A54" w:rsidRPr="00670830" w:rsidRDefault="00025A54" w:rsidP="00670830">
      <w:pPr>
        <w:pStyle w:val="Prrafodelista"/>
        <w:numPr>
          <w:ilvl w:val="0"/>
          <w:numId w:val="18"/>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Ganancias de capital, que es el diferencial, en su caso, entre el precio al que se compró y el precio al que se vendió la acción.</w:t>
      </w:r>
    </w:p>
    <w:p w:rsidR="00025A54" w:rsidRPr="00670830" w:rsidRDefault="00025A5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El plazo en este valor no existe, pues la decisión de venderlo o retenerlo reside exclusivamente en el tenedor. </w:t>
      </w:r>
    </w:p>
    <w:p w:rsidR="00710FB3" w:rsidRPr="00670830" w:rsidRDefault="0016040C" w:rsidP="00670830">
      <w:pPr>
        <w:spacing w:before="100" w:beforeAutospacing="1" w:after="100" w:afterAutospacing="1" w:line="360" w:lineRule="auto"/>
        <w:rPr>
          <w:rFonts w:ascii="Arial" w:eastAsia="Arial Unicode MS" w:hAnsi="Arial" w:cs="Arial"/>
          <w:sz w:val="24"/>
          <w:szCs w:val="24"/>
        </w:rPr>
      </w:pPr>
      <w:r w:rsidRPr="00670830">
        <w:rPr>
          <w:rFonts w:ascii="Arial" w:eastAsia="Arial Unicode MS" w:hAnsi="Arial" w:cs="Arial"/>
          <w:sz w:val="24"/>
          <w:szCs w:val="24"/>
        </w:rPr>
        <w:t xml:space="preserve"> </w:t>
      </w:r>
      <w:r w:rsidR="00025A54" w:rsidRPr="00670830">
        <w:rPr>
          <w:rFonts w:ascii="Arial" w:eastAsia="Arial Unicode MS" w:hAnsi="Arial" w:cs="Arial"/>
          <w:sz w:val="24"/>
          <w:szCs w:val="24"/>
        </w:rPr>
        <w:t>[http://www.bmv.com.mx]</w:t>
      </w:r>
    </w:p>
    <w:p w:rsidR="0016040C" w:rsidRPr="00670830" w:rsidRDefault="0016040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precio de la acción es variable, dependiendo de la entidad emisora. Algunos de los factores determinantes en el precio de las acciones es el desempeño mismo de la compañía, así como sus expectativas de cre</w:t>
      </w:r>
      <w:r w:rsidR="00063E31" w:rsidRPr="00670830">
        <w:rPr>
          <w:rFonts w:ascii="Arial" w:eastAsia="Arial Unicode MS" w:hAnsi="Arial" w:cs="Arial"/>
          <w:sz w:val="24"/>
          <w:szCs w:val="24"/>
        </w:rPr>
        <w:t>cimiento o</w:t>
      </w:r>
      <w:r w:rsidRPr="00670830">
        <w:rPr>
          <w:rFonts w:ascii="Arial" w:eastAsia="Arial Unicode MS" w:hAnsi="Arial" w:cs="Arial"/>
          <w:sz w:val="24"/>
          <w:szCs w:val="24"/>
        </w:rPr>
        <w:t xml:space="preserve"> desarrollo a futuro. </w:t>
      </w:r>
    </w:p>
    <w:p w:rsidR="0016040C" w:rsidRPr="00670830" w:rsidRDefault="0016040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Debido a lo anterior, invertir en acciones resulta riesgoso pues el desempeño de una empresa se puede ver afectado por múltiples factores, tanto internos como externos, tal como la situación económica política del país. Es recomendable siempre acudir a personas capacitadas para evaluar factores externos, tanto nacionales como internacionales (análisis técnico), así como factores que competen al desempeño de la empresa, como situación financiera, análisis de riesgos, análisis de razones financieras, etc. (análisis fundamental) que pueden influenciar en el precio de las acciones. También es recomendable comparar el desempeño de la empresa con el desempeño de otras compañías que se encuentran en el mismo sector.</w:t>
      </w:r>
    </w:p>
    <w:p w:rsidR="0016040C" w:rsidRPr="00670830" w:rsidRDefault="0016040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lineamientos emitidos por los organismos reguladores obligan a las empresas que cotizan en la bolsa a proporcionar información veraz y oportuna de su desempeño financiero (cada trimestre) y de cualquier situación que pudiera afectar las condiciones futuras de la empresa, y por supuesto esta información está disponible al público en general a través de la BMV, revistas especializadas, algunos periódicos y páginas de Internet.</w:t>
      </w:r>
    </w:p>
    <w:p w:rsidR="00794F05" w:rsidRPr="00670830" w:rsidRDefault="00794F05"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Las acciones son títulos valores al igual que los bonos. La diferencia entre una acción y un bono u obligación radica en que la acción otorga la propiedad de los activos de la empresa en la proporción que supone el valor nominal de dicha acción respecto del capital social total, en tanto que el bono u obligación solamente confiere un derecho de crédito sobre la deuda de la empresa que lo emite.</w:t>
      </w:r>
    </w:p>
    <w:p w:rsidR="00794F05" w:rsidRPr="00670830" w:rsidRDefault="00794F05"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titular de bonos u obligaciones de una empresa es un acreedor de la misma, y tiene derecho, cuando vence el plazo pactado, a la devolución de la cantidad desembolsada más los intereses devengados. Los bonos u obligaciones se consideran inversiones en renta fija.</w:t>
      </w:r>
    </w:p>
    <w:p w:rsidR="00610D92" w:rsidRPr="00670830" w:rsidRDefault="00610D92" w:rsidP="00670830">
      <w:pPr>
        <w:spacing w:before="100" w:beforeAutospacing="1" w:after="100" w:afterAutospacing="1" w:line="360" w:lineRule="auto"/>
        <w:jc w:val="both"/>
        <w:rPr>
          <w:rFonts w:ascii="Arial" w:eastAsia="Arial Unicode MS" w:hAnsi="Arial" w:cs="Arial"/>
          <w:sz w:val="24"/>
          <w:szCs w:val="24"/>
        </w:rPr>
      </w:pPr>
    </w:p>
    <w:p w:rsidR="00740DD9" w:rsidRPr="00670830" w:rsidRDefault="00740DD9" w:rsidP="00670830">
      <w:pPr>
        <w:pStyle w:val="Ttulo4"/>
        <w:spacing w:before="100" w:beforeAutospacing="1" w:after="100" w:afterAutospacing="1" w:line="360" w:lineRule="auto"/>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2.1.1.1. Acciones comunes</w:t>
      </w:r>
    </w:p>
    <w:p w:rsidR="00E7022E" w:rsidRPr="00670830" w:rsidRDefault="00E7022E"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Las acciones comunes son activos financieros negociables sin vencimiento que representan una porción residual de la propiedad de una empresa. </w:t>
      </w:r>
    </w:p>
    <w:p w:rsidR="00E7022E" w:rsidRPr="00670830" w:rsidRDefault="00E7022E"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Una acción común da a su propietario derechos tanto sobre los activos de la empresa como sobre las utilidades que esta genere, así como opinar y votar sobre las decisiones que se tomen.</w:t>
      </w:r>
      <w:r w:rsidR="00255B34" w:rsidRPr="00670830">
        <w:rPr>
          <w:rFonts w:ascii="Arial" w:eastAsia="Arial Unicode MS" w:hAnsi="Arial" w:cs="Arial"/>
          <w:sz w:val="24"/>
          <w:szCs w:val="24"/>
        </w:rPr>
        <w:t xml:space="preserve"> </w:t>
      </w:r>
      <w:r w:rsidRPr="00670830">
        <w:rPr>
          <w:rFonts w:ascii="Arial" w:eastAsia="Arial Unicode MS" w:hAnsi="Arial" w:cs="Arial"/>
          <w:sz w:val="24"/>
          <w:szCs w:val="24"/>
        </w:rPr>
        <w:t xml:space="preserve">Como financiamiento representan la fuente de recursos más costosa para una compañía </w:t>
      </w:r>
    </w:p>
    <w:p w:rsidR="001F7DEB" w:rsidRPr="00670830" w:rsidRDefault="00255B3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propietarios de una empresa son tanto los accionistas preferentes como los accionistas comunes. Como los acreedores y los accionistas preferentes, en ese orden, tienen derechos prioritarios sobre los accionistas comunes, son estos últimos quienes asumen el mayor riesgo dentro de la empresa y, por lo tanto, quienes tienen un mayor rendimiento requerido sobre el dinero que inviertan en ella.</w:t>
      </w:r>
    </w:p>
    <w:p w:rsidR="00255B34" w:rsidRPr="00670830" w:rsidRDefault="00255B3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Las acciones comunes proporcionan a sus propietarios responsabilidad limitada en la empresa. Esto significa que el accionista común como propietario de la empresa no puede perder una cantidad mayor a su aportación económica a la sociedad y que sus bienes personales no están en riesgo en caso de que la empresa se vea en dificultades financieras</w:t>
      </w:r>
    </w:p>
    <w:p w:rsidR="00255B34" w:rsidRPr="00670830" w:rsidRDefault="00255B34" w:rsidP="00670830">
      <w:pPr>
        <w:spacing w:before="100" w:beforeAutospacing="1" w:after="100" w:afterAutospacing="1" w:line="360" w:lineRule="auto"/>
        <w:rPr>
          <w:rFonts w:ascii="Arial" w:eastAsia="Arial Unicode MS" w:hAnsi="Arial" w:cs="Arial"/>
          <w:sz w:val="24"/>
          <w:szCs w:val="24"/>
        </w:rPr>
      </w:pPr>
      <w:r w:rsidRPr="00670830">
        <w:rPr>
          <w:rFonts w:ascii="Arial" w:eastAsia="Arial Unicode MS" w:hAnsi="Arial" w:cs="Arial"/>
          <w:sz w:val="24"/>
          <w:szCs w:val="24"/>
        </w:rPr>
        <w:t>Como propietarios de la empresa, los accionistas comunes tienen los siguientes derechos:</w:t>
      </w:r>
    </w:p>
    <w:p w:rsidR="00A51574" w:rsidRPr="00670830" w:rsidRDefault="00255B34" w:rsidP="00670830">
      <w:pPr>
        <w:pStyle w:val="Prrafodelista"/>
        <w:numPr>
          <w:ilvl w:val="0"/>
          <w:numId w:val="20"/>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i/>
          <w:sz w:val="24"/>
          <w:szCs w:val="24"/>
        </w:rPr>
        <w:t>Derecho de voto:</w:t>
      </w:r>
      <w:r w:rsidR="00A51574" w:rsidRPr="00670830">
        <w:rPr>
          <w:rFonts w:ascii="Arial" w:eastAsia="Arial Unicode MS" w:hAnsi="Arial" w:cs="Arial"/>
          <w:sz w:val="24"/>
          <w:szCs w:val="24"/>
        </w:rPr>
        <w:t xml:space="preserve"> l</w:t>
      </w:r>
      <w:r w:rsidRPr="00670830">
        <w:rPr>
          <w:rFonts w:ascii="Arial" w:eastAsia="Arial Unicode MS" w:hAnsi="Arial" w:cs="Arial"/>
          <w:sz w:val="24"/>
          <w:szCs w:val="24"/>
        </w:rPr>
        <w:t>os accionistas comunes tienen derecho a opinar y a decidir sobre las decisiones que se tomen. Se elige en alguna decisión propuesta sobre la base de voto por mayoría.</w:t>
      </w:r>
    </w:p>
    <w:p w:rsidR="00A51574" w:rsidRPr="00670830" w:rsidRDefault="00A51574" w:rsidP="00670830">
      <w:pPr>
        <w:pStyle w:val="Prrafodelista"/>
        <w:spacing w:before="100" w:beforeAutospacing="1" w:after="100" w:afterAutospacing="1" w:line="360" w:lineRule="auto"/>
        <w:jc w:val="both"/>
        <w:rPr>
          <w:rFonts w:ascii="Arial" w:eastAsia="Arial Unicode MS" w:hAnsi="Arial" w:cs="Arial"/>
          <w:sz w:val="24"/>
          <w:szCs w:val="24"/>
        </w:rPr>
      </w:pPr>
    </w:p>
    <w:p w:rsidR="00A51574" w:rsidRPr="00670830" w:rsidRDefault="00255B34" w:rsidP="00670830">
      <w:pPr>
        <w:pStyle w:val="Prrafodelista"/>
        <w:numPr>
          <w:ilvl w:val="0"/>
          <w:numId w:val="20"/>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i/>
          <w:sz w:val="24"/>
          <w:szCs w:val="24"/>
        </w:rPr>
        <w:t>Derecho de prioridad:</w:t>
      </w:r>
      <w:r w:rsidRPr="00670830">
        <w:rPr>
          <w:rFonts w:ascii="Arial" w:eastAsia="Arial Unicode MS" w:hAnsi="Arial" w:cs="Arial"/>
          <w:b/>
          <w:sz w:val="24"/>
          <w:szCs w:val="24"/>
        </w:rPr>
        <w:t xml:space="preserve"> </w:t>
      </w:r>
      <w:r w:rsidR="002B73D8" w:rsidRPr="00670830">
        <w:rPr>
          <w:rFonts w:ascii="Arial" w:eastAsia="Arial Unicode MS" w:hAnsi="Arial" w:cs="Arial"/>
          <w:sz w:val="24"/>
          <w:szCs w:val="24"/>
        </w:rPr>
        <w:t>les permite mantener su proporción de la participación en la propiedad de la empresa cuando se emiten nuevas acciones comunes.</w:t>
      </w:r>
    </w:p>
    <w:p w:rsidR="00A51574" w:rsidRPr="00670830" w:rsidRDefault="00A51574" w:rsidP="00670830">
      <w:pPr>
        <w:pStyle w:val="Prrafodelista"/>
        <w:spacing w:before="100" w:beforeAutospacing="1" w:after="100" w:afterAutospacing="1" w:line="360" w:lineRule="auto"/>
        <w:jc w:val="both"/>
        <w:rPr>
          <w:rFonts w:ascii="Arial" w:eastAsia="Arial Unicode MS" w:hAnsi="Arial" w:cs="Arial"/>
          <w:sz w:val="24"/>
          <w:szCs w:val="24"/>
        </w:rPr>
      </w:pPr>
    </w:p>
    <w:p w:rsidR="00A51574" w:rsidRPr="00670830" w:rsidRDefault="002B73D8" w:rsidP="00670830">
      <w:pPr>
        <w:pStyle w:val="Prrafodelista"/>
        <w:numPr>
          <w:ilvl w:val="0"/>
          <w:numId w:val="20"/>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i/>
          <w:sz w:val="24"/>
          <w:szCs w:val="24"/>
        </w:rPr>
        <w:t>Derecho a los dividendos:</w:t>
      </w:r>
      <w:r w:rsidR="00A51574" w:rsidRPr="00670830">
        <w:rPr>
          <w:rFonts w:ascii="Arial" w:eastAsia="Arial Unicode MS" w:hAnsi="Arial" w:cs="Arial"/>
          <w:sz w:val="24"/>
          <w:szCs w:val="24"/>
        </w:rPr>
        <w:t xml:space="preserve"> n</w:t>
      </w:r>
      <w:r w:rsidRPr="00670830">
        <w:rPr>
          <w:rFonts w:ascii="Arial" w:eastAsia="Arial Unicode MS" w:hAnsi="Arial" w:cs="Arial"/>
          <w:sz w:val="24"/>
          <w:szCs w:val="24"/>
        </w:rPr>
        <w:t>o obstante, la empresa no tiene la obligación legal de pagar los dividendos.</w:t>
      </w:r>
    </w:p>
    <w:p w:rsidR="00A51574" w:rsidRPr="00670830" w:rsidRDefault="00A51574" w:rsidP="00670830">
      <w:pPr>
        <w:pStyle w:val="Prrafodelista"/>
        <w:spacing w:before="100" w:beforeAutospacing="1" w:after="100" w:afterAutospacing="1" w:line="360" w:lineRule="auto"/>
        <w:jc w:val="both"/>
        <w:rPr>
          <w:rFonts w:ascii="Arial" w:eastAsia="Arial Unicode MS" w:hAnsi="Arial" w:cs="Arial"/>
          <w:sz w:val="24"/>
          <w:szCs w:val="24"/>
        </w:rPr>
      </w:pPr>
    </w:p>
    <w:p w:rsidR="002B73D8" w:rsidRPr="00670830" w:rsidRDefault="002B73D8" w:rsidP="00670830">
      <w:pPr>
        <w:pStyle w:val="Prrafodelista"/>
        <w:numPr>
          <w:ilvl w:val="0"/>
          <w:numId w:val="20"/>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i/>
          <w:sz w:val="24"/>
          <w:szCs w:val="24"/>
        </w:rPr>
        <w:t>Derecho de revisión:</w:t>
      </w:r>
      <w:r w:rsidRPr="00670830">
        <w:rPr>
          <w:rFonts w:ascii="Arial" w:eastAsia="Arial Unicode MS" w:hAnsi="Arial" w:cs="Arial"/>
          <w:sz w:val="24"/>
          <w:szCs w:val="24"/>
        </w:rPr>
        <w:t xml:space="preserve"> los accionistas comunes tienen el derecho de verificar y analizar los estados financieros de la empresa.</w:t>
      </w:r>
    </w:p>
    <w:p w:rsidR="00B14368" w:rsidRPr="00670830" w:rsidRDefault="002B73D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[Villareal, 2008]</w:t>
      </w:r>
    </w:p>
    <w:p w:rsidR="00B14368" w:rsidRPr="00670830" w:rsidRDefault="00B14368" w:rsidP="00670830">
      <w:pPr>
        <w:spacing w:before="100" w:beforeAutospacing="1" w:after="100" w:afterAutospacing="1" w:line="360" w:lineRule="auto"/>
        <w:jc w:val="both"/>
        <w:rPr>
          <w:rFonts w:ascii="Arial" w:eastAsia="Arial Unicode MS" w:hAnsi="Arial" w:cs="Arial"/>
          <w:sz w:val="24"/>
          <w:szCs w:val="24"/>
        </w:rPr>
      </w:pPr>
    </w:p>
    <w:p w:rsidR="00740DD9" w:rsidRPr="00670830" w:rsidRDefault="00740DD9" w:rsidP="00670830">
      <w:pPr>
        <w:pStyle w:val="Ttulo4"/>
        <w:spacing w:before="100" w:beforeAutospacing="1" w:after="100" w:afterAutospacing="1" w:line="360" w:lineRule="auto"/>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2.1.1.2. Acciones preferentes</w:t>
      </w:r>
    </w:p>
    <w:p w:rsidR="00E2530C" w:rsidRPr="00670830" w:rsidRDefault="00E2530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Las acciones preferentes son un instrumento financiero híbrido, ya que tienen rasgos que las asemejan tanto a las obligaciones, las cuales se definirán más adelante, como a las acciones comunes.</w:t>
      </w:r>
    </w:p>
    <w:p w:rsidR="001F7DEB" w:rsidRPr="00670830" w:rsidRDefault="00E2530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Estos instrumentos financieros son poco utilizados por las empresas y cuando se usan tienen la finalidad de reducir la razón deuda a capital sin perder la posibilidad del apalancamiento.</w:t>
      </w:r>
    </w:p>
    <w:p w:rsidR="00E2530C" w:rsidRPr="00670830" w:rsidRDefault="00E2530C" w:rsidP="00670830">
      <w:pPr>
        <w:pStyle w:val="Prrafodelista"/>
        <w:numPr>
          <w:ilvl w:val="0"/>
          <w:numId w:val="19"/>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Habitualmente tienen un valor a la par y se emiten con un precio cercano a dicho valor.</w:t>
      </w:r>
    </w:p>
    <w:p w:rsidR="00B14368" w:rsidRPr="00670830" w:rsidRDefault="00B14368" w:rsidP="00670830">
      <w:pPr>
        <w:pStyle w:val="Prrafodelista"/>
        <w:spacing w:before="100" w:beforeAutospacing="1" w:after="100" w:afterAutospacing="1" w:line="360" w:lineRule="auto"/>
        <w:jc w:val="both"/>
        <w:rPr>
          <w:rFonts w:ascii="Arial" w:eastAsia="Arial Unicode MS" w:hAnsi="Arial" w:cs="Arial"/>
          <w:sz w:val="24"/>
          <w:szCs w:val="24"/>
        </w:rPr>
      </w:pPr>
    </w:p>
    <w:p w:rsidR="00B14368" w:rsidRPr="00670830" w:rsidRDefault="00E2530C" w:rsidP="00670830">
      <w:pPr>
        <w:pStyle w:val="Prrafodelista"/>
        <w:numPr>
          <w:ilvl w:val="0"/>
          <w:numId w:val="19"/>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Pagan un dividendo fijo, pero que no es obligatorio para la empresa emisora. Los dividendos preferentes no pagados se conocen como atrasos.</w:t>
      </w:r>
    </w:p>
    <w:p w:rsidR="00B14368" w:rsidRPr="00670830" w:rsidRDefault="00B14368" w:rsidP="00670830">
      <w:pPr>
        <w:pStyle w:val="Prrafodelista"/>
        <w:spacing w:before="100" w:beforeAutospacing="1" w:after="100" w:afterAutospacing="1" w:line="360" w:lineRule="auto"/>
        <w:jc w:val="both"/>
        <w:rPr>
          <w:rFonts w:ascii="Arial" w:eastAsia="Arial Unicode MS" w:hAnsi="Arial" w:cs="Arial"/>
          <w:sz w:val="24"/>
          <w:szCs w:val="24"/>
        </w:rPr>
      </w:pPr>
    </w:p>
    <w:p w:rsidR="00B14368" w:rsidRPr="00670830" w:rsidRDefault="00E2530C" w:rsidP="00670830">
      <w:pPr>
        <w:pStyle w:val="Prrafodelista"/>
        <w:numPr>
          <w:ilvl w:val="0"/>
          <w:numId w:val="19"/>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No obstante, la mayoría de las emisiones de acciones preferentes tienen una cláusula de dividendo acumulativo en efectivo bajo la cual todos los dividendos no atrasados deben pagarse antes de que los accionistas comunes reciban sus dividendos en efectivo.</w:t>
      </w:r>
    </w:p>
    <w:p w:rsidR="00B14368" w:rsidRPr="00670830" w:rsidRDefault="00B14368" w:rsidP="00670830">
      <w:pPr>
        <w:pStyle w:val="Prrafodelista"/>
        <w:spacing w:before="100" w:beforeAutospacing="1" w:after="100" w:afterAutospacing="1" w:line="360" w:lineRule="auto"/>
        <w:jc w:val="both"/>
        <w:rPr>
          <w:rFonts w:ascii="Arial" w:eastAsia="Arial Unicode MS" w:hAnsi="Arial" w:cs="Arial"/>
          <w:sz w:val="24"/>
          <w:szCs w:val="24"/>
        </w:rPr>
      </w:pPr>
    </w:p>
    <w:p w:rsidR="00B14368" w:rsidRPr="00670830" w:rsidRDefault="00E2530C" w:rsidP="00670830">
      <w:pPr>
        <w:pStyle w:val="Prrafodelista"/>
        <w:numPr>
          <w:ilvl w:val="0"/>
          <w:numId w:val="19"/>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Las acciones preferentes no establecen una fecha de vencimiento, sin embargo, establecen fondos de amortización para los pagos periódicos de dichas emisiones.</w:t>
      </w:r>
    </w:p>
    <w:p w:rsidR="00B14368" w:rsidRPr="00670830" w:rsidRDefault="00B14368" w:rsidP="00670830">
      <w:pPr>
        <w:pStyle w:val="Prrafodelista"/>
        <w:spacing w:before="100" w:beforeAutospacing="1" w:after="100" w:afterAutospacing="1" w:line="360" w:lineRule="auto"/>
        <w:jc w:val="both"/>
        <w:rPr>
          <w:rFonts w:ascii="Arial" w:eastAsia="Arial Unicode MS" w:hAnsi="Arial" w:cs="Arial"/>
          <w:sz w:val="24"/>
          <w:szCs w:val="24"/>
        </w:rPr>
      </w:pPr>
    </w:p>
    <w:p w:rsidR="00E2530C" w:rsidRPr="00670830" w:rsidRDefault="00E2530C" w:rsidP="00670830">
      <w:pPr>
        <w:pStyle w:val="Prrafodelista"/>
        <w:numPr>
          <w:ilvl w:val="0"/>
          <w:numId w:val="19"/>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derechos de las acciones preferentes son subordinados a los de las obligaciones, pero prioritarios a los de las acciones comunes</w:t>
      </w:r>
      <w:r w:rsidR="003B42D3" w:rsidRPr="00670830">
        <w:rPr>
          <w:rFonts w:ascii="Arial" w:eastAsia="Arial Unicode MS" w:hAnsi="Arial" w:cs="Arial"/>
          <w:sz w:val="24"/>
          <w:szCs w:val="24"/>
        </w:rPr>
        <w:t>.</w:t>
      </w:r>
    </w:p>
    <w:p w:rsidR="00E2530C" w:rsidRPr="00670830" w:rsidRDefault="003B42D3"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[Villareal, 2008]</w:t>
      </w:r>
    </w:p>
    <w:p w:rsidR="00B14368" w:rsidRPr="00670830" w:rsidRDefault="00B1436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accionistas preferentes no tienen derecho a participar y votar en juntas ordinarias. Sin embargo pueden hacerlo en las extraordinarias.</w:t>
      </w:r>
    </w:p>
    <w:p w:rsidR="00B14368" w:rsidRPr="00670830" w:rsidRDefault="00B1436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 </w:t>
      </w:r>
    </w:p>
    <w:p w:rsidR="00740DD9" w:rsidRPr="00670830" w:rsidRDefault="00740DD9" w:rsidP="00670830">
      <w:pPr>
        <w:pStyle w:val="Ttulo4"/>
        <w:spacing w:before="100" w:beforeAutospacing="1" w:after="100" w:afterAutospacing="1" w:line="360" w:lineRule="auto"/>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2.1.1.3. Acciones de goce</w:t>
      </w:r>
    </w:p>
    <w:p w:rsidR="00B14368" w:rsidRPr="00670830" w:rsidRDefault="00B1436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Son aquellas que pueden ser entregadas a los accionistas a quienes se les hubieren amortizado sus acciones con utilidades repartibles y sus tenedores tendrán derecho a las utilidades líquidas, así como derechos de voto en las asambleas, según lo contemple el contrato social</w:t>
      </w:r>
    </w:p>
    <w:p w:rsidR="0098594B" w:rsidRPr="00670830" w:rsidRDefault="00B1436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Las acciones de goce s</w:t>
      </w:r>
      <w:r w:rsidR="005A25A5" w:rsidRPr="00670830">
        <w:rPr>
          <w:rFonts w:ascii="Arial" w:eastAsia="Arial Unicode MS" w:hAnsi="Arial" w:cs="Arial"/>
          <w:sz w:val="24"/>
          <w:szCs w:val="24"/>
        </w:rPr>
        <w:t>on títulos nominativos denominados también certificados de goce, éstos no representan parte del capital social. Se expiden cuando se amortizan acciones que sí forman parte del capital social.</w:t>
      </w:r>
    </w:p>
    <w:p w:rsidR="00552412" w:rsidRPr="00670830" w:rsidRDefault="005A25A5"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certificados de goce, pueden estipular intereses a favor de sus poseedores o bien dividendos una vez que se les paga a los accionistas. También pueden estipular participación relativa en la liquidación del capital contable.</w:t>
      </w:r>
    </w:p>
    <w:p w:rsidR="00490A2B" w:rsidRPr="00670830" w:rsidRDefault="00490A2B"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[http://cie</w:t>
      </w:r>
      <w:r w:rsidR="00670830">
        <w:rPr>
          <w:rFonts w:ascii="Arial" w:eastAsia="Arial Unicode MS" w:hAnsi="Arial" w:cs="Arial"/>
          <w:sz w:val="24"/>
          <w:szCs w:val="24"/>
        </w:rPr>
        <w:t>p.itam.mx/~msegui/instrmex.htm]</w:t>
      </w:r>
    </w:p>
    <w:p w:rsidR="00740DD9" w:rsidRPr="00670830" w:rsidRDefault="00B0343A" w:rsidP="00670830">
      <w:pPr>
        <w:pStyle w:val="Ttulo3"/>
        <w:spacing w:before="100" w:beforeAutospacing="1" w:after="100" w:afterAutospacing="1" w:line="360" w:lineRule="auto"/>
        <w:jc w:val="both"/>
        <w:rPr>
          <w:rFonts w:ascii="Arial" w:eastAsia="Arial Unicode MS" w:hAnsi="Arial" w:cs="Arial"/>
          <w:color w:val="auto"/>
          <w:sz w:val="24"/>
          <w:szCs w:val="24"/>
        </w:rPr>
      </w:pPr>
      <w:bookmarkStart w:id="16" w:name="_Toc488230493"/>
      <w:r w:rsidRPr="00670830">
        <w:rPr>
          <w:rFonts w:ascii="Arial" w:eastAsia="Arial Unicode MS" w:hAnsi="Arial" w:cs="Arial"/>
          <w:color w:val="auto"/>
          <w:sz w:val="24"/>
          <w:szCs w:val="24"/>
        </w:rPr>
        <w:t>2.1.2</w:t>
      </w:r>
      <w:r w:rsidR="00740DD9" w:rsidRPr="00670830">
        <w:rPr>
          <w:rFonts w:ascii="Arial" w:eastAsia="Arial Unicode MS" w:hAnsi="Arial" w:cs="Arial"/>
          <w:color w:val="auto"/>
          <w:sz w:val="24"/>
          <w:szCs w:val="24"/>
        </w:rPr>
        <w:t>. Valuación de acciones</w:t>
      </w:r>
      <w:bookmarkEnd w:id="16"/>
    </w:p>
    <w:p w:rsidR="008531B7" w:rsidRPr="00670830" w:rsidRDefault="00D34F7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La valuación de una acción es el proceso de estimar el precio de un activo, considerando diversos elementos relacionados con el desempeño de la empresa, así como el ambiente o contexto de la </w:t>
      </w:r>
      <w:r w:rsidR="008531B7" w:rsidRPr="00670830">
        <w:rPr>
          <w:rFonts w:ascii="Arial" w:eastAsia="Arial Unicode MS" w:hAnsi="Arial" w:cs="Arial"/>
          <w:sz w:val="24"/>
          <w:szCs w:val="24"/>
        </w:rPr>
        <w:t>misma, con el fin</w:t>
      </w:r>
      <w:r w:rsidRPr="00670830">
        <w:rPr>
          <w:rFonts w:ascii="Arial" w:eastAsia="Arial Unicode MS" w:hAnsi="Arial" w:cs="Arial"/>
          <w:sz w:val="24"/>
          <w:szCs w:val="24"/>
        </w:rPr>
        <w:t xml:space="preserve"> de obtener la información necesaria y suficiente para tomar decisiones sobre invertir</w:t>
      </w:r>
      <w:r w:rsidR="008531B7" w:rsidRPr="00670830">
        <w:rPr>
          <w:rFonts w:ascii="Arial" w:eastAsia="Arial Unicode MS" w:hAnsi="Arial" w:cs="Arial"/>
          <w:sz w:val="24"/>
          <w:szCs w:val="24"/>
        </w:rPr>
        <w:t>l</w:t>
      </w:r>
      <w:r w:rsidRPr="00670830">
        <w:rPr>
          <w:rFonts w:ascii="Arial" w:eastAsia="Arial Unicode MS" w:hAnsi="Arial" w:cs="Arial"/>
          <w:sz w:val="24"/>
          <w:szCs w:val="24"/>
        </w:rPr>
        <w:t xml:space="preserve">o no en la compañía, </w:t>
      </w:r>
      <w:r w:rsidR="008531B7" w:rsidRPr="00670830">
        <w:rPr>
          <w:rFonts w:ascii="Arial" w:eastAsia="Arial Unicode MS" w:hAnsi="Arial" w:cs="Arial"/>
          <w:sz w:val="24"/>
          <w:szCs w:val="24"/>
        </w:rPr>
        <w:t xml:space="preserve">inclusive, </w:t>
      </w:r>
      <w:r w:rsidRPr="00670830">
        <w:rPr>
          <w:rFonts w:ascii="Arial" w:eastAsia="Arial Unicode MS" w:hAnsi="Arial" w:cs="Arial"/>
          <w:sz w:val="24"/>
          <w:szCs w:val="24"/>
        </w:rPr>
        <w:t>realizar fusiones o adquisiciones.</w:t>
      </w:r>
    </w:p>
    <w:p w:rsidR="004058DA" w:rsidRPr="00670830" w:rsidRDefault="00D34F7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poseedores de las acciones esperan ser recompensados con dividendos periódicos en efectivo</w:t>
      </w:r>
      <w:r w:rsidR="004058DA" w:rsidRPr="00670830">
        <w:rPr>
          <w:rFonts w:ascii="Arial" w:eastAsia="Arial Unicode MS" w:hAnsi="Arial" w:cs="Arial"/>
          <w:sz w:val="24"/>
          <w:szCs w:val="24"/>
        </w:rPr>
        <w:t xml:space="preserve"> </w:t>
      </w:r>
      <w:r w:rsidRPr="00670830">
        <w:rPr>
          <w:rFonts w:ascii="Arial" w:eastAsia="Arial Unicode MS" w:hAnsi="Arial" w:cs="Arial"/>
          <w:sz w:val="24"/>
          <w:szCs w:val="24"/>
        </w:rPr>
        <w:t>y con el incremento del valor de las acciones. Es por esto</w:t>
      </w:r>
      <w:r w:rsidR="004058DA" w:rsidRPr="00670830">
        <w:rPr>
          <w:rFonts w:ascii="Arial" w:eastAsia="Arial Unicode MS" w:hAnsi="Arial" w:cs="Arial"/>
          <w:sz w:val="24"/>
          <w:szCs w:val="24"/>
        </w:rPr>
        <w:t>,</w:t>
      </w:r>
      <w:r w:rsidRPr="00670830">
        <w:rPr>
          <w:rFonts w:ascii="Arial" w:eastAsia="Arial Unicode MS" w:hAnsi="Arial" w:cs="Arial"/>
          <w:sz w:val="24"/>
          <w:szCs w:val="24"/>
        </w:rPr>
        <w:t xml:space="preserve"> que los inversionistas venden una acción</w:t>
      </w:r>
      <w:r w:rsidR="004058DA" w:rsidRPr="00670830">
        <w:rPr>
          <w:rFonts w:ascii="Arial" w:eastAsia="Arial Unicode MS" w:hAnsi="Arial" w:cs="Arial"/>
          <w:sz w:val="24"/>
          <w:szCs w:val="24"/>
        </w:rPr>
        <w:t xml:space="preserve"> </w:t>
      </w:r>
      <w:r w:rsidRPr="00670830">
        <w:rPr>
          <w:rFonts w:ascii="Arial" w:eastAsia="Arial Unicode MS" w:hAnsi="Arial" w:cs="Arial"/>
          <w:sz w:val="24"/>
          <w:szCs w:val="24"/>
        </w:rPr>
        <w:t>cuando creen que está sobrevaluada, y la compran cuando está subvaluada. De esta forma, la</w:t>
      </w:r>
      <w:r w:rsidR="004058DA" w:rsidRPr="00670830">
        <w:rPr>
          <w:rFonts w:ascii="Arial" w:eastAsia="Arial Unicode MS" w:hAnsi="Arial" w:cs="Arial"/>
          <w:sz w:val="24"/>
          <w:szCs w:val="24"/>
        </w:rPr>
        <w:t xml:space="preserve"> </w:t>
      </w:r>
      <w:r w:rsidRPr="00670830">
        <w:rPr>
          <w:rFonts w:ascii="Arial" w:eastAsia="Arial Unicode MS" w:hAnsi="Arial" w:cs="Arial"/>
          <w:sz w:val="24"/>
          <w:szCs w:val="24"/>
        </w:rPr>
        <w:t>valuación de una acción es un proceso que relaciona el riesgo y el rendimiento de un activo para</w:t>
      </w:r>
      <w:r w:rsidR="004058DA" w:rsidRPr="00670830">
        <w:rPr>
          <w:rFonts w:ascii="Arial" w:eastAsia="Arial Unicode MS" w:hAnsi="Arial" w:cs="Arial"/>
          <w:sz w:val="24"/>
          <w:szCs w:val="24"/>
        </w:rPr>
        <w:t xml:space="preserve"> </w:t>
      </w:r>
      <w:r w:rsidRPr="00670830">
        <w:rPr>
          <w:rFonts w:ascii="Arial" w:eastAsia="Arial Unicode MS" w:hAnsi="Arial" w:cs="Arial"/>
          <w:sz w:val="24"/>
          <w:szCs w:val="24"/>
        </w:rPr>
        <w:t>determinar su valor bajo la influencia de tres factores principales:</w:t>
      </w:r>
    </w:p>
    <w:p w:rsidR="005F6D00" w:rsidRPr="00670830" w:rsidRDefault="00D34F78" w:rsidP="00670830">
      <w:pPr>
        <w:pStyle w:val="Prrafodelista"/>
        <w:numPr>
          <w:ilvl w:val="0"/>
          <w:numId w:val="46"/>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Los flujos de </w:t>
      </w:r>
      <w:r w:rsidR="004058DA" w:rsidRPr="00670830">
        <w:rPr>
          <w:rFonts w:ascii="Arial" w:eastAsia="Arial Unicode MS" w:hAnsi="Arial" w:cs="Arial"/>
          <w:sz w:val="24"/>
          <w:szCs w:val="24"/>
        </w:rPr>
        <w:t>efectivo</w:t>
      </w:r>
    </w:p>
    <w:p w:rsidR="005F6D00" w:rsidRPr="00670830" w:rsidRDefault="00D34F78" w:rsidP="00670830">
      <w:pPr>
        <w:pStyle w:val="Prrafodelista"/>
        <w:numPr>
          <w:ilvl w:val="0"/>
          <w:numId w:val="46"/>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mo</w:t>
      </w:r>
      <w:r w:rsidR="004058DA" w:rsidRPr="00670830">
        <w:rPr>
          <w:rFonts w:ascii="Arial" w:eastAsia="Arial Unicode MS" w:hAnsi="Arial" w:cs="Arial"/>
          <w:sz w:val="24"/>
          <w:szCs w:val="24"/>
        </w:rPr>
        <w:t>mento en que ocurren los flujos</w:t>
      </w:r>
    </w:p>
    <w:p w:rsidR="004058DA" w:rsidRPr="00670830" w:rsidRDefault="00D34F78" w:rsidP="00670830">
      <w:pPr>
        <w:pStyle w:val="Prrafodelista"/>
        <w:numPr>
          <w:ilvl w:val="0"/>
          <w:numId w:val="46"/>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rendimiento requerido (en función del riesgo)</w:t>
      </w:r>
    </w:p>
    <w:p w:rsidR="0018054A" w:rsidRPr="00670830" w:rsidRDefault="00B55E41"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Por ejemplo, para acciones comunes, si las acciones se mantienen durante n periodos con dividendos y donde la tasa de rendimiento para cada periodo es </w:t>
      </w:r>
      <w:proofErr w:type="spellStart"/>
      <w:r w:rsidRPr="00670830">
        <w:rPr>
          <w:rFonts w:ascii="Arial" w:eastAsia="Arial Unicode MS" w:hAnsi="Arial" w:cs="Arial"/>
          <w:sz w:val="24"/>
          <w:szCs w:val="24"/>
        </w:rPr>
        <w:t>R</w:t>
      </w:r>
      <w:r w:rsidRPr="00670830">
        <w:rPr>
          <w:rFonts w:ascii="Arial" w:eastAsia="Arial Unicode MS" w:hAnsi="Arial" w:cs="Arial"/>
          <w:sz w:val="24"/>
          <w:szCs w:val="24"/>
          <w:vertAlign w:val="subscript"/>
        </w:rPr>
        <w:t>t</w:t>
      </w:r>
      <w:proofErr w:type="spellEnd"/>
      <w:r w:rsidRPr="00670830">
        <w:rPr>
          <w:rFonts w:ascii="Arial" w:eastAsia="Arial Unicode MS" w:hAnsi="Arial" w:cs="Arial"/>
          <w:sz w:val="24"/>
          <w:szCs w:val="24"/>
        </w:rPr>
        <w:t>, entonces el precio o valor actual P</w:t>
      </w:r>
      <w:r w:rsidRPr="00670830">
        <w:rPr>
          <w:rFonts w:ascii="Arial" w:eastAsia="Arial Unicode MS" w:hAnsi="Arial" w:cs="Arial"/>
          <w:sz w:val="24"/>
          <w:szCs w:val="24"/>
          <w:vertAlign w:val="subscript"/>
        </w:rPr>
        <w:t xml:space="preserve">0 </w:t>
      </w:r>
      <w:r w:rsidRPr="00670830">
        <w:rPr>
          <w:rFonts w:ascii="Arial" w:eastAsia="Arial Unicode MS" w:hAnsi="Arial" w:cs="Arial"/>
          <w:sz w:val="24"/>
          <w:szCs w:val="24"/>
        </w:rPr>
        <w:t>de la acción es:</w:t>
      </w:r>
    </w:p>
    <w:p w:rsidR="00B55E41" w:rsidRPr="00670830" w:rsidRDefault="00AC26BD" w:rsidP="00670830">
      <w:pPr>
        <w:spacing w:before="100" w:beforeAutospacing="1" w:after="100" w:afterAutospacing="1" w:line="360" w:lineRule="auto"/>
        <w:jc w:val="both"/>
        <w:rPr>
          <w:rFonts w:ascii="Arial" w:eastAsia="Arial Unicode MS" w:hAnsi="Arial" w:cs="Arial"/>
          <w:sz w:val="24"/>
          <w:szCs w:val="24"/>
        </w:rPr>
      </w:pPr>
      <m:oMathPara>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P</m:t>
              </m:r>
            </m:e>
            <m:sub>
              <m:r>
                <w:rPr>
                  <w:rFonts w:ascii="Cambria Math" w:eastAsia="Arial Unicode MS" w:hAnsi="Cambria Math" w:cs="Arial"/>
                  <w:sz w:val="24"/>
                  <w:szCs w:val="24"/>
                </w:rPr>
                <m:t>0</m:t>
              </m:r>
            </m:sub>
          </m:sSub>
          <m:r>
            <w:rPr>
              <w:rFonts w:ascii="Cambria Math" w:eastAsia="Arial Unicode MS" w:hAnsi="Cambria Math" w:cs="Arial"/>
              <w:sz w:val="24"/>
              <w:szCs w:val="24"/>
            </w:rPr>
            <m:t>=</m:t>
          </m:r>
          <m:f>
            <m:fPr>
              <m:ctrlPr>
                <w:rPr>
                  <w:rFonts w:ascii="Cambria Math" w:eastAsia="Arial Unicode MS" w:hAnsi="Cambria Math" w:cs="Arial"/>
                  <w:i/>
                  <w:sz w:val="24"/>
                  <w:szCs w:val="24"/>
                </w:rPr>
              </m:ctrlPr>
            </m:fPr>
            <m:num>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D</m:t>
                  </m:r>
                </m:e>
                <m:sub>
                  <m:r>
                    <w:rPr>
                      <w:rFonts w:ascii="Cambria Math" w:eastAsia="Arial Unicode MS" w:hAnsi="Cambria Math" w:cs="Arial"/>
                      <w:sz w:val="24"/>
                      <w:szCs w:val="24"/>
                    </w:rPr>
                    <m:t>1</m:t>
                  </m:r>
                </m:sub>
              </m:sSub>
            </m:num>
            <m:den>
              <m:sSup>
                <m:sSupPr>
                  <m:ctrlPr>
                    <w:rPr>
                      <w:rFonts w:ascii="Cambria Math" w:eastAsia="Arial Unicode MS" w:hAnsi="Cambria Math" w:cs="Arial"/>
                      <w:i/>
                      <w:sz w:val="24"/>
                      <w:szCs w:val="24"/>
                    </w:rPr>
                  </m:ctrlPr>
                </m:sSupPr>
                <m:e>
                  <m:r>
                    <w:rPr>
                      <w:rFonts w:ascii="Cambria Math" w:eastAsia="Arial Unicode MS" w:hAnsi="Cambria Math" w:cs="Arial"/>
                      <w:sz w:val="24"/>
                      <w:szCs w:val="24"/>
                    </w:rPr>
                    <m:t>(1+</m:t>
                  </m:r>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K</m:t>
                      </m:r>
                    </m:e>
                    <m:sub>
                      <m:r>
                        <w:rPr>
                          <w:rFonts w:ascii="Cambria Math" w:eastAsia="Arial Unicode MS" w:hAnsi="Cambria Math" w:cs="Arial"/>
                          <w:sz w:val="24"/>
                          <w:szCs w:val="24"/>
                        </w:rPr>
                        <m:t>s</m:t>
                      </m:r>
                    </m:sub>
                  </m:sSub>
                  <m:r>
                    <w:rPr>
                      <w:rFonts w:ascii="Cambria Math" w:eastAsia="Arial Unicode MS" w:hAnsi="Cambria Math" w:cs="Arial"/>
                      <w:sz w:val="24"/>
                      <w:szCs w:val="24"/>
                    </w:rPr>
                    <m:t>)</m:t>
                  </m:r>
                </m:e>
                <m:sup>
                  <m:r>
                    <w:rPr>
                      <w:rFonts w:ascii="Cambria Math" w:eastAsia="Arial Unicode MS" w:hAnsi="Cambria Math" w:cs="Arial"/>
                      <w:sz w:val="24"/>
                      <w:szCs w:val="24"/>
                    </w:rPr>
                    <m:t>1</m:t>
                  </m:r>
                </m:sup>
              </m:sSup>
            </m:den>
          </m:f>
          <m:r>
            <w:rPr>
              <w:rFonts w:ascii="Cambria Math" w:eastAsia="Arial Unicode MS" w:hAnsi="Cambria Math" w:cs="Arial"/>
              <w:sz w:val="24"/>
              <w:szCs w:val="24"/>
            </w:rPr>
            <m:t>+</m:t>
          </m:r>
          <m:f>
            <m:fPr>
              <m:ctrlPr>
                <w:rPr>
                  <w:rFonts w:ascii="Cambria Math" w:eastAsia="Arial Unicode MS" w:hAnsi="Cambria Math" w:cs="Arial"/>
                  <w:i/>
                  <w:sz w:val="24"/>
                  <w:szCs w:val="24"/>
                </w:rPr>
              </m:ctrlPr>
            </m:fPr>
            <m:num>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D</m:t>
                  </m:r>
                </m:e>
                <m:sub>
                  <m:r>
                    <w:rPr>
                      <w:rFonts w:ascii="Cambria Math" w:eastAsia="Arial Unicode MS" w:hAnsi="Cambria Math" w:cs="Arial"/>
                      <w:sz w:val="24"/>
                      <w:szCs w:val="24"/>
                    </w:rPr>
                    <m:t>2</m:t>
                  </m:r>
                </m:sub>
              </m:sSub>
            </m:num>
            <m:den>
              <m:sSup>
                <m:sSupPr>
                  <m:ctrlPr>
                    <w:rPr>
                      <w:rFonts w:ascii="Cambria Math" w:eastAsia="Arial Unicode MS" w:hAnsi="Cambria Math" w:cs="Arial"/>
                      <w:i/>
                      <w:sz w:val="24"/>
                      <w:szCs w:val="24"/>
                    </w:rPr>
                  </m:ctrlPr>
                </m:sSupPr>
                <m:e>
                  <m:r>
                    <w:rPr>
                      <w:rFonts w:ascii="Cambria Math" w:eastAsia="Arial Unicode MS" w:hAnsi="Cambria Math" w:cs="Arial"/>
                      <w:sz w:val="24"/>
                      <w:szCs w:val="24"/>
                    </w:rPr>
                    <m:t>(1+</m:t>
                  </m:r>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K</m:t>
                      </m:r>
                    </m:e>
                    <m:sub>
                      <m:r>
                        <w:rPr>
                          <w:rFonts w:ascii="Cambria Math" w:eastAsia="Arial Unicode MS" w:hAnsi="Cambria Math" w:cs="Arial"/>
                          <w:sz w:val="24"/>
                          <w:szCs w:val="24"/>
                        </w:rPr>
                        <m:t>s</m:t>
                      </m:r>
                    </m:sub>
                  </m:sSub>
                  <m:r>
                    <w:rPr>
                      <w:rFonts w:ascii="Cambria Math" w:eastAsia="Arial Unicode MS" w:hAnsi="Cambria Math" w:cs="Arial"/>
                      <w:sz w:val="24"/>
                      <w:szCs w:val="24"/>
                    </w:rPr>
                    <m:t>)</m:t>
                  </m:r>
                </m:e>
                <m:sup>
                  <m:r>
                    <w:rPr>
                      <w:rFonts w:ascii="Cambria Math" w:eastAsia="Arial Unicode MS" w:hAnsi="Cambria Math" w:cs="Arial"/>
                      <w:sz w:val="24"/>
                      <w:szCs w:val="24"/>
                    </w:rPr>
                    <m:t>2</m:t>
                  </m:r>
                </m:sup>
              </m:sSup>
            </m:den>
          </m:f>
          <m:r>
            <w:rPr>
              <w:rFonts w:ascii="Cambria Math" w:eastAsia="Arial Unicode MS" w:hAnsi="Cambria Math" w:cs="Arial"/>
              <w:sz w:val="24"/>
              <w:szCs w:val="24"/>
            </w:rPr>
            <m:t>+</m:t>
          </m:r>
          <m:f>
            <m:fPr>
              <m:ctrlPr>
                <w:rPr>
                  <w:rFonts w:ascii="Cambria Math" w:eastAsia="Arial Unicode MS" w:hAnsi="Cambria Math" w:cs="Arial"/>
                  <w:i/>
                  <w:sz w:val="24"/>
                  <w:szCs w:val="24"/>
                </w:rPr>
              </m:ctrlPr>
            </m:fPr>
            <m:num>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D</m:t>
                  </m:r>
                </m:e>
                <m:sub>
                  <m:r>
                    <w:rPr>
                      <w:rFonts w:ascii="Cambria Math" w:eastAsia="Arial Unicode MS" w:hAnsi="Cambria Math" w:cs="Arial"/>
                      <w:sz w:val="24"/>
                      <w:szCs w:val="24"/>
                    </w:rPr>
                    <m:t>3</m:t>
                  </m:r>
                </m:sub>
              </m:sSub>
            </m:num>
            <m:den>
              <m:sSup>
                <m:sSupPr>
                  <m:ctrlPr>
                    <w:rPr>
                      <w:rFonts w:ascii="Cambria Math" w:eastAsia="Arial Unicode MS" w:hAnsi="Cambria Math" w:cs="Arial"/>
                      <w:i/>
                      <w:sz w:val="24"/>
                      <w:szCs w:val="24"/>
                    </w:rPr>
                  </m:ctrlPr>
                </m:sSupPr>
                <m:e>
                  <m:r>
                    <w:rPr>
                      <w:rFonts w:ascii="Cambria Math" w:eastAsia="Arial Unicode MS" w:hAnsi="Cambria Math" w:cs="Arial"/>
                      <w:sz w:val="24"/>
                      <w:szCs w:val="24"/>
                    </w:rPr>
                    <m:t>(1+</m:t>
                  </m:r>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K</m:t>
                      </m:r>
                    </m:e>
                    <m:sub>
                      <m:r>
                        <w:rPr>
                          <w:rFonts w:ascii="Cambria Math" w:eastAsia="Arial Unicode MS" w:hAnsi="Cambria Math" w:cs="Arial"/>
                          <w:sz w:val="24"/>
                          <w:szCs w:val="24"/>
                        </w:rPr>
                        <m:t>s</m:t>
                      </m:r>
                    </m:sub>
                  </m:sSub>
                  <m:r>
                    <w:rPr>
                      <w:rFonts w:ascii="Cambria Math" w:eastAsia="Arial Unicode MS" w:hAnsi="Cambria Math" w:cs="Arial"/>
                      <w:sz w:val="24"/>
                      <w:szCs w:val="24"/>
                    </w:rPr>
                    <m:t>)</m:t>
                  </m:r>
                </m:e>
                <m:sup>
                  <m:r>
                    <w:rPr>
                      <w:rFonts w:ascii="Cambria Math" w:eastAsia="Arial Unicode MS" w:hAnsi="Cambria Math" w:cs="Arial"/>
                      <w:sz w:val="24"/>
                      <w:szCs w:val="24"/>
                    </w:rPr>
                    <m:t>3</m:t>
                  </m:r>
                </m:sup>
              </m:sSup>
            </m:den>
          </m:f>
          <m:r>
            <w:rPr>
              <w:rFonts w:ascii="Cambria Math" w:eastAsia="Arial Unicode MS" w:hAnsi="Cambria Math" w:cs="Arial"/>
              <w:sz w:val="24"/>
              <w:szCs w:val="24"/>
            </w:rPr>
            <m:t>+…+</m:t>
          </m:r>
          <m:f>
            <m:fPr>
              <m:ctrlPr>
                <w:rPr>
                  <w:rFonts w:ascii="Cambria Math" w:eastAsia="Arial Unicode MS" w:hAnsi="Cambria Math" w:cs="Arial"/>
                  <w:i/>
                  <w:sz w:val="24"/>
                  <w:szCs w:val="24"/>
                </w:rPr>
              </m:ctrlPr>
            </m:fPr>
            <m:num>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D</m:t>
                  </m:r>
                </m:e>
                <m:sub>
                  <m:r>
                    <w:rPr>
                      <w:rFonts w:ascii="Cambria Math" w:eastAsia="Arial Unicode MS" w:hAnsi="Cambria Math" w:cs="Arial"/>
                      <w:sz w:val="24"/>
                      <w:szCs w:val="24"/>
                    </w:rPr>
                    <m:t>∞</m:t>
                  </m:r>
                </m:sub>
              </m:sSub>
            </m:num>
            <m:den>
              <m:sSup>
                <m:sSupPr>
                  <m:ctrlPr>
                    <w:rPr>
                      <w:rFonts w:ascii="Cambria Math" w:eastAsia="Arial Unicode MS" w:hAnsi="Cambria Math" w:cs="Arial"/>
                      <w:i/>
                      <w:sz w:val="24"/>
                      <w:szCs w:val="24"/>
                    </w:rPr>
                  </m:ctrlPr>
                </m:sSupPr>
                <m:e>
                  <m:r>
                    <w:rPr>
                      <w:rFonts w:ascii="Cambria Math" w:eastAsia="Arial Unicode MS" w:hAnsi="Cambria Math" w:cs="Arial"/>
                      <w:sz w:val="24"/>
                      <w:szCs w:val="24"/>
                    </w:rPr>
                    <m:t>(1+</m:t>
                  </m:r>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K</m:t>
                      </m:r>
                    </m:e>
                    <m:sub>
                      <m:r>
                        <w:rPr>
                          <w:rFonts w:ascii="Cambria Math" w:eastAsia="Arial Unicode MS" w:hAnsi="Cambria Math" w:cs="Arial"/>
                          <w:sz w:val="24"/>
                          <w:szCs w:val="24"/>
                        </w:rPr>
                        <m:t>s</m:t>
                      </m:r>
                    </m:sub>
                  </m:sSub>
                  <m:r>
                    <w:rPr>
                      <w:rFonts w:ascii="Cambria Math" w:eastAsia="Arial Unicode MS" w:hAnsi="Cambria Math" w:cs="Arial"/>
                      <w:sz w:val="24"/>
                      <w:szCs w:val="24"/>
                    </w:rPr>
                    <m:t>)</m:t>
                  </m:r>
                </m:e>
                <m:sup>
                  <m:r>
                    <w:rPr>
                      <w:rFonts w:ascii="Cambria Math" w:eastAsia="Arial Unicode MS" w:hAnsi="Cambria Math" w:cs="Arial"/>
                      <w:sz w:val="24"/>
                      <w:szCs w:val="24"/>
                    </w:rPr>
                    <m:t>∞</m:t>
                  </m:r>
                </m:sup>
              </m:sSup>
            </m:den>
          </m:f>
        </m:oMath>
      </m:oMathPara>
    </w:p>
    <w:p w:rsidR="00110503" w:rsidRPr="00670830" w:rsidRDefault="0018054A" w:rsidP="00670830">
      <w:pPr>
        <w:pStyle w:val="Ttulo4"/>
        <w:spacing w:before="100" w:beforeAutospacing="1" w:after="100" w:afterAutospacing="1" w:line="360" w:lineRule="auto"/>
        <w:rPr>
          <w:rFonts w:ascii="Arial" w:eastAsia="Arial Unicode MS" w:hAnsi="Arial" w:cs="Arial"/>
          <w:b w:val="0"/>
          <w:i w:val="0"/>
          <w:color w:val="auto"/>
          <w:sz w:val="24"/>
          <w:szCs w:val="24"/>
        </w:rPr>
      </w:pPr>
      <w:r w:rsidRPr="00670830">
        <w:rPr>
          <w:rFonts w:ascii="Arial" w:eastAsia="Arial Unicode MS" w:hAnsi="Arial" w:cs="Arial"/>
          <w:b w:val="0"/>
          <w:i w:val="0"/>
          <w:color w:val="auto"/>
          <w:sz w:val="24"/>
          <w:szCs w:val="24"/>
        </w:rPr>
        <w:t>[https://www.uaeh.edu.mx/docencia]</w:t>
      </w:r>
    </w:p>
    <w:p w:rsidR="00740DD9" w:rsidRPr="00670830" w:rsidRDefault="00B0343A" w:rsidP="00670830">
      <w:pPr>
        <w:pStyle w:val="Ttulo4"/>
        <w:spacing w:before="100" w:beforeAutospacing="1" w:after="100" w:afterAutospacing="1" w:line="360" w:lineRule="auto"/>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2.1.2</w:t>
      </w:r>
      <w:r w:rsidR="00740DD9" w:rsidRPr="00670830">
        <w:rPr>
          <w:rFonts w:ascii="Arial" w:eastAsia="Arial Unicode MS" w:hAnsi="Arial" w:cs="Arial"/>
          <w:i w:val="0"/>
          <w:color w:val="auto"/>
          <w:sz w:val="24"/>
          <w:szCs w:val="24"/>
        </w:rPr>
        <w:t>.1. Dividendos</w:t>
      </w:r>
    </w:p>
    <w:p w:rsidR="00740DD9" w:rsidRPr="00670830" w:rsidRDefault="009514AE"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Los recursos financieros (o de cualquier otro tipo) tienen un costo. Sin importar si se usa capital propio, deuda o combinación de ambos para financiar los desembolsos que se necesitan hacer para llevar a cabo el proyecto, este dinero tiene un costo. La empresa tiene que pagar  a los inversionistas, accionistas o acreedores, por el uso de sus recursos a través de dividendos e intereses. [Villareal, 2008] </w:t>
      </w:r>
    </w:p>
    <w:p w:rsidR="00DC3206" w:rsidRPr="00670830" w:rsidRDefault="009514AE"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dividendos son la parte del beneficio de la empresa que se reparte entre los accionistas de una sociedad, constituye la principal vía de remuneración de los accionistas. Su importe debe de ser aprobado por la Junta General de Accionistas de una empresa.</w:t>
      </w:r>
    </w:p>
    <w:p w:rsidR="00120C0B" w:rsidRPr="00670830" w:rsidRDefault="00120C0B" w:rsidP="00670830">
      <w:pPr>
        <w:spacing w:line="360" w:lineRule="auto"/>
        <w:jc w:val="both"/>
        <w:rPr>
          <w:rFonts w:ascii="Arial" w:hAnsi="Arial" w:cs="Arial"/>
          <w:sz w:val="24"/>
          <w:szCs w:val="24"/>
        </w:rPr>
      </w:pPr>
      <w:r w:rsidRPr="00670830">
        <w:rPr>
          <w:rFonts w:ascii="Arial" w:hAnsi="Arial" w:cs="Arial"/>
          <w:sz w:val="24"/>
          <w:szCs w:val="24"/>
        </w:rPr>
        <w:t>Cuando una empresa obtiene beneficios, la dirección decide si lo vuelve a invertir en el negocio o si se lo paga a los accionistas en forma de dividendos. Las empresas más estables eligen mantener el equilibrio reinvirtiendo un porcentaje y pagar el resto como dividendos, lo que puede hacerse en efectivo o en forma de acciones.</w:t>
      </w:r>
    </w:p>
    <w:p w:rsidR="00B6747C" w:rsidRPr="00670830" w:rsidRDefault="00120C0B" w:rsidP="00670830">
      <w:pPr>
        <w:spacing w:line="360" w:lineRule="auto"/>
        <w:jc w:val="both"/>
        <w:rPr>
          <w:rFonts w:ascii="Arial" w:hAnsi="Arial" w:cs="Arial"/>
          <w:i/>
          <w:sz w:val="24"/>
          <w:szCs w:val="24"/>
        </w:rPr>
      </w:pPr>
      <w:r w:rsidRPr="00670830">
        <w:rPr>
          <w:rFonts w:ascii="Arial" w:hAnsi="Arial" w:cs="Arial"/>
          <w:sz w:val="24"/>
          <w:szCs w:val="24"/>
        </w:rPr>
        <w:t>Los dividendos pueden compensar el precio de una acción que no se mueve demasiado, proporcionándoles en cambio a los accionistas un ingreso. Las compañías consideradas de 'alto crecimiento' generalmente no ofrecen dividendos, dado que reinvierten los beneficios para mantener su crecimiento ampliando el negocio. En este caso, la recompensa para los accionistas es un precio de las acciones mayor del esperado.</w:t>
      </w:r>
    </w:p>
    <w:p w:rsidR="002E77E8" w:rsidRPr="00670830" w:rsidRDefault="002E77E8" w:rsidP="00670830">
      <w:pPr>
        <w:spacing w:line="360" w:lineRule="auto"/>
        <w:rPr>
          <w:rFonts w:ascii="Arial" w:hAnsi="Arial" w:cs="Arial"/>
          <w:sz w:val="24"/>
          <w:szCs w:val="24"/>
        </w:rPr>
      </w:pPr>
    </w:p>
    <w:p w:rsidR="00740DD9" w:rsidRPr="00670830" w:rsidRDefault="00B0343A" w:rsidP="00670830">
      <w:pPr>
        <w:pStyle w:val="Ttulo4"/>
        <w:spacing w:before="100" w:beforeAutospacing="1" w:after="100" w:afterAutospacing="1" w:line="360" w:lineRule="auto"/>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2.1.2</w:t>
      </w:r>
      <w:r w:rsidR="00740DD9" w:rsidRPr="00670830">
        <w:rPr>
          <w:rFonts w:ascii="Arial" w:eastAsia="Arial Unicode MS" w:hAnsi="Arial" w:cs="Arial"/>
          <w:i w:val="0"/>
          <w:color w:val="auto"/>
          <w:sz w:val="24"/>
          <w:szCs w:val="24"/>
        </w:rPr>
        <w:t>.2. Ganancias o pérdidas de capital</w:t>
      </w:r>
    </w:p>
    <w:p w:rsidR="00DC3206" w:rsidRPr="00670830" w:rsidRDefault="00DC320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Se trata del diferencial entre el precio de compra y precio de venta de la acción.</w:t>
      </w:r>
    </w:p>
    <w:p w:rsidR="00DC3206" w:rsidRPr="00670830" w:rsidRDefault="00DC320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ganancia de capital tiene la ventaja de estar exenta del pago de impuesto para personas físicas y es acumulable para el caso de personas morales.</w:t>
      </w:r>
    </w:p>
    <w:p w:rsidR="005F6D00" w:rsidRPr="00670830" w:rsidRDefault="00DC320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Debido a que los rendimientos generados no se encuentran sujetos a una tasa determinada, a las acciones se les considera instrumentos de renta variable, sobre todo por las fluctuaciones casi permanentes a las que se encuentran sujetos los precios del mercado accionario; los cuales son consecuencia de múltiples factores que se determinan por las fuerzas de oferta y demanda. [Núñez, 1992]</w:t>
      </w:r>
    </w:p>
    <w:p w:rsidR="005F6D00" w:rsidRPr="00670830" w:rsidRDefault="005F6D00" w:rsidP="00670830">
      <w:pPr>
        <w:spacing w:before="100" w:beforeAutospacing="1" w:after="100" w:afterAutospacing="1" w:line="360" w:lineRule="auto"/>
        <w:jc w:val="both"/>
        <w:rPr>
          <w:rFonts w:ascii="Arial" w:eastAsia="Arial Unicode MS" w:hAnsi="Arial" w:cs="Arial"/>
          <w:sz w:val="24"/>
          <w:szCs w:val="24"/>
        </w:rPr>
      </w:pPr>
    </w:p>
    <w:p w:rsidR="00740DD9" w:rsidRPr="00670830" w:rsidRDefault="00740DD9" w:rsidP="00670830">
      <w:pPr>
        <w:pStyle w:val="Ttulo2"/>
        <w:spacing w:before="100" w:beforeAutospacing="1" w:after="100" w:afterAutospacing="1" w:line="360" w:lineRule="auto"/>
        <w:jc w:val="both"/>
        <w:rPr>
          <w:rFonts w:ascii="Arial" w:eastAsia="Arial Unicode MS" w:hAnsi="Arial" w:cs="Arial"/>
          <w:color w:val="auto"/>
          <w:sz w:val="24"/>
          <w:szCs w:val="24"/>
        </w:rPr>
      </w:pPr>
      <w:bookmarkStart w:id="17" w:name="_Toc488230494"/>
      <w:r w:rsidRPr="00670830">
        <w:rPr>
          <w:rFonts w:ascii="Arial" w:eastAsia="Arial Unicode MS" w:hAnsi="Arial" w:cs="Arial"/>
          <w:color w:val="auto"/>
          <w:sz w:val="24"/>
          <w:szCs w:val="24"/>
        </w:rPr>
        <w:t>2.2. Instrumentos de renta fija</w:t>
      </w:r>
      <w:bookmarkEnd w:id="17"/>
    </w:p>
    <w:p w:rsidR="00903287" w:rsidRPr="00670830" w:rsidRDefault="00903287"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instrumentos de inversión de renta fija son emisiones de deuda que realizan los estados y las empresas dirigidos a un amplio mercado. Generalmente son emitidos por los gobiernos y entes corporativos de gran capacidad financiera en cantidades definidas que conllevan una fecha de expiración.</w:t>
      </w:r>
    </w:p>
    <w:p w:rsidR="00903287" w:rsidRPr="00670830" w:rsidRDefault="00903287"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renta fija funciona exactamente igual que un préstamo bancario, pero tiene algunas particularidades:</w:t>
      </w:r>
    </w:p>
    <w:p w:rsidR="00713B9F" w:rsidRPr="00670830" w:rsidRDefault="00903287" w:rsidP="00670830">
      <w:pPr>
        <w:pStyle w:val="Prrafodelista"/>
        <w:numPr>
          <w:ilvl w:val="0"/>
          <w:numId w:val="47"/>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prestamistas son una gran cantidad de inversores, que se denominan obligacionistas.</w:t>
      </w:r>
    </w:p>
    <w:p w:rsidR="00903287" w:rsidRPr="00670830" w:rsidRDefault="00903287" w:rsidP="00670830">
      <w:pPr>
        <w:pStyle w:val="Prrafodelista"/>
        <w:numPr>
          <w:ilvl w:val="0"/>
          <w:numId w:val="47"/>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deuda se representa mediante títulos valores negociables en el mercado de valores, por lo que el inversor puede acudir al mercado y vender su participación para recuperar su inversión rápidamente.</w:t>
      </w:r>
    </w:p>
    <w:p w:rsidR="007F5042" w:rsidRPr="00670830" w:rsidRDefault="007F5042"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instrumentos de renta fija son una gran alternativa para lograr una inversión segura para tiempos inciertos y p</w:t>
      </w:r>
      <w:r w:rsidR="008D7A42" w:rsidRPr="00670830">
        <w:rPr>
          <w:rFonts w:ascii="Arial" w:eastAsia="Arial Unicode MS" w:hAnsi="Arial" w:cs="Arial"/>
          <w:sz w:val="24"/>
          <w:szCs w:val="24"/>
        </w:rPr>
        <w:t>ara diversificar las carteras</w:t>
      </w:r>
      <w:r w:rsidRPr="00670830">
        <w:rPr>
          <w:rFonts w:ascii="Arial" w:eastAsia="Arial Unicode MS" w:hAnsi="Arial" w:cs="Arial"/>
          <w:sz w:val="24"/>
          <w:szCs w:val="24"/>
        </w:rPr>
        <w:t>, lo anterior se logra con instrumentos que tienen bajo riesgo, menor volatilidad y una tasa de interés fija que se paga periódicamente</w:t>
      </w:r>
      <w:r w:rsidR="00903287" w:rsidRPr="00670830">
        <w:rPr>
          <w:rFonts w:ascii="Arial" w:eastAsia="Arial Unicode MS" w:hAnsi="Arial" w:cs="Arial"/>
          <w:sz w:val="24"/>
          <w:szCs w:val="24"/>
        </w:rPr>
        <w:t>.</w:t>
      </w:r>
    </w:p>
    <w:p w:rsidR="00713B9F" w:rsidRPr="00670830" w:rsidRDefault="0011036F"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ins</w:t>
      </w:r>
      <w:r w:rsidR="00E2763B" w:rsidRPr="00670830">
        <w:rPr>
          <w:rFonts w:ascii="Arial" w:eastAsia="Arial Unicode MS" w:hAnsi="Arial" w:cs="Arial"/>
          <w:sz w:val="24"/>
          <w:szCs w:val="24"/>
        </w:rPr>
        <w:t>trumentos de renta fija tienen tres</w:t>
      </w:r>
      <w:r w:rsidRPr="00670830">
        <w:rPr>
          <w:rFonts w:ascii="Arial" w:eastAsia="Arial Unicode MS" w:hAnsi="Arial" w:cs="Arial"/>
          <w:sz w:val="24"/>
          <w:szCs w:val="24"/>
        </w:rPr>
        <w:t xml:space="preserve"> caracter</w:t>
      </w:r>
      <w:r w:rsidR="00E2763B" w:rsidRPr="00670830">
        <w:rPr>
          <w:rFonts w:ascii="Arial" w:eastAsia="Arial Unicode MS" w:hAnsi="Arial" w:cs="Arial"/>
          <w:sz w:val="24"/>
          <w:szCs w:val="24"/>
        </w:rPr>
        <w:t>í</w:t>
      </w:r>
      <w:r w:rsidRPr="00670830">
        <w:rPr>
          <w:rFonts w:ascii="Arial" w:eastAsia="Arial Unicode MS" w:hAnsi="Arial" w:cs="Arial"/>
          <w:sz w:val="24"/>
          <w:szCs w:val="24"/>
        </w:rPr>
        <w:t>sticas que los distinguen de otras categor</w:t>
      </w:r>
      <w:r w:rsidR="00E2763B" w:rsidRPr="00670830">
        <w:rPr>
          <w:rFonts w:ascii="Arial" w:eastAsia="Arial Unicode MS" w:hAnsi="Arial" w:cs="Arial"/>
          <w:sz w:val="24"/>
          <w:szCs w:val="24"/>
        </w:rPr>
        <w:t>í</w:t>
      </w:r>
      <w:r w:rsidRPr="00670830">
        <w:rPr>
          <w:rFonts w:ascii="Arial" w:eastAsia="Arial Unicode MS" w:hAnsi="Arial" w:cs="Arial"/>
          <w:sz w:val="24"/>
          <w:szCs w:val="24"/>
        </w:rPr>
        <w:t>as de inversi</w:t>
      </w:r>
      <w:r w:rsidR="00E2763B" w:rsidRPr="00670830">
        <w:rPr>
          <w:rFonts w:ascii="Arial" w:eastAsia="Arial Unicode MS" w:hAnsi="Arial" w:cs="Arial"/>
          <w:sz w:val="24"/>
          <w:szCs w:val="24"/>
        </w:rPr>
        <w:t>ó</w:t>
      </w:r>
      <w:r w:rsidRPr="00670830">
        <w:rPr>
          <w:rFonts w:ascii="Arial" w:eastAsia="Arial Unicode MS" w:hAnsi="Arial" w:cs="Arial"/>
          <w:sz w:val="24"/>
          <w:szCs w:val="24"/>
        </w:rPr>
        <w:t xml:space="preserve">n: </w:t>
      </w:r>
    </w:p>
    <w:p w:rsidR="00713B9F" w:rsidRPr="00670830" w:rsidRDefault="0011036F" w:rsidP="00670830">
      <w:pPr>
        <w:pStyle w:val="Prrafodelista"/>
        <w:numPr>
          <w:ilvl w:val="0"/>
          <w:numId w:val="48"/>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proporcionan un rendimiento predeterminado sobre un valor predeterm</w:t>
      </w:r>
      <w:r w:rsidR="00713B9F" w:rsidRPr="00670830">
        <w:rPr>
          <w:rFonts w:ascii="Arial" w:eastAsia="Arial Unicode MS" w:hAnsi="Arial" w:cs="Arial"/>
          <w:sz w:val="24"/>
          <w:szCs w:val="24"/>
        </w:rPr>
        <w:t>inado a un plazo predeterminado,</w:t>
      </w:r>
    </w:p>
    <w:p w:rsidR="00713B9F" w:rsidRPr="00670830" w:rsidRDefault="0011036F" w:rsidP="00670830">
      <w:pPr>
        <w:pStyle w:val="Prrafodelista"/>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 </w:t>
      </w:r>
    </w:p>
    <w:p w:rsidR="00713B9F" w:rsidRPr="00670830" w:rsidRDefault="00713B9F" w:rsidP="00670830">
      <w:pPr>
        <w:pStyle w:val="Prrafodelista"/>
        <w:numPr>
          <w:ilvl w:val="0"/>
          <w:numId w:val="48"/>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w:t>
      </w:r>
      <w:r w:rsidR="0011036F" w:rsidRPr="00670830">
        <w:rPr>
          <w:rFonts w:ascii="Arial" w:eastAsia="Arial Unicode MS" w:hAnsi="Arial" w:cs="Arial"/>
          <w:sz w:val="24"/>
          <w:szCs w:val="24"/>
        </w:rPr>
        <w:t>s un pr</w:t>
      </w:r>
      <w:r w:rsidR="00E2763B" w:rsidRPr="00670830">
        <w:rPr>
          <w:rFonts w:ascii="Arial" w:eastAsia="Arial Unicode MS" w:hAnsi="Arial" w:cs="Arial"/>
          <w:sz w:val="24"/>
          <w:szCs w:val="24"/>
        </w:rPr>
        <w:t>é</w:t>
      </w:r>
      <w:r w:rsidR="0011036F" w:rsidRPr="00670830">
        <w:rPr>
          <w:rFonts w:ascii="Arial" w:eastAsia="Arial Unicode MS" w:hAnsi="Arial" w:cs="Arial"/>
          <w:sz w:val="24"/>
          <w:szCs w:val="24"/>
        </w:rPr>
        <w:t xml:space="preserve">stamo que el </w:t>
      </w:r>
      <w:r w:rsidR="00E2763B" w:rsidRPr="00670830">
        <w:rPr>
          <w:rFonts w:ascii="Arial" w:eastAsia="Arial Unicode MS" w:hAnsi="Arial" w:cs="Arial"/>
          <w:sz w:val="24"/>
          <w:szCs w:val="24"/>
        </w:rPr>
        <w:t>inversionista</w:t>
      </w:r>
      <w:r w:rsidR="0011036F" w:rsidRPr="00670830">
        <w:rPr>
          <w:rFonts w:ascii="Arial" w:eastAsia="Arial Unicode MS" w:hAnsi="Arial" w:cs="Arial"/>
          <w:sz w:val="24"/>
          <w:szCs w:val="24"/>
        </w:rPr>
        <w:t xml:space="preserve"> h</w:t>
      </w:r>
      <w:r w:rsidRPr="00670830">
        <w:rPr>
          <w:rFonts w:ascii="Arial" w:eastAsia="Arial Unicode MS" w:hAnsi="Arial" w:cs="Arial"/>
          <w:sz w:val="24"/>
          <w:szCs w:val="24"/>
        </w:rPr>
        <w:t>ace al "emisor" del instrumento,</w:t>
      </w:r>
    </w:p>
    <w:p w:rsidR="00713B9F" w:rsidRPr="00670830" w:rsidRDefault="00713B9F" w:rsidP="00670830">
      <w:pPr>
        <w:pStyle w:val="Prrafodelista"/>
        <w:spacing w:before="100" w:beforeAutospacing="1" w:after="100" w:afterAutospacing="1" w:line="360" w:lineRule="auto"/>
        <w:jc w:val="both"/>
        <w:rPr>
          <w:rFonts w:ascii="Arial" w:eastAsia="Arial Unicode MS" w:hAnsi="Arial" w:cs="Arial"/>
          <w:sz w:val="24"/>
          <w:szCs w:val="24"/>
        </w:rPr>
      </w:pPr>
    </w:p>
    <w:p w:rsidR="00E2763B" w:rsidRPr="00670830" w:rsidRDefault="00713B9F" w:rsidP="00670830">
      <w:pPr>
        <w:pStyle w:val="Prrafodelista"/>
        <w:numPr>
          <w:ilvl w:val="0"/>
          <w:numId w:val="48"/>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w:t>
      </w:r>
      <w:r w:rsidR="0011036F" w:rsidRPr="00670830">
        <w:rPr>
          <w:rFonts w:ascii="Arial" w:eastAsia="Arial Unicode MS" w:hAnsi="Arial" w:cs="Arial"/>
          <w:sz w:val="24"/>
          <w:szCs w:val="24"/>
        </w:rPr>
        <w:t>l inversionista presta un "valor principal" durante un plazo convenido y recibe a cambio un rendimiento predeterminado m</w:t>
      </w:r>
      <w:r w:rsidR="00E2763B" w:rsidRPr="00670830">
        <w:rPr>
          <w:rFonts w:ascii="Arial" w:eastAsia="Arial Unicode MS" w:hAnsi="Arial" w:cs="Arial"/>
          <w:sz w:val="24"/>
          <w:szCs w:val="24"/>
        </w:rPr>
        <w:t>á</w:t>
      </w:r>
      <w:r w:rsidR="0011036F" w:rsidRPr="00670830">
        <w:rPr>
          <w:rFonts w:ascii="Arial" w:eastAsia="Arial Unicode MS" w:hAnsi="Arial" w:cs="Arial"/>
          <w:sz w:val="24"/>
          <w:szCs w:val="24"/>
        </w:rPr>
        <w:t>s la devoluci</w:t>
      </w:r>
      <w:r w:rsidR="00E2763B" w:rsidRPr="00670830">
        <w:rPr>
          <w:rFonts w:ascii="Arial" w:eastAsia="Arial Unicode MS" w:hAnsi="Arial" w:cs="Arial"/>
          <w:sz w:val="24"/>
          <w:szCs w:val="24"/>
        </w:rPr>
        <w:t>ó</w:t>
      </w:r>
      <w:r w:rsidR="0011036F" w:rsidRPr="00670830">
        <w:rPr>
          <w:rFonts w:ascii="Arial" w:eastAsia="Arial Unicode MS" w:hAnsi="Arial" w:cs="Arial"/>
          <w:sz w:val="24"/>
          <w:szCs w:val="24"/>
        </w:rPr>
        <w:t xml:space="preserve">n del valor principal. </w:t>
      </w:r>
    </w:p>
    <w:p w:rsidR="0011036F" w:rsidRPr="00670830" w:rsidRDefault="00E2763B"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w:t>
      </w:r>
      <w:r w:rsidR="0011036F" w:rsidRPr="00670830">
        <w:rPr>
          <w:rFonts w:ascii="Arial" w:eastAsia="Arial Unicode MS" w:hAnsi="Arial" w:cs="Arial"/>
          <w:sz w:val="24"/>
          <w:szCs w:val="24"/>
        </w:rPr>
        <w:t xml:space="preserve">stos instrumentos de renta fija se pueden dividir en instrumentos gubernamentales y en instrumentos privados y bancarios. </w:t>
      </w:r>
    </w:p>
    <w:p w:rsidR="006C3C18" w:rsidRPr="00670830" w:rsidRDefault="00E2763B"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[http://www.ciep.itam.mx]</w:t>
      </w:r>
    </w:p>
    <w:p w:rsidR="00740DD9" w:rsidRPr="00670830" w:rsidRDefault="00740DD9" w:rsidP="00670830">
      <w:pPr>
        <w:pStyle w:val="Ttulo3"/>
        <w:spacing w:before="100" w:beforeAutospacing="1" w:after="100" w:afterAutospacing="1" w:line="360" w:lineRule="auto"/>
        <w:jc w:val="both"/>
        <w:rPr>
          <w:rFonts w:ascii="Arial" w:eastAsia="Arial Unicode MS" w:hAnsi="Arial" w:cs="Arial"/>
          <w:color w:val="auto"/>
          <w:sz w:val="24"/>
          <w:szCs w:val="24"/>
        </w:rPr>
      </w:pPr>
      <w:bookmarkStart w:id="18" w:name="_Toc488230495"/>
      <w:r w:rsidRPr="00670830">
        <w:rPr>
          <w:rFonts w:ascii="Arial" w:eastAsia="Arial Unicode MS" w:hAnsi="Arial" w:cs="Arial"/>
          <w:color w:val="auto"/>
          <w:sz w:val="24"/>
          <w:szCs w:val="24"/>
        </w:rPr>
        <w:t>2.2.1. Certificados de participación ordinaria</w:t>
      </w:r>
      <w:bookmarkEnd w:id="18"/>
    </w:p>
    <w:p w:rsidR="00B259C8" w:rsidRPr="00670830" w:rsidRDefault="00B259C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certificados de participación ordinaria son títulos colocados en el mercado bursátil por instituciones crediticias con cargo a un fideicomiso cuyo patrimonio se integra por bienes muebles.</w:t>
      </w:r>
    </w:p>
    <w:p w:rsidR="00903287" w:rsidRPr="00670830" w:rsidRDefault="00B259C8" w:rsidP="00670830">
      <w:pPr>
        <w:pStyle w:val="Prrafodelista"/>
        <w:numPr>
          <w:ilvl w:val="0"/>
          <w:numId w:val="25"/>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Valor nominal:</w:t>
      </w:r>
      <w:r w:rsidRPr="00670830">
        <w:rPr>
          <w:rFonts w:ascii="Arial" w:eastAsia="Arial Unicode MS" w:hAnsi="Arial" w:cs="Arial"/>
          <w:sz w:val="24"/>
          <w:szCs w:val="24"/>
        </w:rPr>
        <w:t xml:space="preserve"> $100 pesos o 100 UDIS</w:t>
      </w:r>
    </w:p>
    <w:p w:rsidR="00B259C8" w:rsidRPr="00670830" w:rsidRDefault="00B259C8" w:rsidP="00670830">
      <w:pPr>
        <w:pStyle w:val="Prrafodelista"/>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 </w:t>
      </w:r>
    </w:p>
    <w:p w:rsidR="00713B9F" w:rsidRPr="00670830" w:rsidRDefault="00B259C8" w:rsidP="00670830">
      <w:pPr>
        <w:pStyle w:val="Prrafodelista"/>
        <w:numPr>
          <w:ilvl w:val="0"/>
          <w:numId w:val="25"/>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Plazo:</w:t>
      </w:r>
      <w:r w:rsidRPr="00670830">
        <w:rPr>
          <w:rFonts w:ascii="Arial" w:eastAsia="Arial Unicode MS" w:hAnsi="Arial" w:cs="Arial"/>
          <w:sz w:val="24"/>
          <w:szCs w:val="24"/>
        </w:rPr>
        <w:t xml:space="preserve"> De 3 años en adelante, y su amortización puede ser al vencimiento o con pagos periódicos. </w:t>
      </w:r>
    </w:p>
    <w:p w:rsidR="00713B9F" w:rsidRPr="00670830" w:rsidRDefault="00713B9F" w:rsidP="00670830">
      <w:pPr>
        <w:pStyle w:val="Prrafodelista"/>
        <w:spacing w:before="100" w:beforeAutospacing="1" w:after="100" w:afterAutospacing="1" w:line="360" w:lineRule="auto"/>
        <w:jc w:val="both"/>
        <w:rPr>
          <w:rFonts w:ascii="Arial" w:eastAsia="Arial Unicode MS" w:hAnsi="Arial" w:cs="Arial"/>
          <w:sz w:val="24"/>
          <w:szCs w:val="24"/>
        </w:rPr>
      </w:pPr>
    </w:p>
    <w:p w:rsidR="00B259C8" w:rsidRPr="00670830" w:rsidRDefault="00B259C8" w:rsidP="00670830">
      <w:pPr>
        <w:pStyle w:val="Prrafodelista"/>
        <w:numPr>
          <w:ilvl w:val="0"/>
          <w:numId w:val="25"/>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Rendimiento:</w:t>
      </w:r>
      <w:r w:rsidRPr="00670830">
        <w:rPr>
          <w:rFonts w:ascii="Arial" w:eastAsia="Arial Unicode MS" w:hAnsi="Arial" w:cs="Arial"/>
          <w:sz w:val="24"/>
          <w:szCs w:val="24"/>
        </w:rPr>
        <w:t xml:space="preserve"> Pagan una sobretasa, teniendo como referencia a los CETES o TIIE, o tasa real. </w:t>
      </w:r>
    </w:p>
    <w:p w:rsidR="00713B9F" w:rsidRPr="00670830" w:rsidRDefault="00B259C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[http://www.bmv.com.mx/wb3/wb/BMV/BMV_deuda_a_largo</w:t>
      </w:r>
      <w:r w:rsidR="00713B9F" w:rsidRPr="00670830">
        <w:rPr>
          <w:rFonts w:ascii="Arial" w:eastAsia="Arial Unicode MS" w:hAnsi="Arial" w:cs="Arial"/>
          <w:sz w:val="24"/>
          <w:szCs w:val="24"/>
        </w:rPr>
        <w:t>_plazo]</w:t>
      </w:r>
    </w:p>
    <w:p w:rsidR="005A7825" w:rsidRPr="00670830" w:rsidRDefault="00B259C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De acuerdo a la Ley General de Títulos y Operaciones de Crédito, en su artículo 228:</w:t>
      </w:r>
    </w:p>
    <w:p w:rsidR="00B259C8" w:rsidRPr="00670830" w:rsidRDefault="00B259C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certificados de participación son títulos de crédito que representan:</w:t>
      </w:r>
    </w:p>
    <w:p w:rsidR="00B259C8" w:rsidRPr="00670830" w:rsidRDefault="00B259C8" w:rsidP="00670830">
      <w:pPr>
        <w:pStyle w:val="Prrafodelista"/>
        <w:numPr>
          <w:ilvl w:val="0"/>
          <w:numId w:val="26"/>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derecho a una parte alícuota de los frutos o rendimientos de los valores, derechos o bienes de cualquier clase que tenga en fideicomiso irrevocable para ese propósito la sociedad fiduciaria que los emita;</w:t>
      </w:r>
    </w:p>
    <w:p w:rsidR="00903287" w:rsidRPr="00670830" w:rsidRDefault="00903287" w:rsidP="00670830">
      <w:pPr>
        <w:pStyle w:val="Prrafodelista"/>
        <w:spacing w:before="100" w:beforeAutospacing="1" w:after="100" w:afterAutospacing="1" w:line="360" w:lineRule="auto"/>
        <w:jc w:val="both"/>
        <w:rPr>
          <w:rFonts w:ascii="Arial" w:eastAsia="Arial Unicode MS" w:hAnsi="Arial" w:cs="Arial"/>
          <w:sz w:val="24"/>
          <w:szCs w:val="24"/>
        </w:rPr>
      </w:pPr>
    </w:p>
    <w:p w:rsidR="00903287" w:rsidRPr="00670830" w:rsidRDefault="00B259C8" w:rsidP="00670830">
      <w:pPr>
        <w:pStyle w:val="Prrafodelista"/>
        <w:numPr>
          <w:ilvl w:val="0"/>
          <w:numId w:val="26"/>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derecho a una parte alícuota del derecho de propiedad o de la titularidad de esos bienes, derechos o valores;</w:t>
      </w:r>
    </w:p>
    <w:p w:rsidR="00903287" w:rsidRPr="00670830" w:rsidRDefault="00903287" w:rsidP="00670830">
      <w:pPr>
        <w:pStyle w:val="Prrafodelista"/>
        <w:spacing w:before="100" w:beforeAutospacing="1" w:after="100" w:afterAutospacing="1" w:line="360" w:lineRule="auto"/>
        <w:jc w:val="both"/>
        <w:rPr>
          <w:rFonts w:ascii="Arial" w:eastAsia="Arial Unicode MS" w:hAnsi="Arial" w:cs="Arial"/>
          <w:sz w:val="24"/>
          <w:szCs w:val="24"/>
        </w:rPr>
      </w:pPr>
    </w:p>
    <w:p w:rsidR="00B259C8" w:rsidRPr="00670830" w:rsidRDefault="00B259C8" w:rsidP="00670830">
      <w:pPr>
        <w:pStyle w:val="Prrafodelista"/>
        <w:numPr>
          <w:ilvl w:val="0"/>
          <w:numId w:val="26"/>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O bien el derecho a una parte alícuota del producto neto que resulte de la venta de dichos bienes, derechos o valores.</w:t>
      </w:r>
    </w:p>
    <w:p w:rsidR="00B259C8" w:rsidRPr="00670830" w:rsidRDefault="00B259C8" w:rsidP="00670830">
      <w:pPr>
        <w:spacing w:before="100" w:beforeAutospacing="1" w:after="100" w:afterAutospacing="1" w:line="360" w:lineRule="auto"/>
        <w:jc w:val="both"/>
        <w:rPr>
          <w:rFonts w:ascii="Arial" w:eastAsia="Arial Unicode MS" w:hAnsi="Arial" w:cs="Arial"/>
          <w:sz w:val="24"/>
          <w:szCs w:val="24"/>
        </w:rPr>
      </w:pPr>
    </w:p>
    <w:p w:rsidR="00740DD9" w:rsidRPr="00670830" w:rsidRDefault="00740DD9" w:rsidP="00670830">
      <w:pPr>
        <w:pStyle w:val="Ttulo3"/>
        <w:spacing w:before="100" w:beforeAutospacing="1" w:after="100" w:afterAutospacing="1" w:line="360" w:lineRule="auto"/>
        <w:jc w:val="both"/>
        <w:rPr>
          <w:rFonts w:ascii="Arial" w:eastAsia="Arial Unicode MS" w:hAnsi="Arial" w:cs="Arial"/>
          <w:color w:val="auto"/>
          <w:sz w:val="24"/>
          <w:szCs w:val="24"/>
        </w:rPr>
      </w:pPr>
      <w:bookmarkStart w:id="19" w:name="_Toc488230496"/>
      <w:r w:rsidRPr="00670830">
        <w:rPr>
          <w:rFonts w:ascii="Arial" w:eastAsia="Arial Unicode MS" w:hAnsi="Arial" w:cs="Arial"/>
          <w:color w:val="auto"/>
          <w:sz w:val="24"/>
          <w:szCs w:val="24"/>
        </w:rPr>
        <w:t>2.2.2. Obligaciones</w:t>
      </w:r>
      <w:bookmarkEnd w:id="19"/>
    </w:p>
    <w:p w:rsidR="000D222A" w:rsidRPr="00670830" w:rsidRDefault="00996845" w:rsidP="00670830">
      <w:pPr>
        <w:tabs>
          <w:tab w:val="left" w:pos="159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Las obligaciones, también conocidas como bonos, son instrumentos de deuda a largo plazo emitidos por las empresas que participan en el mercado de valores con el objetivo de obtener </w:t>
      </w:r>
      <w:r w:rsidR="009A577D" w:rsidRPr="00670830">
        <w:rPr>
          <w:rFonts w:ascii="Arial" w:eastAsia="Arial Unicode MS" w:hAnsi="Arial" w:cs="Arial"/>
          <w:sz w:val="24"/>
          <w:szCs w:val="24"/>
        </w:rPr>
        <w:t>financiamiento a largo plazo</w:t>
      </w:r>
      <w:r w:rsidRPr="00670830">
        <w:rPr>
          <w:rFonts w:ascii="Arial" w:eastAsia="Arial Unicode MS" w:hAnsi="Arial" w:cs="Arial"/>
          <w:sz w:val="24"/>
          <w:szCs w:val="24"/>
        </w:rPr>
        <w:t xml:space="preserve">. </w:t>
      </w:r>
    </w:p>
    <w:p w:rsidR="00996845" w:rsidRPr="00670830" w:rsidRDefault="00996845" w:rsidP="00670830">
      <w:pPr>
        <w:tabs>
          <w:tab w:val="left" w:pos="159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Al igual que otros tipos de financiamiento a largo plazo, habitualmente los recursos que se obtienen por la colocación de obligaciones son usados por la empresa para invertirlos en proyectos originados en el proceso de presupuestos de capital.</w:t>
      </w:r>
    </w:p>
    <w:p w:rsidR="009A577D" w:rsidRPr="00670830" w:rsidRDefault="009A577D" w:rsidP="00670830">
      <w:pPr>
        <w:tabs>
          <w:tab w:val="left" w:pos="159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Características:</w:t>
      </w:r>
    </w:p>
    <w:p w:rsidR="000D222A" w:rsidRPr="00670830" w:rsidRDefault="009A577D" w:rsidP="00670830">
      <w:pPr>
        <w:pStyle w:val="Prrafodelista"/>
        <w:numPr>
          <w:ilvl w:val="0"/>
          <w:numId w:val="24"/>
        </w:numPr>
        <w:tabs>
          <w:tab w:val="left" w:pos="159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Valor nominal:</w:t>
      </w:r>
      <w:r w:rsidR="00996845" w:rsidRPr="00670830">
        <w:rPr>
          <w:rFonts w:ascii="Arial" w:eastAsia="Arial Unicode MS" w:hAnsi="Arial" w:cs="Arial"/>
          <w:sz w:val="24"/>
          <w:szCs w:val="24"/>
        </w:rPr>
        <w:t xml:space="preserve"> Las obligaciones tienen un valor nominal (o valor a la par) que juega un papel económico importante, ya que es la referencia para el pago de intereses, además es el monto que el emisor (empresa) se compromete a pagar al momento en el que se vence la obligación.</w:t>
      </w:r>
    </w:p>
    <w:p w:rsidR="009A577D" w:rsidRPr="00670830" w:rsidRDefault="00996845" w:rsidP="00670830">
      <w:pPr>
        <w:pStyle w:val="Prrafodelista"/>
        <w:tabs>
          <w:tab w:val="left" w:pos="159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 </w:t>
      </w:r>
    </w:p>
    <w:p w:rsidR="00713B9F" w:rsidRPr="00670830" w:rsidRDefault="009A577D" w:rsidP="00670830">
      <w:pPr>
        <w:pStyle w:val="Prrafodelista"/>
        <w:numPr>
          <w:ilvl w:val="0"/>
          <w:numId w:val="24"/>
        </w:numPr>
        <w:tabs>
          <w:tab w:val="left" w:pos="159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Vencimiento:</w:t>
      </w:r>
      <w:r w:rsidR="00996845" w:rsidRPr="00670830">
        <w:rPr>
          <w:rFonts w:ascii="Arial" w:eastAsia="Arial Unicode MS" w:hAnsi="Arial" w:cs="Arial"/>
          <w:sz w:val="24"/>
          <w:szCs w:val="24"/>
        </w:rPr>
        <w:t xml:space="preserve"> El plazo de vencimiento de las obligaciones es de 3 años o más, aunque muchas de las obligaciones que se cotizan en el mercado tienen vencimientos de entre 5 y</w:t>
      </w:r>
      <w:r w:rsidRPr="00670830">
        <w:rPr>
          <w:rFonts w:ascii="Arial" w:eastAsia="Arial Unicode MS" w:hAnsi="Arial" w:cs="Arial"/>
          <w:sz w:val="24"/>
          <w:szCs w:val="24"/>
        </w:rPr>
        <w:t xml:space="preserve"> </w:t>
      </w:r>
      <w:r w:rsidR="00996845" w:rsidRPr="00670830">
        <w:rPr>
          <w:rFonts w:ascii="Arial" w:eastAsia="Arial Unicode MS" w:hAnsi="Arial" w:cs="Arial"/>
          <w:sz w:val="24"/>
          <w:szCs w:val="24"/>
        </w:rPr>
        <w:t>7 años.</w:t>
      </w:r>
    </w:p>
    <w:p w:rsidR="009A577D" w:rsidRPr="00670830" w:rsidRDefault="00996845" w:rsidP="00670830">
      <w:pPr>
        <w:pStyle w:val="Prrafodelista"/>
        <w:tabs>
          <w:tab w:val="left" w:pos="159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 </w:t>
      </w:r>
    </w:p>
    <w:p w:rsidR="00996845" w:rsidRPr="00670830" w:rsidRDefault="009A577D" w:rsidP="00670830">
      <w:pPr>
        <w:pStyle w:val="Prrafodelista"/>
        <w:numPr>
          <w:ilvl w:val="0"/>
          <w:numId w:val="24"/>
        </w:numPr>
        <w:tabs>
          <w:tab w:val="left" w:pos="159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Intereses:</w:t>
      </w:r>
      <w:r w:rsidR="00996845" w:rsidRPr="00670830">
        <w:rPr>
          <w:rFonts w:ascii="Arial" w:eastAsia="Arial Unicode MS" w:hAnsi="Arial" w:cs="Arial"/>
          <w:sz w:val="24"/>
          <w:szCs w:val="24"/>
        </w:rPr>
        <w:t xml:space="preserve"> La mayoría de las obligaciones tienen un cupón, en donde el término cupón se refiere a los pagos periódicos de interés que el emisor hace al inversionista (tenedor) de bonos. La tasa de interés se establece como una tasa fija más </w:t>
      </w:r>
      <w:proofErr w:type="gramStart"/>
      <w:r w:rsidR="00996845" w:rsidRPr="00670830">
        <w:rPr>
          <w:rFonts w:ascii="Arial" w:eastAsia="Arial Unicode MS" w:hAnsi="Arial" w:cs="Arial"/>
          <w:sz w:val="24"/>
          <w:szCs w:val="24"/>
        </w:rPr>
        <w:t>una</w:t>
      </w:r>
      <w:proofErr w:type="gramEnd"/>
      <w:r w:rsidR="00996845" w:rsidRPr="00670830">
        <w:rPr>
          <w:rFonts w:ascii="Arial" w:eastAsia="Arial Unicode MS" w:hAnsi="Arial" w:cs="Arial"/>
          <w:sz w:val="24"/>
          <w:szCs w:val="24"/>
        </w:rPr>
        <w:t xml:space="preserve"> sobre-tasa que tiene como referencia algún indicador del mercado como la tasa de los Cetes o la Tasa de Interés Interbancaria de Equilibrio (TIIE). El pago de intereses se hace periódicamente y esta periodicidad puede ser anual, semestral, trimestral o mensual</w:t>
      </w:r>
      <w:r w:rsidRPr="00670830">
        <w:rPr>
          <w:rFonts w:ascii="Arial" w:eastAsia="Arial Unicode MS" w:hAnsi="Arial" w:cs="Arial"/>
          <w:sz w:val="24"/>
          <w:szCs w:val="24"/>
        </w:rPr>
        <w:t>.</w:t>
      </w:r>
    </w:p>
    <w:p w:rsidR="00FD1043" w:rsidRPr="00670830" w:rsidRDefault="009A577D" w:rsidP="00670830">
      <w:pPr>
        <w:spacing w:before="100" w:beforeAutospacing="1" w:after="100" w:afterAutospacing="1" w:line="360" w:lineRule="auto"/>
        <w:rPr>
          <w:rFonts w:ascii="Arial" w:eastAsia="Arial Unicode MS" w:hAnsi="Arial" w:cs="Arial"/>
          <w:sz w:val="24"/>
          <w:szCs w:val="24"/>
        </w:rPr>
      </w:pPr>
      <w:r w:rsidRPr="00670830">
        <w:rPr>
          <w:rFonts w:ascii="Arial" w:eastAsia="Arial Unicode MS" w:hAnsi="Arial" w:cs="Arial"/>
          <w:sz w:val="24"/>
          <w:szCs w:val="24"/>
        </w:rPr>
        <w:t>[Villareal, 2008]</w:t>
      </w:r>
    </w:p>
    <w:p w:rsidR="009A577D" w:rsidRPr="00670830" w:rsidRDefault="009A577D" w:rsidP="00670830">
      <w:pPr>
        <w:spacing w:before="100" w:beforeAutospacing="1" w:after="100" w:afterAutospacing="1" w:line="360" w:lineRule="auto"/>
        <w:rPr>
          <w:rFonts w:ascii="Arial" w:eastAsia="Arial Unicode MS" w:hAnsi="Arial" w:cs="Arial"/>
          <w:sz w:val="24"/>
          <w:szCs w:val="24"/>
        </w:rPr>
      </w:pPr>
    </w:p>
    <w:p w:rsidR="00740DD9" w:rsidRPr="00670830" w:rsidRDefault="00740DD9" w:rsidP="00670830">
      <w:pPr>
        <w:pStyle w:val="Ttulo3"/>
        <w:spacing w:before="100" w:beforeAutospacing="1" w:after="100" w:afterAutospacing="1" w:line="360" w:lineRule="auto"/>
        <w:jc w:val="both"/>
        <w:rPr>
          <w:rFonts w:ascii="Arial" w:eastAsia="Arial Unicode MS" w:hAnsi="Arial" w:cs="Arial"/>
          <w:color w:val="auto"/>
          <w:sz w:val="24"/>
          <w:szCs w:val="24"/>
        </w:rPr>
      </w:pPr>
      <w:bookmarkStart w:id="20" w:name="_Toc488230497"/>
      <w:r w:rsidRPr="00670830">
        <w:rPr>
          <w:rFonts w:ascii="Arial" w:eastAsia="Arial Unicode MS" w:hAnsi="Arial" w:cs="Arial"/>
          <w:color w:val="auto"/>
          <w:sz w:val="24"/>
          <w:szCs w:val="24"/>
        </w:rPr>
        <w:t>2.2.3. Contrato opcional (Warrants)</w:t>
      </w:r>
      <w:bookmarkEnd w:id="20"/>
    </w:p>
    <w:p w:rsidR="00E64B4B" w:rsidRPr="00670830" w:rsidRDefault="001E4ED2"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Un w</w:t>
      </w:r>
      <w:r w:rsidR="00E64B4B" w:rsidRPr="00670830">
        <w:rPr>
          <w:rFonts w:ascii="Arial" w:eastAsia="Arial Unicode MS" w:hAnsi="Arial" w:cs="Arial"/>
          <w:sz w:val="24"/>
          <w:szCs w:val="24"/>
        </w:rPr>
        <w:t>arrant es la opción de comprar o vender un activo a un plazo y a un precio determinado.</w:t>
      </w:r>
    </w:p>
    <w:p w:rsidR="00E64B4B" w:rsidRPr="00670830" w:rsidRDefault="00E64B4B"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Son </w:t>
      </w:r>
      <w:r w:rsidR="001E4ED2" w:rsidRPr="00670830">
        <w:rPr>
          <w:rFonts w:ascii="Arial" w:eastAsia="Arial Unicode MS" w:hAnsi="Arial" w:cs="Arial"/>
          <w:sz w:val="24"/>
          <w:szCs w:val="24"/>
        </w:rPr>
        <w:t>derechos de compra o venta sobre un activo (al que se denomina subyacente) hasta un plazo determinado, que se conoce como fecha de vencimiento.</w:t>
      </w:r>
    </w:p>
    <w:p w:rsidR="000D222A" w:rsidRPr="00670830" w:rsidRDefault="001E4ED2"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Los warrants se emiten de forma estandarizada por determinadas entidades financieras. Éstas están obligadas a dotar de liquidez a sus emisiones en todo momento, por lo que siempre deben comprar los warrants que hayan emitido a sus clientes si estos deciden </w:t>
      </w:r>
      <w:r w:rsidR="000D222A" w:rsidRPr="00670830">
        <w:rPr>
          <w:rFonts w:ascii="Arial" w:eastAsia="Arial Unicode MS" w:hAnsi="Arial" w:cs="Arial"/>
          <w:sz w:val="24"/>
          <w:szCs w:val="24"/>
        </w:rPr>
        <w:t>venderlos antes de vencimiento.</w:t>
      </w:r>
    </w:p>
    <w:p w:rsidR="001E4ED2" w:rsidRPr="00670830" w:rsidRDefault="001E4ED2"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[https://www.bbva.es/TLBS/cursowarrants/]</w:t>
      </w:r>
    </w:p>
    <w:p w:rsidR="00E5172A" w:rsidRPr="00670830" w:rsidRDefault="00874586" w:rsidP="00670830">
      <w:pPr>
        <w:spacing w:before="100" w:beforeAutospacing="1" w:after="100" w:afterAutospacing="1" w:line="360" w:lineRule="auto"/>
        <w:rPr>
          <w:rFonts w:ascii="Arial" w:eastAsia="Arial Unicode MS" w:hAnsi="Arial" w:cs="Arial"/>
          <w:sz w:val="24"/>
          <w:szCs w:val="24"/>
        </w:rPr>
      </w:pPr>
      <w:r w:rsidRPr="00670830">
        <w:rPr>
          <w:rFonts w:ascii="Arial" w:eastAsia="Arial Unicode MS" w:hAnsi="Arial" w:cs="Arial"/>
          <w:sz w:val="24"/>
          <w:szCs w:val="24"/>
        </w:rPr>
        <w:t xml:space="preserve">La principal diferencia, operativa, entre las opciones y los warrants, es que las opciones operan en mercados organizados, es decir en las bolsas de derivados,  los warrants, en cambio, operan en un mercado </w:t>
      </w:r>
      <w:proofErr w:type="spellStart"/>
      <w:r w:rsidRPr="00670830">
        <w:rPr>
          <w:rFonts w:ascii="Arial" w:eastAsia="Arial Unicode MS" w:hAnsi="Arial" w:cs="Arial"/>
          <w:sz w:val="24"/>
          <w:szCs w:val="24"/>
        </w:rPr>
        <w:t>Over</w:t>
      </w:r>
      <w:proofErr w:type="spellEnd"/>
      <w:r w:rsidRPr="00670830">
        <w:rPr>
          <w:rFonts w:ascii="Arial" w:eastAsia="Arial Unicode MS" w:hAnsi="Arial" w:cs="Arial"/>
          <w:sz w:val="24"/>
          <w:szCs w:val="24"/>
        </w:rPr>
        <w:t xml:space="preserve"> </w:t>
      </w:r>
      <w:proofErr w:type="spellStart"/>
      <w:r w:rsidRPr="00670830">
        <w:rPr>
          <w:rFonts w:ascii="Arial" w:eastAsia="Arial Unicode MS" w:hAnsi="Arial" w:cs="Arial"/>
          <w:sz w:val="24"/>
          <w:szCs w:val="24"/>
        </w:rPr>
        <w:t>The</w:t>
      </w:r>
      <w:proofErr w:type="spellEnd"/>
      <w:r w:rsidRPr="00670830">
        <w:rPr>
          <w:rFonts w:ascii="Arial" w:eastAsia="Arial Unicode MS" w:hAnsi="Arial" w:cs="Arial"/>
          <w:sz w:val="24"/>
          <w:szCs w:val="24"/>
        </w:rPr>
        <w:t xml:space="preserve"> </w:t>
      </w:r>
      <w:proofErr w:type="spellStart"/>
      <w:r w:rsidRPr="00670830">
        <w:rPr>
          <w:rFonts w:ascii="Arial" w:eastAsia="Arial Unicode MS" w:hAnsi="Arial" w:cs="Arial"/>
          <w:sz w:val="24"/>
          <w:szCs w:val="24"/>
        </w:rPr>
        <w:t>Counter</w:t>
      </w:r>
      <w:proofErr w:type="spellEnd"/>
      <w:r w:rsidRPr="00670830">
        <w:rPr>
          <w:rFonts w:ascii="Arial" w:eastAsia="Arial Unicode MS" w:hAnsi="Arial" w:cs="Arial"/>
          <w:sz w:val="24"/>
          <w:szCs w:val="24"/>
        </w:rPr>
        <w:t xml:space="preserve"> (OTC).</w:t>
      </w:r>
    </w:p>
    <w:p w:rsidR="00740DD9" w:rsidRPr="00670830" w:rsidRDefault="00740DD9" w:rsidP="00670830">
      <w:pPr>
        <w:spacing w:before="100" w:beforeAutospacing="1" w:after="100" w:afterAutospacing="1" w:line="360" w:lineRule="auto"/>
        <w:rPr>
          <w:rFonts w:ascii="Arial" w:eastAsia="Arial Unicode MS" w:hAnsi="Arial" w:cs="Arial"/>
          <w:sz w:val="24"/>
          <w:szCs w:val="24"/>
        </w:rPr>
      </w:pPr>
    </w:p>
    <w:p w:rsidR="00740DD9" w:rsidRPr="00670830" w:rsidRDefault="00740DD9" w:rsidP="00670830">
      <w:pPr>
        <w:pStyle w:val="Ttulo2"/>
        <w:spacing w:before="100" w:beforeAutospacing="1" w:after="100" w:afterAutospacing="1" w:line="360" w:lineRule="auto"/>
        <w:jc w:val="both"/>
        <w:rPr>
          <w:rFonts w:ascii="Arial" w:eastAsia="Arial Unicode MS" w:hAnsi="Arial" w:cs="Arial"/>
          <w:color w:val="auto"/>
          <w:sz w:val="24"/>
          <w:szCs w:val="24"/>
        </w:rPr>
      </w:pPr>
      <w:bookmarkStart w:id="21" w:name="_Toc488230498"/>
      <w:r w:rsidRPr="00670830">
        <w:rPr>
          <w:rFonts w:ascii="Arial" w:eastAsia="Arial Unicode MS" w:hAnsi="Arial" w:cs="Arial"/>
          <w:color w:val="auto"/>
          <w:sz w:val="24"/>
          <w:szCs w:val="24"/>
        </w:rPr>
        <w:t>2.3. Sistema electrónico de negociación, transacción, registro y asignación de la Bolsa Mexicana de Valores (BMV-SENTRA Capitales)</w:t>
      </w:r>
      <w:bookmarkEnd w:id="21"/>
    </w:p>
    <w:p w:rsidR="008E5D70" w:rsidRPr="00670830" w:rsidRDefault="008E5D70"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La BMV tiene como finalidad facilitar las transacciones con los valores inscritos en ella, proporcionando un lugar al que acuden sus socios para realizar la oferta y demanda de los títulos. </w:t>
      </w:r>
    </w:p>
    <w:p w:rsidR="000D222A" w:rsidRPr="00670830" w:rsidRDefault="008E5D70"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Las operaciones se realizan a través de un sistema computarizado denominado Sistema Electrónico de Negociación, Transacción, Registro y Asignación (BMV-SENTRA Capitales) el cual proporciona al usuario el medio para negociar valores en el mercado. El sistema está compuesto por estaciones de trabajo colocadas en las mesas de operación de los intermediarios. </w:t>
      </w:r>
    </w:p>
    <w:p w:rsidR="008E5D70" w:rsidRPr="00670830" w:rsidRDefault="008E5D70"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Por medio de esta red de cómputo es posible conseguir información en tiempo real, tener con una visión global de las posturas, determinar las opciones de inversión para los clientes, y tomar parte directamente en el mercado. [Villareal, 2008]</w:t>
      </w:r>
    </w:p>
    <w:p w:rsidR="00C90C5A" w:rsidRPr="00670830" w:rsidRDefault="00C90C5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Sistema BMV-SENTRA Capitales Fue desarrollado por expertos técnicos de la BMV en colaboración con operadores, especialistas en sistemas y administradores de casas de bolsa y tiene las siguientes características:</w:t>
      </w:r>
    </w:p>
    <w:p w:rsidR="00C90C5A" w:rsidRPr="00670830" w:rsidRDefault="00C90C5A" w:rsidP="00670830">
      <w:pPr>
        <w:pStyle w:val="Prrafodelista"/>
        <w:numPr>
          <w:ilvl w:val="0"/>
          <w:numId w:val="23"/>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Proporciona al usuario el medio para negociar valores oportuna y eficazmente en el mercado de capitales a través de las estaciones de trabajo en las mesas de operación de los intermediarios. </w:t>
      </w:r>
    </w:p>
    <w:p w:rsidR="000D222A" w:rsidRPr="00670830" w:rsidRDefault="000D222A" w:rsidP="00670830">
      <w:pPr>
        <w:pStyle w:val="Prrafodelista"/>
        <w:spacing w:before="100" w:beforeAutospacing="1" w:after="100" w:afterAutospacing="1" w:line="360" w:lineRule="auto"/>
        <w:jc w:val="both"/>
        <w:rPr>
          <w:rFonts w:ascii="Arial" w:eastAsia="Arial Unicode MS" w:hAnsi="Arial" w:cs="Arial"/>
          <w:sz w:val="24"/>
          <w:szCs w:val="24"/>
        </w:rPr>
      </w:pPr>
    </w:p>
    <w:p w:rsidR="000D222A" w:rsidRPr="00670830" w:rsidRDefault="00C90C5A" w:rsidP="00670830">
      <w:pPr>
        <w:pStyle w:val="Prrafodelista"/>
        <w:numPr>
          <w:ilvl w:val="0"/>
          <w:numId w:val="23"/>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Muestra información en tiempo real, cuenta con una visión de conjunto de las posturas, identifica las mejores opciones de inversión para los clientes y participa directamente en el mercado.</w:t>
      </w:r>
    </w:p>
    <w:p w:rsidR="000D222A" w:rsidRPr="00670830" w:rsidRDefault="000D222A" w:rsidP="00670830">
      <w:pPr>
        <w:pStyle w:val="Prrafodelista"/>
        <w:spacing w:before="100" w:beforeAutospacing="1" w:after="100" w:afterAutospacing="1" w:line="360" w:lineRule="auto"/>
        <w:jc w:val="both"/>
        <w:rPr>
          <w:rFonts w:ascii="Arial" w:eastAsia="Arial Unicode MS" w:hAnsi="Arial" w:cs="Arial"/>
          <w:sz w:val="24"/>
          <w:szCs w:val="24"/>
        </w:rPr>
      </w:pPr>
    </w:p>
    <w:p w:rsidR="000D222A" w:rsidRPr="00670830" w:rsidRDefault="00C90C5A" w:rsidP="00670830">
      <w:pPr>
        <w:pStyle w:val="Prrafodelista"/>
        <w:numPr>
          <w:ilvl w:val="0"/>
          <w:numId w:val="23"/>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Permite que las posturas se ingresen a través de los formatos de compra y venta que aparecen en pantalla de trabajo del sistema BMV SENTRA Capitales y mediante mecanismos alternos como el administrador de órdenes o el ruteo electrónico de posturas directamente del computador de los intermediarios al computador de la BMV (en las posturas se especifica la emisora, serie, cantidad y precio de los valores que se desean comprar o vender).</w:t>
      </w:r>
    </w:p>
    <w:p w:rsidR="000D222A" w:rsidRPr="00670830" w:rsidRDefault="000D222A" w:rsidP="00670830">
      <w:pPr>
        <w:pStyle w:val="Prrafodelista"/>
        <w:spacing w:before="100" w:beforeAutospacing="1" w:after="100" w:afterAutospacing="1" w:line="360" w:lineRule="auto"/>
        <w:jc w:val="both"/>
        <w:rPr>
          <w:rFonts w:ascii="Arial" w:eastAsia="Arial Unicode MS" w:hAnsi="Arial" w:cs="Arial"/>
          <w:sz w:val="24"/>
          <w:szCs w:val="24"/>
        </w:rPr>
      </w:pPr>
    </w:p>
    <w:p w:rsidR="000D222A" w:rsidRPr="00670830" w:rsidRDefault="00C90C5A" w:rsidP="00670830">
      <w:pPr>
        <w:pStyle w:val="Prrafodelista"/>
        <w:numPr>
          <w:ilvl w:val="0"/>
          <w:numId w:val="23"/>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Proporciona información completa, brindando al usuario la seguridad de interactuar dentro de un dispositivo operado con estricto apego al marco legal y reglamentario dispuesto por las autoridades del ramo bursátil y financiero, sustentado en una plataforma tecnológica avanzada.</w:t>
      </w:r>
    </w:p>
    <w:p w:rsidR="00C90C5A" w:rsidRPr="00670830" w:rsidRDefault="00C90C5A" w:rsidP="00670830">
      <w:pPr>
        <w:pStyle w:val="Prrafodelista"/>
        <w:spacing w:before="100" w:beforeAutospacing="1" w:after="100" w:afterAutospacing="1" w:line="360" w:lineRule="auto"/>
        <w:jc w:val="both"/>
        <w:rPr>
          <w:rFonts w:ascii="Arial" w:eastAsia="Arial Unicode MS" w:hAnsi="Arial" w:cs="Arial"/>
          <w:sz w:val="24"/>
          <w:szCs w:val="24"/>
        </w:rPr>
      </w:pPr>
    </w:p>
    <w:p w:rsidR="00C90C5A" w:rsidRPr="00670830" w:rsidRDefault="00C90C5A" w:rsidP="00670830">
      <w:pPr>
        <w:pStyle w:val="Prrafodelista"/>
        <w:numPr>
          <w:ilvl w:val="0"/>
          <w:numId w:val="23"/>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Ofrece seguridad y equidad en las operaciones realizadas en el mercado de capitales debido a que cuenta con un soporte institucional, estricta vigilancia y absoluta transparencia.</w:t>
      </w:r>
    </w:p>
    <w:p w:rsidR="008E5D70" w:rsidRPr="00670830" w:rsidRDefault="00C90C5A" w:rsidP="00670830">
      <w:pPr>
        <w:spacing w:before="100" w:beforeAutospacing="1" w:after="100" w:afterAutospacing="1" w:line="360" w:lineRule="auto"/>
        <w:rPr>
          <w:rFonts w:ascii="Arial" w:eastAsia="Arial Unicode MS" w:hAnsi="Arial" w:cs="Arial"/>
          <w:sz w:val="24"/>
          <w:szCs w:val="24"/>
        </w:rPr>
      </w:pPr>
      <w:r w:rsidRPr="00670830">
        <w:rPr>
          <w:rFonts w:ascii="Arial" w:eastAsia="Arial Unicode MS" w:hAnsi="Arial" w:cs="Arial"/>
          <w:sz w:val="24"/>
          <w:szCs w:val="24"/>
        </w:rPr>
        <w:t>[http://www.bmv.com.mx/wb3/wb/BMV/caracteristicas_generales]</w:t>
      </w:r>
    </w:p>
    <w:p w:rsidR="00740DD9" w:rsidRPr="00670830" w:rsidRDefault="00740DD9" w:rsidP="00670830">
      <w:pPr>
        <w:pStyle w:val="Ttulo2"/>
        <w:spacing w:before="100" w:beforeAutospacing="1" w:after="100" w:afterAutospacing="1" w:line="360" w:lineRule="auto"/>
        <w:jc w:val="both"/>
        <w:rPr>
          <w:rFonts w:ascii="Arial" w:eastAsia="Arial Unicode MS" w:hAnsi="Arial" w:cs="Arial"/>
          <w:color w:val="auto"/>
          <w:sz w:val="24"/>
          <w:szCs w:val="24"/>
        </w:rPr>
      </w:pPr>
      <w:bookmarkStart w:id="22" w:name="_Toc488230499"/>
      <w:r w:rsidRPr="00670830">
        <w:rPr>
          <w:rFonts w:ascii="Arial" w:eastAsia="Arial Unicode MS" w:hAnsi="Arial" w:cs="Arial"/>
          <w:color w:val="auto"/>
          <w:sz w:val="24"/>
          <w:szCs w:val="24"/>
        </w:rPr>
        <w:t>2.4. Índice de Precios y Cotizaciones</w:t>
      </w:r>
      <w:bookmarkEnd w:id="22"/>
    </w:p>
    <w:p w:rsidR="00481DB6" w:rsidRPr="00670830" w:rsidRDefault="00481DB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Índices de la Bolsa Mexicana de Valores, dependiendo de su enfoque y especialidad, son indicadores que buscan reflejar el comportamiento del mercado accionario mexicano en su conjunto, o bien de diferentes grupos de empresas con alguna característica en común.</w:t>
      </w:r>
    </w:p>
    <w:p w:rsidR="00481DB6" w:rsidRPr="00670830" w:rsidRDefault="00481DB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Índices Principales de la Bolsa Mexicana de Valores son los siguientes:</w:t>
      </w:r>
    </w:p>
    <w:p w:rsidR="00481DB6" w:rsidRPr="00670830" w:rsidRDefault="00481DB6" w:rsidP="00670830">
      <w:pPr>
        <w:pStyle w:val="Prrafodelista"/>
        <w:numPr>
          <w:ilvl w:val="0"/>
          <w:numId w:val="21"/>
        </w:numPr>
        <w:spacing w:before="100" w:beforeAutospacing="1" w:after="100" w:afterAutospacing="1" w:line="360" w:lineRule="auto"/>
        <w:jc w:val="both"/>
        <w:rPr>
          <w:rFonts w:ascii="Arial" w:eastAsia="Arial Unicode MS" w:hAnsi="Arial" w:cs="Arial"/>
          <w:b/>
          <w:sz w:val="24"/>
          <w:szCs w:val="24"/>
        </w:rPr>
      </w:pPr>
      <w:r w:rsidRPr="00670830">
        <w:rPr>
          <w:rFonts w:ascii="Arial" w:eastAsia="Arial Unicode MS" w:hAnsi="Arial" w:cs="Arial"/>
          <w:b/>
          <w:sz w:val="24"/>
          <w:szCs w:val="24"/>
        </w:rPr>
        <w:t>Índice de Precios y Cotizaciones (IPC)</w:t>
      </w:r>
    </w:p>
    <w:p w:rsidR="00481DB6" w:rsidRPr="00670830" w:rsidRDefault="00481DB6" w:rsidP="00670830">
      <w:pPr>
        <w:pStyle w:val="Prrafodelista"/>
        <w:numPr>
          <w:ilvl w:val="0"/>
          <w:numId w:val="21"/>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Índice México (INMEX)</w:t>
      </w:r>
    </w:p>
    <w:p w:rsidR="00481DB6" w:rsidRPr="00670830" w:rsidRDefault="00481DB6" w:rsidP="00670830">
      <w:pPr>
        <w:pStyle w:val="Prrafodelista"/>
        <w:numPr>
          <w:ilvl w:val="0"/>
          <w:numId w:val="21"/>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Índice de la Mediana Capitalización (IMC 30)</w:t>
      </w:r>
    </w:p>
    <w:p w:rsidR="00481DB6" w:rsidRPr="00670830" w:rsidRDefault="00481DB6" w:rsidP="00670830">
      <w:pPr>
        <w:pStyle w:val="Prrafodelista"/>
        <w:numPr>
          <w:ilvl w:val="0"/>
          <w:numId w:val="21"/>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Índice de Vivienda (HABITA)</w:t>
      </w:r>
    </w:p>
    <w:p w:rsidR="00481DB6" w:rsidRPr="00670830" w:rsidRDefault="00481DB6" w:rsidP="00670830">
      <w:pPr>
        <w:pStyle w:val="Prrafodelista"/>
        <w:numPr>
          <w:ilvl w:val="0"/>
          <w:numId w:val="21"/>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Índice Compuesto del Mercado Accionario (IPC </w:t>
      </w:r>
      <w:proofErr w:type="spellStart"/>
      <w:r w:rsidRPr="00670830">
        <w:rPr>
          <w:rFonts w:ascii="Arial" w:eastAsia="Arial Unicode MS" w:hAnsi="Arial" w:cs="Arial"/>
          <w:sz w:val="24"/>
          <w:szCs w:val="24"/>
        </w:rPr>
        <w:t>CompMx</w:t>
      </w:r>
      <w:proofErr w:type="spellEnd"/>
      <w:r w:rsidRPr="00670830">
        <w:rPr>
          <w:rFonts w:ascii="Arial" w:eastAsia="Arial Unicode MS" w:hAnsi="Arial" w:cs="Arial"/>
          <w:sz w:val="24"/>
          <w:szCs w:val="24"/>
        </w:rPr>
        <w:t>)</w:t>
      </w:r>
    </w:p>
    <w:p w:rsidR="00481DB6" w:rsidRPr="00670830" w:rsidRDefault="00481DB6" w:rsidP="00670830">
      <w:pPr>
        <w:pStyle w:val="Prrafodelista"/>
        <w:numPr>
          <w:ilvl w:val="0"/>
          <w:numId w:val="21"/>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Índice de Empresas de Alta Capitalización (IPC </w:t>
      </w:r>
      <w:proofErr w:type="spellStart"/>
      <w:r w:rsidRPr="00670830">
        <w:rPr>
          <w:rFonts w:ascii="Arial" w:eastAsia="Arial Unicode MS" w:hAnsi="Arial" w:cs="Arial"/>
          <w:sz w:val="24"/>
          <w:szCs w:val="24"/>
        </w:rPr>
        <w:t>LargeCap</w:t>
      </w:r>
      <w:proofErr w:type="spellEnd"/>
      <w:r w:rsidRPr="00670830">
        <w:rPr>
          <w:rFonts w:ascii="Arial" w:eastAsia="Arial Unicode MS" w:hAnsi="Arial" w:cs="Arial"/>
          <w:sz w:val="24"/>
          <w:szCs w:val="24"/>
        </w:rPr>
        <w:t>)</w:t>
      </w:r>
    </w:p>
    <w:p w:rsidR="00481DB6" w:rsidRPr="00670830" w:rsidRDefault="00481DB6" w:rsidP="00670830">
      <w:pPr>
        <w:pStyle w:val="Prrafodelista"/>
        <w:numPr>
          <w:ilvl w:val="0"/>
          <w:numId w:val="21"/>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Índice de Empresas de Media Capitalización (IPC </w:t>
      </w:r>
      <w:proofErr w:type="spellStart"/>
      <w:r w:rsidRPr="00670830">
        <w:rPr>
          <w:rFonts w:ascii="Arial" w:eastAsia="Arial Unicode MS" w:hAnsi="Arial" w:cs="Arial"/>
          <w:sz w:val="24"/>
          <w:szCs w:val="24"/>
        </w:rPr>
        <w:t>MidCap</w:t>
      </w:r>
      <w:proofErr w:type="spellEnd"/>
      <w:r w:rsidRPr="00670830">
        <w:rPr>
          <w:rFonts w:ascii="Arial" w:eastAsia="Arial Unicode MS" w:hAnsi="Arial" w:cs="Arial"/>
          <w:sz w:val="24"/>
          <w:szCs w:val="24"/>
        </w:rPr>
        <w:t>)</w:t>
      </w:r>
    </w:p>
    <w:p w:rsidR="00481DB6" w:rsidRPr="00670830" w:rsidRDefault="00481DB6" w:rsidP="00670830">
      <w:pPr>
        <w:pStyle w:val="Prrafodelista"/>
        <w:numPr>
          <w:ilvl w:val="0"/>
          <w:numId w:val="21"/>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Índice de Empresas de Pequeña Capitalización (IPC </w:t>
      </w:r>
      <w:proofErr w:type="spellStart"/>
      <w:r w:rsidRPr="00670830">
        <w:rPr>
          <w:rFonts w:ascii="Arial" w:eastAsia="Arial Unicode MS" w:hAnsi="Arial" w:cs="Arial"/>
          <w:sz w:val="24"/>
          <w:szCs w:val="24"/>
        </w:rPr>
        <w:t>SmallCap</w:t>
      </w:r>
      <w:proofErr w:type="spellEnd"/>
      <w:r w:rsidRPr="00670830">
        <w:rPr>
          <w:rFonts w:ascii="Arial" w:eastAsia="Arial Unicode MS" w:hAnsi="Arial" w:cs="Arial"/>
          <w:sz w:val="24"/>
          <w:szCs w:val="24"/>
        </w:rPr>
        <w:t>)</w:t>
      </w:r>
    </w:p>
    <w:p w:rsidR="00481DB6" w:rsidRPr="00670830" w:rsidRDefault="00481DB6" w:rsidP="00670830">
      <w:pPr>
        <w:pStyle w:val="Prrafodelista"/>
        <w:numPr>
          <w:ilvl w:val="0"/>
          <w:numId w:val="21"/>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Índice de Dividendos (</w:t>
      </w:r>
      <w:proofErr w:type="spellStart"/>
      <w:r w:rsidRPr="00670830">
        <w:rPr>
          <w:rFonts w:ascii="Arial" w:eastAsia="Arial Unicode MS" w:hAnsi="Arial" w:cs="Arial"/>
          <w:sz w:val="24"/>
          <w:szCs w:val="24"/>
        </w:rPr>
        <w:t>IDiv</w:t>
      </w:r>
      <w:proofErr w:type="spellEnd"/>
      <w:r w:rsidRPr="00670830">
        <w:rPr>
          <w:rFonts w:ascii="Arial" w:eastAsia="Arial Unicode MS" w:hAnsi="Arial" w:cs="Arial"/>
          <w:sz w:val="24"/>
          <w:szCs w:val="24"/>
        </w:rPr>
        <w:t>)</w:t>
      </w:r>
    </w:p>
    <w:p w:rsidR="00481DB6" w:rsidRPr="00670830" w:rsidRDefault="00481DB6" w:rsidP="00670830">
      <w:pPr>
        <w:pStyle w:val="Prrafodelista"/>
        <w:numPr>
          <w:ilvl w:val="0"/>
          <w:numId w:val="21"/>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Índice México-Brasil (</w:t>
      </w:r>
      <w:proofErr w:type="spellStart"/>
      <w:r w:rsidRPr="00670830">
        <w:rPr>
          <w:rFonts w:ascii="Arial" w:eastAsia="Arial Unicode MS" w:hAnsi="Arial" w:cs="Arial"/>
          <w:sz w:val="24"/>
          <w:szCs w:val="24"/>
        </w:rPr>
        <w:t>IMeBz</w:t>
      </w:r>
      <w:proofErr w:type="spellEnd"/>
      <w:r w:rsidRPr="00670830">
        <w:rPr>
          <w:rFonts w:ascii="Arial" w:eastAsia="Arial Unicode MS" w:hAnsi="Arial" w:cs="Arial"/>
          <w:sz w:val="24"/>
          <w:szCs w:val="24"/>
        </w:rPr>
        <w:t>)</w:t>
      </w:r>
    </w:p>
    <w:p w:rsidR="00481DB6" w:rsidRPr="00670830" w:rsidRDefault="00481DB6" w:rsidP="00670830">
      <w:pPr>
        <w:pStyle w:val="Prrafodelista"/>
        <w:numPr>
          <w:ilvl w:val="0"/>
          <w:numId w:val="21"/>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BMV-Brasil 15</w:t>
      </w:r>
    </w:p>
    <w:p w:rsidR="00481DB6" w:rsidRPr="00670830" w:rsidRDefault="00481DB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Índice de Precios y Cotizaciones (IPC) es el principal indicador de Mercado Mexicano de Valores; expresa el rendimiento del mercado accionario en función de las variaciones de precios de una muestra balanceada, ponderada y representativa del conjunto de Emisoras cotizadas en la Bolsa, basado en las mejores prácticas internacionales.</w:t>
      </w:r>
    </w:p>
    <w:p w:rsidR="00481DB6" w:rsidRPr="00670830" w:rsidRDefault="00481DB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 </w:t>
      </w:r>
      <w:r w:rsidR="003F7B3D" w:rsidRPr="00670830">
        <w:rPr>
          <w:rFonts w:ascii="Arial" w:eastAsia="Arial Unicode MS" w:hAnsi="Arial" w:cs="Arial"/>
          <w:sz w:val="24"/>
          <w:szCs w:val="24"/>
        </w:rPr>
        <w:t>El IPC</w:t>
      </w:r>
      <w:r w:rsidRPr="00670830">
        <w:rPr>
          <w:rFonts w:ascii="Arial" w:eastAsia="Arial Unicode MS" w:hAnsi="Arial" w:cs="Arial"/>
          <w:sz w:val="24"/>
          <w:szCs w:val="24"/>
        </w:rPr>
        <w:t>, con base octubre de 1978, tiene como principal objetivo, constituirse como un indicador representativo del Mercado Mexicano para servir como referencia y subyacente de productos financieros.</w:t>
      </w:r>
    </w:p>
    <w:p w:rsidR="00BF198A" w:rsidRPr="00670830" w:rsidRDefault="00BF198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La muestra del IPC está compuesta por 35 emisoras, seleccionando a la serie accionaria más bursátil de cada una de ellas. Sólo será incluida una serie accionaria por emisora. </w:t>
      </w:r>
    </w:p>
    <w:p w:rsidR="001A2E07" w:rsidRPr="00670830" w:rsidRDefault="00BF198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número de componentes de la muestra puede variar en virtud de eventos corporativos</w:t>
      </w:r>
      <w:r w:rsidR="005913D4" w:rsidRPr="00670830">
        <w:rPr>
          <w:rFonts w:ascii="Arial" w:eastAsia="Arial Unicode MS" w:hAnsi="Arial" w:cs="Arial"/>
          <w:sz w:val="24"/>
          <w:szCs w:val="24"/>
        </w:rPr>
        <w:t>.</w:t>
      </w:r>
    </w:p>
    <w:p w:rsidR="001A2E07" w:rsidRPr="00670830" w:rsidRDefault="001A2E07" w:rsidP="00670830">
      <w:pPr>
        <w:spacing w:before="100" w:beforeAutospacing="1" w:after="100" w:afterAutospacing="1" w:line="360" w:lineRule="auto"/>
        <w:jc w:val="both"/>
        <w:rPr>
          <w:rFonts w:ascii="Arial" w:eastAsia="Arial Unicode MS" w:hAnsi="Arial" w:cs="Arial"/>
          <w:sz w:val="24"/>
          <w:szCs w:val="24"/>
        </w:rPr>
      </w:pPr>
    </w:p>
    <w:p w:rsidR="00BF198A" w:rsidRPr="00670830" w:rsidRDefault="00BF198A" w:rsidP="00670830">
      <w:pPr>
        <w:spacing w:before="100" w:beforeAutospacing="1" w:after="100" w:afterAutospacing="1" w:line="360" w:lineRule="auto"/>
        <w:jc w:val="both"/>
        <w:rPr>
          <w:rFonts w:ascii="Arial" w:eastAsia="Arial Unicode MS" w:hAnsi="Arial" w:cs="Arial"/>
          <w:b/>
          <w:sz w:val="24"/>
          <w:szCs w:val="24"/>
        </w:rPr>
      </w:pPr>
      <w:r w:rsidRPr="00670830">
        <w:rPr>
          <w:rFonts w:ascii="Arial" w:eastAsia="Arial Unicode MS" w:hAnsi="Arial" w:cs="Arial"/>
          <w:b/>
          <w:sz w:val="24"/>
          <w:szCs w:val="24"/>
        </w:rPr>
        <w:t>Metodología diaria de Cálculo del Índice:</w:t>
      </w:r>
    </w:p>
    <w:p w:rsidR="005F6D00" w:rsidRPr="00670830" w:rsidRDefault="005F6D00" w:rsidP="00670830">
      <w:pPr>
        <w:spacing w:before="100" w:beforeAutospacing="1" w:after="100" w:afterAutospacing="1" w:line="360" w:lineRule="auto"/>
        <w:jc w:val="both"/>
        <w:rPr>
          <w:rFonts w:ascii="Arial" w:eastAsia="Arial Unicode MS" w:hAnsi="Arial" w:cs="Arial"/>
          <w:b/>
          <w:sz w:val="24"/>
          <w:szCs w:val="24"/>
        </w:rPr>
      </w:pPr>
    </w:p>
    <w:p w:rsidR="00BF198A" w:rsidRPr="00670830" w:rsidRDefault="00AC26BD" w:rsidP="00670830">
      <w:pPr>
        <w:spacing w:before="100" w:beforeAutospacing="1" w:after="100" w:afterAutospacing="1" w:line="360" w:lineRule="auto"/>
        <w:jc w:val="both"/>
        <w:rPr>
          <w:rFonts w:ascii="Arial" w:eastAsia="Arial Unicode MS" w:hAnsi="Arial" w:cs="Arial"/>
          <w:b/>
          <w:sz w:val="24"/>
          <w:szCs w:val="24"/>
        </w:rPr>
      </w:pPr>
      <m:oMathPara>
        <m:oMath>
          <m:sSub>
            <m:sSubPr>
              <m:ctrlPr>
                <w:rPr>
                  <w:rFonts w:ascii="Cambria Math" w:eastAsia="Arial Unicode MS" w:hAnsi="Cambria Math" w:cs="Arial"/>
                  <w:b/>
                  <w:i/>
                  <w:sz w:val="24"/>
                  <w:szCs w:val="24"/>
                </w:rPr>
              </m:ctrlPr>
            </m:sSubPr>
            <m:e>
              <m:r>
                <m:rPr>
                  <m:sty m:val="bi"/>
                </m:rPr>
                <w:rPr>
                  <w:rFonts w:ascii="Cambria Math" w:eastAsia="Arial Unicode MS" w:hAnsi="Cambria Math" w:cs="Arial"/>
                  <w:sz w:val="24"/>
                  <w:szCs w:val="24"/>
                </w:rPr>
                <m:t>I</m:t>
              </m:r>
            </m:e>
            <m:sub>
              <m:r>
                <m:rPr>
                  <m:sty m:val="bi"/>
                </m:rPr>
                <w:rPr>
                  <w:rFonts w:ascii="Cambria Math" w:eastAsia="Arial Unicode MS" w:hAnsi="Cambria Math" w:cs="Arial"/>
                  <w:sz w:val="24"/>
                  <w:szCs w:val="24"/>
                </w:rPr>
                <m:t>t</m:t>
              </m:r>
            </m:sub>
          </m:sSub>
          <m:r>
            <m:rPr>
              <m:sty m:val="bi"/>
            </m:rPr>
            <w:rPr>
              <w:rFonts w:ascii="Cambria Math" w:eastAsia="Arial Unicode MS" w:hAnsi="Cambria Math" w:cs="Arial"/>
              <w:sz w:val="24"/>
              <w:szCs w:val="24"/>
            </w:rPr>
            <m:t>=</m:t>
          </m:r>
          <m:sSub>
            <m:sSubPr>
              <m:ctrlPr>
                <w:rPr>
                  <w:rFonts w:ascii="Cambria Math" w:eastAsia="Arial Unicode MS" w:hAnsi="Cambria Math" w:cs="Arial"/>
                  <w:b/>
                  <w:i/>
                  <w:sz w:val="24"/>
                  <w:szCs w:val="24"/>
                </w:rPr>
              </m:ctrlPr>
            </m:sSubPr>
            <m:e>
              <m:r>
                <m:rPr>
                  <m:sty m:val="bi"/>
                </m:rPr>
                <w:rPr>
                  <w:rFonts w:ascii="Cambria Math" w:eastAsia="Arial Unicode MS" w:hAnsi="Cambria Math" w:cs="Arial"/>
                  <w:sz w:val="24"/>
                  <w:szCs w:val="24"/>
                </w:rPr>
                <m:t>I</m:t>
              </m:r>
            </m:e>
            <m:sub>
              <m:r>
                <m:rPr>
                  <m:sty m:val="bi"/>
                </m:rPr>
                <w:rPr>
                  <w:rFonts w:ascii="Cambria Math" w:eastAsia="Arial Unicode MS" w:hAnsi="Cambria Math" w:cs="Arial"/>
                  <w:sz w:val="24"/>
                  <w:szCs w:val="24"/>
                </w:rPr>
                <m:t>t-1</m:t>
              </m:r>
            </m:sub>
          </m:sSub>
          <m:r>
            <m:rPr>
              <m:sty m:val="bi"/>
            </m:rPr>
            <w:rPr>
              <w:rFonts w:ascii="Cambria Math" w:eastAsia="Arial Unicode MS" w:hAnsi="Cambria Math" w:cs="Arial"/>
              <w:sz w:val="24"/>
              <w:szCs w:val="24"/>
            </w:rPr>
            <m:t>*</m:t>
          </m:r>
          <m:d>
            <m:dPr>
              <m:ctrlPr>
                <w:rPr>
                  <w:rFonts w:ascii="Cambria Math" w:eastAsia="Arial Unicode MS" w:hAnsi="Cambria Math" w:cs="Arial"/>
                  <w:b/>
                  <w:i/>
                  <w:sz w:val="24"/>
                  <w:szCs w:val="24"/>
                </w:rPr>
              </m:ctrlPr>
            </m:dPr>
            <m:e>
              <m:f>
                <m:fPr>
                  <m:ctrlPr>
                    <w:rPr>
                      <w:rFonts w:ascii="Cambria Math" w:eastAsia="Arial Unicode MS" w:hAnsi="Cambria Math" w:cs="Arial"/>
                      <w:b/>
                      <w:i/>
                      <w:sz w:val="24"/>
                      <w:szCs w:val="24"/>
                    </w:rPr>
                  </m:ctrlPr>
                </m:fPr>
                <m:num>
                  <m:nary>
                    <m:naryPr>
                      <m:chr m:val="∑"/>
                      <m:limLoc m:val="undOvr"/>
                      <m:subHide m:val="1"/>
                      <m:supHide m:val="1"/>
                      <m:ctrlPr>
                        <w:rPr>
                          <w:rFonts w:ascii="Cambria Math" w:eastAsia="Arial Unicode MS" w:hAnsi="Cambria Math" w:cs="Arial"/>
                          <w:b/>
                          <w:i/>
                          <w:sz w:val="24"/>
                          <w:szCs w:val="24"/>
                        </w:rPr>
                      </m:ctrlPr>
                    </m:naryPr>
                    <m:sub/>
                    <m:sup/>
                    <m:e>
                      <m:sSub>
                        <m:sSubPr>
                          <m:ctrlPr>
                            <w:rPr>
                              <w:rFonts w:ascii="Cambria Math" w:eastAsia="Arial Unicode MS" w:hAnsi="Cambria Math" w:cs="Arial"/>
                              <w:b/>
                              <w:i/>
                              <w:sz w:val="24"/>
                              <w:szCs w:val="24"/>
                            </w:rPr>
                          </m:ctrlPr>
                        </m:sSubPr>
                        <m:e>
                          <m:r>
                            <m:rPr>
                              <m:sty m:val="bi"/>
                            </m:rPr>
                            <w:rPr>
                              <w:rFonts w:ascii="Cambria Math" w:eastAsia="Arial Unicode MS" w:hAnsi="Cambria Math" w:cs="Arial"/>
                              <w:sz w:val="24"/>
                              <w:szCs w:val="24"/>
                            </w:rPr>
                            <m:t>P</m:t>
                          </m:r>
                        </m:e>
                        <m:sub>
                          <m:r>
                            <m:rPr>
                              <m:sty m:val="bi"/>
                            </m:rPr>
                            <w:rPr>
                              <w:rFonts w:ascii="Cambria Math" w:eastAsia="Arial Unicode MS" w:hAnsi="Cambria Math" w:cs="Arial"/>
                              <w:sz w:val="24"/>
                              <w:szCs w:val="24"/>
                            </w:rPr>
                            <m:t>it</m:t>
                          </m:r>
                        </m:sub>
                      </m:sSub>
                      <m:r>
                        <m:rPr>
                          <m:sty m:val="bi"/>
                        </m:rPr>
                        <w:rPr>
                          <w:rFonts w:ascii="Cambria Math" w:eastAsia="Arial Unicode MS" w:hAnsi="Cambria Math" w:cs="Arial"/>
                          <w:sz w:val="24"/>
                          <w:szCs w:val="24"/>
                        </w:rPr>
                        <m:t>*</m:t>
                      </m:r>
                      <m:d>
                        <m:dPr>
                          <m:ctrlPr>
                            <w:rPr>
                              <w:rFonts w:ascii="Cambria Math" w:eastAsia="Arial Unicode MS" w:hAnsi="Cambria Math" w:cs="Arial"/>
                              <w:b/>
                              <w:i/>
                              <w:sz w:val="24"/>
                              <w:szCs w:val="24"/>
                            </w:rPr>
                          </m:ctrlPr>
                        </m:dPr>
                        <m:e>
                          <m:sSub>
                            <m:sSubPr>
                              <m:ctrlPr>
                                <w:rPr>
                                  <w:rFonts w:ascii="Cambria Math" w:eastAsia="Arial Unicode MS" w:hAnsi="Cambria Math" w:cs="Arial"/>
                                  <w:b/>
                                  <w:i/>
                                  <w:sz w:val="24"/>
                                  <w:szCs w:val="24"/>
                                </w:rPr>
                              </m:ctrlPr>
                            </m:sSubPr>
                            <m:e>
                              <m:r>
                                <m:rPr>
                                  <m:sty m:val="bi"/>
                                </m:rPr>
                                <w:rPr>
                                  <w:rFonts w:ascii="Cambria Math" w:eastAsia="Arial Unicode MS" w:hAnsi="Cambria Math" w:cs="Arial"/>
                                  <w:sz w:val="24"/>
                                  <w:szCs w:val="24"/>
                                </w:rPr>
                                <m:t>Q</m:t>
                              </m:r>
                            </m:e>
                            <m:sub>
                              <m:r>
                                <m:rPr>
                                  <m:sty m:val="bi"/>
                                </m:rPr>
                                <w:rPr>
                                  <w:rFonts w:ascii="Cambria Math" w:eastAsia="Arial Unicode MS" w:hAnsi="Cambria Math" w:cs="Arial"/>
                                  <w:sz w:val="24"/>
                                  <w:szCs w:val="24"/>
                                </w:rPr>
                                <m:t>it</m:t>
                              </m:r>
                            </m:sub>
                          </m:sSub>
                          <m:r>
                            <m:rPr>
                              <m:sty m:val="bi"/>
                            </m:rPr>
                            <w:rPr>
                              <w:rFonts w:ascii="Cambria Math" w:eastAsia="Arial Unicode MS" w:hAnsi="Cambria Math" w:cs="Arial"/>
                              <w:sz w:val="24"/>
                              <w:szCs w:val="24"/>
                            </w:rPr>
                            <m:t>*</m:t>
                          </m:r>
                          <m:sSub>
                            <m:sSubPr>
                              <m:ctrlPr>
                                <w:rPr>
                                  <w:rFonts w:ascii="Cambria Math" w:eastAsia="Arial Unicode MS" w:hAnsi="Cambria Math" w:cs="Arial"/>
                                  <w:b/>
                                  <w:i/>
                                  <w:sz w:val="24"/>
                                  <w:szCs w:val="24"/>
                                </w:rPr>
                              </m:ctrlPr>
                            </m:sSubPr>
                            <m:e>
                              <m:r>
                                <m:rPr>
                                  <m:sty m:val="bi"/>
                                </m:rPr>
                                <w:rPr>
                                  <w:rFonts w:ascii="Cambria Math" w:eastAsia="Arial Unicode MS" w:hAnsi="Cambria Math" w:cs="Arial"/>
                                  <w:sz w:val="24"/>
                                  <w:szCs w:val="24"/>
                                </w:rPr>
                                <m:t>FAF</m:t>
                              </m:r>
                            </m:e>
                            <m:sub>
                              <m:r>
                                <m:rPr>
                                  <m:sty m:val="bi"/>
                                </m:rPr>
                                <w:rPr>
                                  <w:rFonts w:ascii="Cambria Math" w:eastAsia="Arial Unicode MS" w:hAnsi="Cambria Math" w:cs="Arial"/>
                                  <w:sz w:val="24"/>
                                  <w:szCs w:val="24"/>
                                </w:rPr>
                                <m:t>i</m:t>
                              </m:r>
                            </m:sub>
                          </m:sSub>
                        </m:e>
                      </m:d>
                    </m:e>
                  </m:nary>
                </m:num>
                <m:den>
                  <m:nary>
                    <m:naryPr>
                      <m:chr m:val="∑"/>
                      <m:limLoc m:val="undOvr"/>
                      <m:subHide m:val="1"/>
                      <m:supHide m:val="1"/>
                      <m:ctrlPr>
                        <w:rPr>
                          <w:rFonts w:ascii="Cambria Math" w:eastAsia="Arial Unicode MS" w:hAnsi="Cambria Math" w:cs="Arial"/>
                          <w:b/>
                          <w:i/>
                          <w:sz w:val="24"/>
                          <w:szCs w:val="24"/>
                        </w:rPr>
                      </m:ctrlPr>
                    </m:naryPr>
                    <m:sub/>
                    <m:sup/>
                    <m:e>
                      <m:sSub>
                        <m:sSubPr>
                          <m:ctrlPr>
                            <w:rPr>
                              <w:rFonts w:ascii="Cambria Math" w:eastAsia="Arial Unicode MS" w:hAnsi="Cambria Math" w:cs="Arial"/>
                              <w:b/>
                              <w:i/>
                              <w:sz w:val="24"/>
                              <w:szCs w:val="24"/>
                            </w:rPr>
                          </m:ctrlPr>
                        </m:sSubPr>
                        <m:e>
                          <m:r>
                            <m:rPr>
                              <m:sty m:val="bi"/>
                            </m:rPr>
                            <w:rPr>
                              <w:rFonts w:ascii="Cambria Math" w:eastAsia="Arial Unicode MS" w:hAnsi="Cambria Math" w:cs="Arial"/>
                              <w:sz w:val="24"/>
                              <w:szCs w:val="24"/>
                            </w:rPr>
                            <m:t>P</m:t>
                          </m:r>
                        </m:e>
                        <m:sub>
                          <m:r>
                            <m:rPr>
                              <m:sty m:val="bi"/>
                            </m:rPr>
                            <w:rPr>
                              <w:rFonts w:ascii="Cambria Math" w:eastAsia="Arial Unicode MS" w:hAnsi="Cambria Math" w:cs="Arial"/>
                              <w:sz w:val="24"/>
                              <w:szCs w:val="24"/>
                            </w:rPr>
                            <m:t>it-1</m:t>
                          </m:r>
                        </m:sub>
                      </m:sSub>
                      <m:r>
                        <m:rPr>
                          <m:sty m:val="bi"/>
                        </m:rPr>
                        <w:rPr>
                          <w:rFonts w:ascii="Cambria Math" w:eastAsia="Arial Unicode MS" w:hAnsi="Cambria Math" w:cs="Arial"/>
                          <w:sz w:val="24"/>
                          <w:szCs w:val="24"/>
                        </w:rPr>
                        <m:t>*</m:t>
                      </m:r>
                      <m:d>
                        <m:dPr>
                          <m:ctrlPr>
                            <w:rPr>
                              <w:rFonts w:ascii="Cambria Math" w:eastAsia="Arial Unicode MS" w:hAnsi="Cambria Math" w:cs="Arial"/>
                              <w:b/>
                              <w:i/>
                              <w:sz w:val="24"/>
                              <w:szCs w:val="24"/>
                            </w:rPr>
                          </m:ctrlPr>
                        </m:dPr>
                        <m:e>
                          <m:sSub>
                            <m:sSubPr>
                              <m:ctrlPr>
                                <w:rPr>
                                  <w:rFonts w:ascii="Cambria Math" w:eastAsia="Arial Unicode MS" w:hAnsi="Cambria Math" w:cs="Arial"/>
                                  <w:b/>
                                  <w:i/>
                                  <w:sz w:val="24"/>
                                  <w:szCs w:val="24"/>
                                </w:rPr>
                              </m:ctrlPr>
                            </m:sSubPr>
                            <m:e>
                              <m:r>
                                <m:rPr>
                                  <m:sty m:val="bi"/>
                                </m:rPr>
                                <w:rPr>
                                  <w:rFonts w:ascii="Cambria Math" w:eastAsia="Arial Unicode MS" w:hAnsi="Cambria Math" w:cs="Arial"/>
                                  <w:sz w:val="24"/>
                                  <w:szCs w:val="24"/>
                                </w:rPr>
                                <m:t>Q</m:t>
                              </m:r>
                            </m:e>
                            <m:sub>
                              <m:r>
                                <m:rPr>
                                  <m:sty m:val="bi"/>
                                </m:rPr>
                                <w:rPr>
                                  <w:rFonts w:ascii="Cambria Math" w:eastAsia="Arial Unicode MS" w:hAnsi="Cambria Math" w:cs="Arial"/>
                                  <w:sz w:val="24"/>
                                  <w:szCs w:val="24"/>
                                </w:rPr>
                                <m:t>it-1</m:t>
                              </m:r>
                            </m:sub>
                          </m:sSub>
                          <m:r>
                            <m:rPr>
                              <m:sty m:val="bi"/>
                            </m:rPr>
                            <w:rPr>
                              <w:rFonts w:ascii="Cambria Math" w:eastAsia="Arial Unicode MS" w:hAnsi="Cambria Math" w:cs="Arial"/>
                              <w:sz w:val="24"/>
                              <w:szCs w:val="24"/>
                            </w:rPr>
                            <m:t>*</m:t>
                          </m:r>
                          <m:sSub>
                            <m:sSubPr>
                              <m:ctrlPr>
                                <w:rPr>
                                  <w:rFonts w:ascii="Cambria Math" w:eastAsia="Arial Unicode MS" w:hAnsi="Cambria Math" w:cs="Arial"/>
                                  <w:b/>
                                  <w:i/>
                                  <w:sz w:val="24"/>
                                  <w:szCs w:val="24"/>
                                </w:rPr>
                              </m:ctrlPr>
                            </m:sSubPr>
                            <m:e>
                              <m:r>
                                <m:rPr>
                                  <m:sty m:val="bi"/>
                                </m:rPr>
                                <w:rPr>
                                  <w:rFonts w:ascii="Cambria Math" w:eastAsia="Arial Unicode MS" w:hAnsi="Cambria Math" w:cs="Arial"/>
                                  <w:sz w:val="24"/>
                                  <w:szCs w:val="24"/>
                                </w:rPr>
                                <m:t>FAF</m:t>
                              </m:r>
                            </m:e>
                            <m:sub>
                              <m:r>
                                <m:rPr>
                                  <m:sty m:val="bi"/>
                                </m:rPr>
                                <w:rPr>
                                  <w:rFonts w:ascii="Cambria Math" w:eastAsia="Arial Unicode MS" w:hAnsi="Cambria Math" w:cs="Arial"/>
                                  <w:sz w:val="24"/>
                                  <w:szCs w:val="24"/>
                                </w:rPr>
                                <m:t>i</m:t>
                              </m:r>
                            </m:sub>
                          </m:sSub>
                        </m:e>
                      </m:d>
                      <m:r>
                        <m:rPr>
                          <m:sty m:val="bi"/>
                        </m:rPr>
                        <w:rPr>
                          <w:rFonts w:ascii="Cambria Math" w:eastAsia="Arial Unicode MS" w:hAnsi="Cambria Math" w:cs="Arial"/>
                          <w:sz w:val="24"/>
                          <w:szCs w:val="24"/>
                        </w:rPr>
                        <m:t>*</m:t>
                      </m:r>
                      <m:sSub>
                        <m:sSubPr>
                          <m:ctrlPr>
                            <w:rPr>
                              <w:rFonts w:ascii="Cambria Math" w:eastAsia="Arial Unicode MS" w:hAnsi="Cambria Math" w:cs="Arial"/>
                              <w:b/>
                              <w:i/>
                              <w:sz w:val="24"/>
                              <w:szCs w:val="24"/>
                            </w:rPr>
                          </m:ctrlPr>
                        </m:sSubPr>
                        <m:e>
                          <m:r>
                            <m:rPr>
                              <m:sty m:val="bi"/>
                            </m:rPr>
                            <w:rPr>
                              <w:rFonts w:ascii="Cambria Math" w:eastAsia="Arial Unicode MS" w:hAnsi="Cambria Math" w:cs="Arial"/>
                              <w:sz w:val="24"/>
                              <w:szCs w:val="24"/>
                            </w:rPr>
                            <m:t>f</m:t>
                          </m:r>
                        </m:e>
                        <m:sub>
                          <m:r>
                            <m:rPr>
                              <m:sty m:val="bi"/>
                            </m:rPr>
                            <w:rPr>
                              <w:rFonts w:ascii="Cambria Math" w:eastAsia="Arial Unicode MS" w:hAnsi="Cambria Math" w:cs="Arial"/>
                              <w:sz w:val="24"/>
                              <w:szCs w:val="24"/>
                            </w:rPr>
                            <m:t>it-1</m:t>
                          </m:r>
                        </m:sub>
                      </m:sSub>
                    </m:e>
                  </m:nary>
                </m:den>
              </m:f>
            </m:e>
          </m:d>
        </m:oMath>
      </m:oMathPara>
    </w:p>
    <w:p w:rsidR="005F6D00" w:rsidRPr="00670830" w:rsidRDefault="005F6D00" w:rsidP="00670830">
      <w:pPr>
        <w:spacing w:before="100" w:beforeAutospacing="1" w:after="100" w:afterAutospacing="1" w:line="360" w:lineRule="auto"/>
        <w:jc w:val="both"/>
        <w:rPr>
          <w:rFonts w:ascii="Arial" w:eastAsia="Arial Unicode MS" w:hAnsi="Arial" w:cs="Arial"/>
          <w:sz w:val="24"/>
          <w:szCs w:val="24"/>
        </w:rPr>
      </w:pPr>
    </w:p>
    <w:p w:rsidR="009D192D" w:rsidRPr="00670830" w:rsidRDefault="001D3C49" w:rsidP="00670830">
      <w:pPr>
        <w:spacing w:before="100" w:beforeAutospacing="1" w:after="100" w:afterAutospacing="1" w:line="360" w:lineRule="auto"/>
        <w:jc w:val="both"/>
        <w:rPr>
          <w:rFonts w:ascii="Arial" w:eastAsia="Arial Unicode MS" w:hAnsi="Arial" w:cs="Arial"/>
          <w:sz w:val="24"/>
          <w:szCs w:val="24"/>
        </w:rPr>
      </w:pPr>
      <w:proofErr w:type="spellStart"/>
      <w:proofErr w:type="gramStart"/>
      <w:r w:rsidRPr="00670830">
        <w:rPr>
          <w:rFonts w:ascii="Arial" w:eastAsia="Arial Unicode MS" w:hAnsi="Arial" w:cs="Arial"/>
          <w:sz w:val="24"/>
          <w:szCs w:val="24"/>
        </w:rPr>
        <w:t>d</w:t>
      </w:r>
      <w:r w:rsidR="005913D4" w:rsidRPr="00670830">
        <w:rPr>
          <w:rFonts w:ascii="Arial" w:eastAsia="Arial Unicode MS" w:hAnsi="Arial" w:cs="Arial"/>
          <w:sz w:val="24"/>
          <w:szCs w:val="24"/>
        </w:rPr>
        <w:t>onde</w:t>
      </w:r>
      <w:proofErr w:type="spellEnd"/>
      <w:proofErr w:type="gramEnd"/>
      <w:r w:rsidR="005913D4" w:rsidRPr="00670830">
        <w:rPr>
          <w:rFonts w:ascii="Arial" w:eastAsia="Arial Unicode MS" w:hAnsi="Arial" w:cs="Arial"/>
          <w:sz w:val="24"/>
          <w:szCs w:val="24"/>
        </w:rPr>
        <w:t>:</w:t>
      </w:r>
    </w:p>
    <w:p w:rsidR="005913D4" w:rsidRPr="00670830" w:rsidRDefault="00AC26BD" w:rsidP="00670830">
      <w:pPr>
        <w:spacing w:before="100" w:beforeAutospacing="1" w:after="100" w:afterAutospacing="1" w:line="360" w:lineRule="auto"/>
        <w:jc w:val="both"/>
        <w:rPr>
          <w:rFonts w:ascii="Arial" w:eastAsia="Arial Unicode MS" w:hAnsi="Arial" w:cs="Arial"/>
          <w:b/>
          <w:sz w:val="24"/>
          <w:szCs w:val="24"/>
        </w:rPr>
      </w:pPr>
      <m:oMath>
        <m:sSub>
          <m:sSubPr>
            <m:ctrlPr>
              <w:rPr>
                <w:rFonts w:ascii="Cambria Math" w:eastAsia="Arial Unicode MS" w:hAnsi="Cambria Math" w:cs="Arial"/>
                <w:b/>
                <w:i/>
                <w:sz w:val="24"/>
                <w:szCs w:val="24"/>
              </w:rPr>
            </m:ctrlPr>
          </m:sSubPr>
          <m:e>
            <m:r>
              <m:rPr>
                <m:sty m:val="bi"/>
              </m:rPr>
              <w:rPr>
                <w:rFonts w:ascii="Cambria Math" w:eastAsia="Arial Unicode MS" w:hAnsi="Cambria Math" w:cs="Arial"/>
                <w:sz w:val="24"/>
                <w:szCs w:val="24"/>
              </w:rPr>
              <m:t>I</m:t>
            </m:r>
          </m:e>
          <m:sub>
            <m:r>
              <m:rPr>
                <m:sty m:val="bi"/>
              </m:rPr>
              <w:rPr>
                <w:rFonts w:ascii="Cambria Math" w:eastAsia="Arial Unicode MS" w:hAnsi="Cambria Math" w:cs="Arial"/>
                <w:sz w:val="24"/>
                <w:szCs w:val="24"/>
              </w:rPr>
              <m:t>t</m:t>
            </m:r>
          </m:sub>
        </m:sSub>
      </m:oMath>
      <w:r w:rsidR="005913D4" w:rsidRPr="00670830">
        <w:rPr>
          <w:rFonts w:ascii="Arial" w:eastAsia="Arial Unicode MS" w:hAnsi="Arial" w:cs="Arial"/>
          <w:b/>
          <w:sz w:val="24"/>
          <w:szCs w:val="24"/>
        </w:rPr>
        <w:t xml:space="preserve">= </w:t>
      </w:r>
      <w:r w:rsidR="005913D4" w:rsidRPr="00670830">
        <w:rPr>
          <w:rFonts w:ascii="Arial" w:eastAsia="Arial Unicode MS" w:hAnsi="Arial" w:cs="Arial"/>
          <w:sz w:val="24"/>
          <w:szCs w:val="24"/>
        </w:rPr>
        <w:t xml:space="preserve">Índice del día </w:t>
      </w:r>
      <w:r w:rsidR="005913D4" w:rsidRPr="00670830">
        <w:rPr>
          <w:rFonts w:ascii="Arial" w:eastAsia="Arial Unicode MS" w:hAnsi="Arial" w:cs="Arial"/>
          <w:i/>
          <w:sz w:val="24"/>
          <w:szCs w:val="24"/>
        </w:rPr>
        <w:t>t</w:t>
      </w:r>
    </w:p>
    <w:p w:rsidR="005913D4" w:rsidRPr="00670830" w:rsidRDefault="00AC26BD" w:rsidP="00670830">
      <w:pPr>
        <w:spacing w:before="100" w:beforeAutospacing="1" w:after="100" w:afterAutospacing="1" w:line="360" w:lineRule="auto"/>
        <w:jc w:val="both"/>
        <w:rPr>
          <w:rFonts w:ascii="Arial" w:eastAsia="Arial Unicode MS" w:hAnsi="Arial" w:cs="Arial"/>
          <w:b/>
          <w:sz w:val="24"/>
          <w:szCs w:val="24"/>
        </w:rPr>
      </w:pPr>
      <m:oMath>
        <m:sSub>
          <m:sSubPr>
            <m:ctrlPr>
              <w:rPr>
                <w:rFonts w:ascii="Cambria Math" w:eastAsia="Arial Unicode MS" w:hAnsi="Cambria Math" w:cs="Arial"/>
                <w:b/>
                <w:i/>
                <w:sz w:val="24"/>
                <w:szCs w:val="24"/>
              </w:rPr>
            </m:ctrlPr>
          </m:sSubPr>
          <m:e>
            <m:r>
              <m:rPr>
                <m:sty m:val="bi"/>
              </m:rPr>
              <w:rPr>
                <w:rFonts w:ascii="Cambria Math" w:eastAsia="Arial Unicode MS" w:hAnsi="Cambria Math" w:cs="Arial"/>
                <w:sz w:val="24"/>
                <w:szCs w:val="24"/>
              </w:rPr>
              <m:t>P</m:t>
            </m:r>
          </m:e>
          <m:sub>
            <m:r>
              <m:rPr>
                <m:sty m:val="bi"/>
              </m:rPr>
              <w:rPr>
                <w:rFonts w:ascii="Cambria Math" w:eastAsia="Arial Unicode MS" w:hAnsi="Cambria Math" w:cs="Arial"/>
                <w:sz w:val="24"/>
                <w:szCs w:val="24"/>
              </w:rPr>
              <m:t>it</m:t>
            </m:r>
          </m:sub>
        </m:sSub>
      </m:oMath>
      <w:r w:rsidR="005913D4" w:rsidRPr="00670830">
        <w:rPr>
          <w:rFonts w:ascii="Arial" w:eastAsia="Arial Unicode MS" w:hAnsi="Arial" w:cs="Arial"/>
          <w:b/>
          <w:sz w:val="24"/>
          <w:szCs w:val="24"/>
        </w:rPr>
        <w:t xml:space="preserve">= </w:t>
      </w:r>
      <w:r w:rsidR="005913D4" w:rsidRPr="00670830">
        <w:rPr>
          <w:rFonts w:ascii="Arial" w:eastAsia="Arial Unicode MS" w:hAnsi="Arial" w:cs="Arial"/>
          <w:sz w:val="24"/>
          <w:szCs w:val="24"/>
        </w:rPr>
        <w:t xml:space="preserve">Precio de la serie accionaria </w:t>
      </w:r>
      <w:r w:rsidR="005913D4" w:rsidRPr="00670830">
        <w:rPr>
          <w:rFonts w:ascii="Arial" w:eastAsia="Arial Unicode MS" w:hAnsi="Arial" w:cs="Arial"/>
          <w:i/>
          <w:sz w:val="24"/>
          <w:szCs w:val="24"/>
        </w:rPr>
        <w:t>i</w:t>
      </w:r>
      <w:r w:rsidR="005913D4" w:rsidRPr="00670830">
        <w:rPr>
          <w:rFonts w:ascii="Arial" w:eastAsia="Arial Unicode MS" w:hAnsi="Arial" w:cs="Arial"/>
          <w:sz w:val="24"/>
          <w:szCs w:val="24"/>
        </w:rPr>
        <w:t xml:space="preserve"> el día </w:t>
      </w:r>
      <w:r w:rsidR="005913D4" w:rsidRPr="00670830">
        <w:rPr>
          <w:rFonts w:ascii="Arial" w:eastAsia="Arial Unicode MS" w:hAnsi="Arial" w:cs="Arial"/>
          <w:i/>
          <w:sz w:val="24"/>
          <w:szCs w:val="24"/>
        </w:rPr>
        <w:t>t</w:t>
      </w:r>
    </w:p>
    <w:p w:rsidR="005913D4" w:rsidRPr="00670830" w:rsidRDefault="00AC26BD" w:rsidP="00670830">
      <w:pPr>
        <w:spacing w:before="100" w:beforeAutospacing="1" w:after="100" w:afterAutospacing="1" w:line="360" w:lineRule="auto"/>
        <w:jc w:val="both"/>
        <w:rPr>
          <w:rFonts w:ascii="Arial" w:eastAsia="Arial Unicode MS" w:hAnsi="Arial" w:cs="Arial"/>
          <w:b/>
          <w:sz w:val="24"/>
          <w:szCs w:val="24"/>
        </w:rPr>
      </w:pPr>
      <m:oMath>
        <m:sSub>
          <m:sSubPr>
            <m:ctrlPr>
              <w:rPr>
                <w:rFonts w:ascii="Cambria Math" w:eastAsia="Arial Unicode MS" w:hAnsi="Cambria Math" w:cs="Arial"/>
                <w:b/>
                <w:i/>
                <w:sz w:val="24"/>
                <w:szCs w:val="24"/>
              </w:rPr>
            </m:ctrlPr>
          </m:sSubPr>
          <m:e>
            <m:r>
              <m:rPr>
                <m:sty m:val="bi"/>
              </m:rPr>
              <w:rPr>
                <w:rFonts w:ascii="Cambria Math" w:eastAsia="Arial Unicode MS" w:hAnsi="Cambria Math" w:cs="Arial"/>
                <w:sz w:val="24"/>
                <w:szCs w:val="24"/>
              </w:rPr>
              <m:t>Q</m:t>
            </m:r>
          </m:e>
          <m:sub>
            <m:r>
              <m:rPr>
                <m:sty m:val="bi"/>
              </m:rPr>
              <w:rPr>
                <w:rFonts w:ascii="Cambria Math" w:eastAsia="Arial Unicode MS" w:hAnsi="Cambria Math" w:cs="Arial"/>
                <w:sz w:val="24"/>
                <w:szCs w:val="24"/>
              </w:rPr>
              <m:t>it</m:t>
            </m:r>
          </m:sub>
        </m:sSub>
      </m:oMath>
      <w:r w:rsidR="005913D4" w:rsidRPr="00670830">
        <w:rPr>
          <w:rFonts w:ascii="Arial" w:eastAsia="Arial Unicode MS" w:hAnsi="Arial" w:cs="Arial"/>
          <w:b/>
          <w:sz w:val="24"/>
          <w:szCs w:val="24"/>
        </w:rPr>
        <w:t xml:space="preserve">= </w:t>
      </w:r>
      <w:r w:rsidR="005913D4" w:rsidRPr="00670830">
        <w:rPr>
          <w:rFonts w:ascii="Arial" w:eastAsia="Arial Unicode MS" w:hAnsi="Arial" w:cs="Arial"/>
          <w:sz w:val="24"/>
          <w:szCs w:val="24"/>
        </w:rPr>
        <w:t xml:space="preserve">Acciones inscritas en la Bolsa de la serie accionaria </w:t>
      </w:r>
      <w:r w:rsidR="005913D4" w:rsidRPr="00670830">
        <w:rPr>
          <w:rFonts w:ascii="Arial" w:eastAsia="Arial Unicode MS" w:hAnsi="Arial" w:cs="Arial"/>
          <w:i/>
          <w:sz w:val="24"/>
          <w:szCs w:val="24"/>
        </w:rPr>
        <w:t>i</w:t>
      </w:r>
      <w:r w:rsidR="005913D4" w:rsidRPr="00670830">
        <w:rPr>
          <w:rFonts w:ascii="Arial" w:eastAsia="Arial Unicode MS" w:hAnsi="Arial" w:cs="Arial"/>
          <w:sz w:val="24"/>
          <w:szCs w:val="24"/>
        </w:rPr>
        <w:t xml:space="preserve"> el día </w:t>
      </w:r>
      <w:r w:rsidR="005913D4" w:rsidRPr="00670830">
        <w:rPr>
          <w:rFonts w:ascii="Arial" w:eastAsia="Arial Unicode MS" w:hAnsi="Arial" w:cs="Arial"/>
          <w:i/>
          <w:sz w:val="24"/>
          <w:szCs w:val="24"/>
        </w:rPr>
        <w:t>t</w:t>
      </w:r>
    </w:p>
    <w:p w:rsidR="005913D4" w:rsidRPr="00670830" w:rsidRDefault="00AC26BD" w:rsidP="00670830">
      <w:pPr>
        <w:spacing w:before="100" w:beforeAutospacing="1" w:after="100" w:afterAutospacing="1" w:line="360" w:lineRule="auto"/>
        <w:jc w:val="both"/>
        <w:rPr>
          <w:rFonts w:ascii="Arial" w:eastAsia="Arial Unicode MS" w:hAnsi="Arial" w:cs="Arial"/>
          <w:i/>
          <w:sz w:val="24"/>
          <w:szCs w:val="24"/>
        </w:rPr>
      </w:pPr>
      <m:oMath>
        <m:sSub>
          <m:sSubPr>
            <m:ctrlPr>
              <w:rPr>
                <w:rFonts w:ascii="Cambria Math" w:eastAsia="Arial Unicode MS" w:hAnsi="Cambria Math" w:cs="Arial"/>
                <w:b/>
                <w:i/>
                <w:sz w:val="24"/>
                <w:szCs w:val="24"/>
              </w:rPr>
            </m:ctrlPr>
          </m:sSubPr>
          <m:e>
            <m:r>
              <m:rPr>
                <m:sty m:val="bi"/>
              </m:rPr>
              <w:rPr>
                <w:rFonts w:ascii="Cambria Math" w:eastAsia="Arial Unicode MS" w:hAnsi="Cambria Math" w:cs="Arial"/>
                <w:sz w:val="24"/>
                <w:szCs w:val="24"/>
              </w:rPr>
              <m:t>FAF</m:t>
            </m:r>
          </m:e>
          <m:sub>
            <m:r>
              <m:rPr>
                <m:sty m:val="bi"/>
              </m:rPr>
              <w:rPr>
                <w:rFonts w:ascii="Cambria Math" w:eastAsia="Arial Unicode MS" w:hAnsi="Cambria Math" w:cs="Arial"/>
                <w:sz w:val="24"/>
                <w:szCs w:val="24"/>
              </w:rPr>
              <m:t>i</m:t>
            </m:r>
          </m:sub>
        </m:sSub>
      </m:oMath>
      <w:r w:rsidR="005913D4" w:rsidRPr="00670830">
        <w:rPr>
          <w:rFonts w:ascii="Arial" w:eastAsia="Arial Unicode MS" w:hAnsi="Arial" w:cs="Arial"/>
          <w:b/>
          <w:sz w:val="24"/>
          <w:szCs w:val="24"/>
        </w:rPr>
        <w:t xml:space="preserve">= </w:t>
      </w:r>
      <w:r w:rsidR="005913D4" w:rsidRPr="00670830">
        <w:rPr>
          <w:rFonts w:ascii="Arial" w:eastAsia="Arial Unicode MS" w:hAnsi="Arial" w:cs="Arial"/>
          <w:sz w:val="24"/>
          <w:szCs w:val="24"/>
        </w:rPr>
        <w:t xml:space="preserve">Factor de ajuste por acciones flotantes de la serie </w:t>
      </w:r>
      <w:r w:rsidR="005913D4" w:rsidRPr="00670830">
        <w:rPr>
          <w:rFonts w:ascii="Arial" w:eastAsia="Arial Unicode MS" w:hAnsi="Arial" w:cs="Arial"/>
          <w:i/>
          <w:sz w:val="24"/>
          <w:szCs w:val="24"/>
        </w:rPr>
        <w:t>i</w:t>
      </w:r>
    </w:p>
    <w:p w:rsidR="001D3C49" w:rsidRPr="00670830" w:rsidRDefault="00AC26BD" w:rsidP="00670830">
      <w:pPr>
        <w:spacing w:before="100" w:beforeAutospacing="1" w:after="100" w:afterAutospacing="1" w:line="360" w:lineRule="auto"/>
        <w:jc w:val="both"/>
        <w:rPr>
          <w:rFonts w:ascii="Arial" w:eastAsia="Arial Unicode MS" w:hAnsi="Arial" w:cs="Arial"/>
          <w:i/>
          <w:sz w:val="24"/>
          <w:szCs w:val="24"/>
        </w:rPr>
      </w:pPr>
      <m:oMath>
        <m:sSub>
          <m:sSubPr>
            <m:ctrlPr>
              <w:rPr>
                <w:rFonts w:ascii="Cambria Math" w:eastAsia="Arial Unicode MS" w:hAnsi="Cambria Math" w:cs="Arial"/>
                <w:b/>
                <w:i/>
                <w:sz w:val="24"/>
                <w:szCs w:val="24"/>
              </w:rPr>
            </m:ctrlPr>
          </m:sSubPr>
          <m:e>
            <m:r>
              <m:rPr>
                <m:sty m:val="bi"/>
              </m:rPr>
              <w:rPr>
                <w:rFonts w:ascii="Cambria Math" w:eastAsia="Arial Unicode MS" w:hAnsi="Cambria Math" w:cs="Arial"/>
                <w:sz w:val="24"/>
                <w:szCs w:val="24"/>
              </w:rPr>
              <m:t>f</m:t>
            </m:r>
          </m:e>
          <m:sub>
            <m:r>
              <m:rPr>
                <m:sty m:val="bi"/>
              </m:rPr>
              <w:rPr>
                <w:rFonts w:ascii="Cambria Math" w:eastAsia="Arial Unicode MS" w:hAnsi="Cambria Math" w:cs="Arial"/>
                <w:sz w:val="24"/>
                <w:szCs w:val="24"/>
              </w:rPr>
              <m:t>it</m:t>
            </m:r>
          </m:sub>
        </m:sSub>
      </m:oMath>
      <w:r w:rsidR="001D3C49" w:rsidRPr="00670830">
        <w:rPr>
          <w:rFonts w:ascii="Arial" w:eastAsia="Arial Unicode MS" w:hAnsi="Arial" w:cs="Arial"/>
          <w:b/>
          <w:sz w:val="24"/>
          <w:szCs w:val="24"/>
        </w:rPr>
        <w:t xml:space="preserve">= </w:t>
      </w:r>
      <w:r w:rsidR="001D3C49" w:rsidRPr="00670830">
        <w:rPr>
          <w:rFonts w:ascii="Arial" w:eastAsia="Arial Unicode MS" w:hAnsi="Arial" w:cs="Arial"/>
          <w:sz w:val="24"/>
          <w:szCs w:val="24"/>
        </w:rPr>
        <w:t xml:space="preserve">Factor de ajuste por ex – derechos de la serie accionaria </w:t>
      </w:r>
      <w:r w:rsidR="001D3C49" w:rsidRPr="00670830">
        <w:rPr>
          <w:rFonts w:ascii="Arial" w:eastAsia="Arial Unicode MS" w:hAnsi="Arial" w:cs="Arial"/>
          <w:i/>
          <w:sz w:val="24"/>
          <w:szCs w:val="24"/>
        </w:rPr>
        <w:t>i</w:t>
      </w:r>
      <w:r w:rsidR="001D3C49" w:rsidRPr="00670830">
        <w:rPr>
          <w:rFonts w:ascii="Arial" w:eastAsia="Arial Unicode MS" w:hAnsi="Arial" w:cs="Arial"/>
          <w:sz w:val="24"/>
          <w:szCs w:val="24"/>
        </w:rPr>
        <w:t xml:space="preserve"> el día </w:t>
      </w:r>
      <w:r w:rsidR="001D3C49" w:rsidRPr="00670830">
        <w:rPr>
          <w:rFonts w:ascii="Arial" w:eastAsia="Arial Unicode MS" w:hAnsi="Arial" w:cs="Arial"/>
          <w:i/>
          <w:sz w:val="24"/>
          <w:szCs w:val="24"/>
        </w:rPr>
        <w:t>t</w:t>
      </w:r>
    </w:p>
    <w:p w:rsidR="005F6D00" w:rsidRPr="00670830" w:rsidRDefault="001D3C49" w:rsidP="00670830">
      <w:pPr>
        <w:spacing w:before="100" w:beforeAutospacing="1" w:after="100" w:afterAutospacing="1" w:line="360" w:lineRule="auto"/>
        <w:jc w:val="both"/>
        <w:rPr>
          <w:rFonts w:ascii="Arial" w:eastAsia="Arial Unicode MS" w:hAnsi="Arial" w:cs="Arial"/>
          <w:sz w:val="24"/>
          <w:szCs w:val="24"/>
        </w:rPr>
      </w:pPr>
      <m:oMath>
        <m:r>
          <m:rPr>
            <m:sty m:val="bi"/>
          </m:rPr>
          <w:rPr>
            <w:rFonts w:ascii="Cambria Math" w:eastAsia="Arial Unicode MS" w:hAnsi="Cambria Math" w:cs="Arial"/>
            <w:sz w:val="24"/>
            <w:szCs w:val="24"/>
          </w:rPr>
          <m:t>i</m:t>
        </m:r>
      </m:oMath>
      <w:r w:rsidRPr="00670830">
        <w:rPr>
          <w:rFonts w:ascii="Arial" w:eastAsia="Arial Unicode MS" w:hAnsi="Arial" w:cs="Arial"/>
          <w:b/>
          <w:sz w:val="24"/>
          <w:szCs w:val="24"/>
        </w:rPr>
        <w:t xml:space="preserve">= </w:t>
      </w:r>
      <w:r w:rsidR="00670830">
        <w:rPr>
          <w:rFonts w:ascii="Arial" w:eastAsia="Arial Unicode MS" w:hAnsi="Arial" w:cs="Arial"/>
          <w:sz w:val="24"/>
          <w:szCs w:val="24"/>
        </w:rPr>
        <w:t>1</w:t>
      </w:r>
      <w:proofErr w:type="gramStart"/>
      <w:r w:rsidR="00670830">
        <w:rPr>
          <w:rFonts w:ascii="Arial" w:eastAsia="Arial Unicode MS" w:hAnsi="Arial" w:cs="Arial"/>
          <w:sz w:val="24"/>
          <w:szCs w:val="24"/>
        </w:rPr>
        <w:t>, …</w:t>
      </w:r>
      <w:proofErr w:type="gramEnd"/>
      <w:r w:rsidR="00670830">
        <w:rPr>
          <w:rFonts w:ascii="Arial" w:eastAsia="Arial Unicode MS" w:hAnsi="Arial" w:cs="Arial"/>
          <w:sz w:val="24"/>
          <w:szCs w:val="24"/>
        </w:rPr>
        <w:t xml:space="preserve"> , 35</w:t>
      </w:r>
    </w:p>
    <w:p w:rsidR="009D192D" w:rsidRPr="00670830" w:rsidRDefault="005C76D9" w:rsidP="00670830">
      <w:pPr>
        <w:spacing w:before="100" w:beforeAutospacing="1" w:after="100" w:afterAutospacing="1" w:line="360" w:lineRule="auto"/>
        <w:jc w:val="both"/>
        <w:rPr>
          <w:rFonts w:ascii="Arial" w:eastAsia="Arial Unicode MS" w:hAnsi="Arial" w:cs="Arial"/>
          <w:i/>
          <w:sz w:val="24"/>
          <w:szCs w:val="24"/>
        </w:rPr>
      </w:pPr>
      <w:r w:rsidRPr="00670830">
        <w:rPr>
          <w:rFonts w:ascii="Arial" w:eastAsia="Arial Unicode MS" w:hAnsi="Arial" w:cs="Arial"/>
          <w:b/>
          <w:sz w:val="24"/>
          <w:szCs w:val="24"/>
        </w:rPr>
        <w:t>Base:</w:t>
      </w:r>
      <w:r w:rsidRPr="00670830">
        <w:rPr>
          <w:rFonts w:ascii="Arial" w:eastAsia="Arial Unicode MS" w:hAnsi="Arial" w:cs="Arial"/>
          <w:sz w:val="24"/>
          <w:szCs w:val="24"/>
        </w:rPr>
        <w:t xml:space="preserve"> 0.78 el 30 de octubre de 1978</w:t>
      </w:r>
    </w:p>
    <w:p w:rsidR="009D192D" w:rsidRPr="00670830" w:rsidRDefault="00A06DA2"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A continuación se enlistan las series accionarias q</w:t>
      </w:r>
      <w:r w:rsidR="008574A4" w:rsidRPr="00670830">
        <w:rPr>
          <w:rFonts w:ascii="Arial" w:eastAsia="Arial Unicode MS" w:hAnsi="Arial" w:cs="Arial"/>
          <w:sz w:val="24"/>
          <w:szCs w:val="24"/>
        </w:rPr>
        <w:t>ue componen la muestra del IPC.</w:t>
      </w:r>
    </w:p>
    <w:p w:rsidR="005913D4" w:rsidRPr="00670830" w:rsidRDefault="008574A4" w:rsidP="00670830">
      <w:pPr>
        <w:spacing w:before="100" w:beforeAutospacing="1" w:after="100" w:afterAutospacing="1" w:line="360" w:lineRule="auto"/>
        <w:jc w:val="center"/>
        <w:rPr>
          <w:rFonts w:ascii="Arial" w:eastAsia="Arial Unicode MS" w:hAnsi="Arial" w:cs="Arial"/>
          <w:b/>
          <w:sz w:val="24"/>
          <w:szCs w:val="24"/>
        </w:rPr>
      </w:pPr>
      <w:r w:rsidRPr="00670830">
        <w:rPr>
          <w:rFonts w:ascii="Arial" w:eastAsia="Arial Unicode MS" w:hAnsi="Arial" w:cs="Arial"/>
          <w:b/>
          <w:sz w:val="24"/>
          <w:szCs w:val="24"/>
        </w:rPr>
        <w:t>Muestra del IPC al 07 de mayo de 2015</w:t>
      </w:r>
    </w:p>
    <w:tbl>
      <w:tblPr>
        <w:tblW w:w="9278" w:type="dxa"/>
        <w:tblInd w:w="55" w:type="dxa"/>
        <w:tblLayout w:type="fixed"/>
        <w:tblCellMar>
          <w:left w:w="70" w:type="dxa"/>
          <w:right w:w="70" w:type="dxa"/>
        </w:tblCellMar>
        <w:tblLook w:val="04A0" w:firstRow="1" w:lastRow="0" w:firstColumn="1" w:lastColumn="0" w:noHBand="0" w:noVBand="1"/>
      </w:tblPr>
      <w:tblGrid>
        <w:gridCol w:w="1397"/>
        <w:gridCol w:w="861"/>
        <w:gridCol w:w="1077"/>
        <w:gridCol w:w="1077"/>
        <w:gridCol w:w="454"/>
        <w:gridCol w:w="1397"/>
        <w:gridCol w:w="861"/>
        <w:gridCol w:w="1077"/>
        <w:gridCol w:w="1077"/>
      </w:tblGrid>
      <w:tr w:rsidR="00A06DA2" w:rsidRPr="00670830" w:rsidTr="00233593">
        <w:trPr>
          <w:trHeight w:val="20"/>
          <w:hidden/>
        </w:trPr>
        <w:tc>
          <w:tcPr>
            <w:tcW w:w="1397" w:type="dxa"/>
            <w:tcBorders>
              <w:top w:val="single" w:sz="12" w:space="0" w:color="5C6481"/>
              <w:left w:val="single" w:sz="8" w:space="0" w:color="CCCCCC"/>
              <w:bottom w:val="single" w:sz="8" w:space="0" w:color="CCCCCC"/>
              <w:right w:val="single" w:sz="8" w:space="0" w:color="CCCCCC"/>
            </w:tcBorders>
            <w:shd w:val="clear" w:color="auto" w:fill="auto"/>
            <w:vAlign w:val="center"/>
            <w:hideMark/>
          </w:tcPr>
          <w:p w:rsidR="00A06DA2" w:rsidRPr="00670830" w:rsidRDefault="00A06DA2" w:rsidP="00670830">
            <w:pPr>
              <w:pBdr>
                <w:bottom w:val="single" w:sz="6" w:space="1" w:color="auto"/>
              </w:pBdr>
              <w:spacing w:before="100" w:beforeAutospacing="1" w:after="100" w:afterAutospacing="1" w:line="360" w:lineRule="auto"/>
              <w:jc w:val="center"/>
              <w:rPr>
                <w:rFonts w:ascii="Arial" w:eastAsia="Arial Unicode MS" w:hAnsi="Arial" w:cs="Arial"/>
                <w:vanish/>
                <w:sz w:val="24"/>
                <w:szCs w:val="24"/>
                <w:lang w:eastAsia="es-MX"/>
              </w:rPr>
            </w:pPr>
            <w:r w:rsidRPr="00670830">
              <w:rPr>
                <w:rFonts w:ascii="Arial" w:eastAsia="Arial Unicode MS" w:hAnsi="Arial" w:cs="Arial"/>
                <w:vanish/>
                <w:sz w:val="24"/>
                <w:szCs w:val="24"/>
                <w:lang w:eastAsia="es-MX"/>
              </w:rPr>
              <w:t>Principio del formulario</w:t>
            </w:r>
          </w:p>
          <w:p w:rsidR="00A06DA2" w:rsidRPr="00670830" w:rsidRDefault="00A06DA2"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Emisora</w:t>
            </w:r>
            <w:r w:rsidRPr="00670830">
              <w:rPr>
                <w:rFonts w:ascii="Arial" w:eastAsia="Arial Unicode MS" w:hAnsi="Arial" w:cs="Arial"/>
                <w:vanish/>
                <w:sz w:val="24"/>
                <w:szCs w:val="24"/>
                <w:lang w:eastAsia="es-MX"/>
              </w:rPr>
              <w:t>Final del formulario</w:t>
            </w:r>
          </w:p>
        </w:tc>
        <w:tc>
          <w:tcPr>
            <w:tcW w:w="861" w:type="dxa"/>
            <w:tcBorders>
              <w:top w:val="single" w:sz="12" w:space="0" w:color="5C6481"/>
              <w:left w:val="nil"/>
              <w:bottom w:val="single" w:sz="8" w:space="0" w:color="CCCCCC"/>
              <w:right w:val="single" w:sz="8" w:space="0" w:color="CCCCCC"/>
            </w:tcBorders>
            <w:shd w:val="clear" w:color="auto" w:fill="auto"/>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Serie</w:t>
            </w:r>
          </w:p>
        </w:tc>
        <w:tc>
          <w:tcPr>
            <w:tcW w:w="1077" w:type="dxa"/>
            <w:tcBorders>
              <w:top w:val="single" w:sz="12" w:space="0" w:color="5C6481"/>
              <w:left w:val="nil"/>
              <w:bottom w:val="single" w:sz="8" w:space="0" w:color="CCCCCC"/>
              <w:right w:val="single" w:sz="8" w:space="0" w:color="CCCCCC"/>
            </w:tcBorders>
            <w:shd w:val="clear" w:color="auto" w:fill="auto"/>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Precio Anterior</w:t>
            </w:r>
          </w:p>
        </w:tc>
        <w:tc>
          <w:tcPr>
            <w:tcW w:w="1077" w:type="dxa"/>
            <w:tcBorders>
              <w:top w:val="single" w:sz="12" w:space="0" w:color="5C6481"/>
              <w:left w:val="nil"/>
              <w:bottom w:val="single" w:sz="8" w:space="0" w:color="CCCCCC"/>
              <w:right w:val="single" w:sz="8" w:space="0" w:color="CCCCCC"/>
            </w:tcBorders>
            <w:shd w:val="clear" w:color="auto" w:fill="auto"/>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Último</w:t>
            </w:r>
          </w:p>
        </w:tc>
        <w:tc>
          <w:tcPr>
            <w:tcW w:w="454"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c>
          <w:tcPr>
            <w:tcW w:w="1397" w:type="dxa"/>
            <w:tcBorders>
              <w:top w:val="single" w:sz="12" w:space="0" w:color="5C6481"/>
              <w:left w:val="single" w:sz="8" w:space="0" w:color="CCCCCC"/>
              <w:bottom w:val="single" w:sz="8" w:space="0" w:color="CCCCCC"/>
              <w:right w:val="single" w:sz="8" w:space="0" w:color="CCCCCC"/>
            </w:tcBorders>
            <w:shd w:val="clear" w:color="auto" w:fill="auto"/>
            <w:vAlign w:val="center"/>
            <w:hideMark/>
          </w:tcPr>
          <w:p w:rsidR="00A06DA2" w:rsidRPr="00670830" w:rsidRDefault="00A06DA2" w:rsidP="00670830">
            <w:pPr>
              <w:pBdr>
                <w:bottom w:val="single" w:sz="6" w:space="1" w:color="auto"/>
              </w:pBdr>
              <w:spacing w:before="100" w:beforeAutospacing="1" w:after="100" w:afterAutospacing="1" w:line="360" w:lineRule="auto"/>
              <w:jc w:val="center"/>
              <w:rPr>
                <w:rFonts w:ascii="Arial" w:eastAsia="Arial Unicode MS" w:hAnsi="Arial" w:cs="Arial"/>
                <w:vanish/>
                <w:sz w:val="24"/>
                <w:szCs w:val="24"/>
                <w:lang w:eastAsia="es-MX"/>
              </w:rPr>
            </w:pPr>
            <w:r w:rsidRPr="00670830">
              <w:rPr>
                <w:rFonts w:ascii="Arial" w:eastAsia="Arial Unicode MS" w:hAnsi="Arial" w:cs="Arial"/>
                <w:vanish/>
                <w:sz w:val="24"/>
                <w:szCs w:val="24"/>
                <w:lang w:eastAsia="es-MX"/>
              </w:rPr>
              <w:t>Principio del formulario</w:t>
            </w:r>
          </w:p>
          <w:p w:rsidR="00A06DA2" w:rsidRPr="00670830" w:rsidRDefault="00A06DA2"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Emisora</w:t>
            </w:r>
            <w:r w:rsidRPr="00670830">
              <w:rPr>
                <w:rFonts w:ascii="Arial" w:eastAsia="Arial Unicode MS" w:hAnsi="Arial" w:cs="Arial"/>
                <w:vanish/>
                <w:sz w:val="24"/>
                <w:szCs w:val="24"/>
                <w:lang w:eastAsia="es-MX"/>
              </w:rPr>
              <w:t>Final del formulario</w:t>
            </w:r>
          </w:p>
        </w:tc>
        <w:tc>
          <w:tcPr>
            <w:tcW w:w="861" w:type="dxa"/>
            <w:tcBorders>
              <w:top w:val="single" w:sz="12" w:space="0" w:color="5C6481"/>
              <w:left w:val="nil"/>
              <w:bottom w:val="single" w:sz="8" w:space="0" w:color="CCCCCC"/>
              <w:right w:val="single" w:sz="8" w:space="0" w:color="CCCCCC"/>
            </w:tcBorders>
            <w:shd w:val="clear" w:color="auto" w:fill="auto"/>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Serie</w:t>
            </w:r>
          </w:p>
        </w:tc>
        <w:tc>
          <w:tcPr>
            <w:tcW w:w="1077" w:type="dxa"/>
            <w:tcBorders>
              <w:top w:val="single" w:sz="12" w:space="0" w:color="5C6481"/>
              <w:left w:val="nil"/>
              <w:bottom w:val="single" w:sz="8" w:space="0" w:color="CCCCCC"/>
              <w:right w:val="single" w:sz="8" w:space="0" w:color="CCCCCC"/>
            </w:tcBorders>
            <w:shd w:val="clear" w:color="auto" w:fill="auto"/>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Precio Anterior</w:t>
            </w:r>
          </w:p>
        </w:tc>
        <w:tc>
          <w:tcPr>
            <w:tcW w:w="1077" w:type="dxa"/>
            <w:tcBorders>
              <w:top w:val="single" w:sz="12" w:space="0" w:color="5C6481"/>
              <w:left w:val="nil"/>
              <w:bottom w:val="single" w:sz="8" w:space="0" w:color="CCCCCC"/>
              <w:right w:val="single" w:sz="8" w:space="0" w:color="CCCCCC"/>
            </w:tcBorders>
            <w:shd w:val="clear" w:color="auto" w:fill="auto"/>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Último</w:t>
            </w:r>
          </w:p>
        </w:tc>
      </w:tr>
      <w:tr w:rsidR="00A06DA2" w:rsidRPr="00670830" w:rsidTr="00233593">
        <w:trPr>
          <w:trHeight w:val="20"/>
        </w:trPr>
        <w:tc>
          <w:tcPr>
            <w:tcW w:w="1397" w:type="dxa"/>
            <w:tcBorders>
              <w:top w:val="single" w:sz="12" w:space="0" w:color="5C6481"/>
              <w:left w:val="single" w:sz="8" w:space="0" w:color="CCCCCC"/>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AC</w:t>
            </w:r>
          </w:p>
        </w:tc>
        <w:tc>
          <w:tcPr>
            <w:tcW w:w="861"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97.43</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97.04</w:t>
            </w:r>
          </w:p>
        </w:tc>
        <w:tc>
          <w:tcPr>
            <w:tcW w:w="454"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c>
          <w:tcPr>
            <w:tcW w:w="1397" w:type="dxa"/>
            <w:tcBorders>
              <w:top w:val="single" w:sz="12" w:space="0" w:color="5C6481"/>
              <w:left w:val="single" w:sz="8" w:space="0" w:color="CCCCCC"/>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GMEXICO</w:t>
            </w:r>
          </w:p>
        </w:tc>
        <w:tc>
          <w:tcPr>
            <w:tcW w:w="861"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B</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48.61</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48.62</w:t>
            </w:r>
          </w:p>
        </w:tc>
      </w:tr>
      <w:tr w:rsidR="00A06DA2" w:rsidRPr="00670830" w:rsidTr="00233593">
        <w:trPr>
          <w:trHeight w:val="20"/>
        </w:trPr>
        <w:tc>
          <w:tcPr>
            <w:tcW w:w="1397" w:type="dxa"/>
            <w:tcBorders>
              <w:top w:val="single" w:sz="12" w:space="0" w:color="5C6481"/>
              <w:left w:val="single" w:sz="8" w:space="0" w:color="CCCCCC"/>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ALFA</w:t>
            </w:r>
          </w:p>
        </w:tc>
        <w:tc>
          <w:tcPr>
            <w:tcW w:w="861"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A</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32.73</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31.64</w:t>
            </w:r>
          </w:p>
        </w:tc>
        <w:tc>
          <w:tcPr>
            <w:tcW w:w="454"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c>
          <w:tcPr>
            <w:tcW w:w="1397" w:type="dxa"/>
            <w:tcBorders>
              <w:top w:val="single" w:sz="12" w:space="0" w:color="5C6481"/>
              <w:left w:val="single" w:sz="8" w:space="0" w:color="CCCCCC"/>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GRUMA</w:t>
            </w:r>
          </w:p>
        </w:tc>
        <w:tc>
          <w:tcPr>
            <w:tcW w:w="861"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B</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185.46</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189.54</w:t>
            </w:r>
          </w:p>
        </w:tc>
      </w:tr>
      <w:tr w:rsidR="00A06DA2" w:rsidRPr="00670830" w:rsidTr="00233593">
        <w:trPr>
          <w:trHeight w:val="20"/>
        </w:trPr>
        <w:tc>
          <w:tcPr>
            <w:tcW w:w="1397" w:type="dxa"/>
            <w:tcBorders>
              <w:top w:val="single" w:sz="12" w:space="0" w:color="5C6481"/>
              <w:left w:val="single" w:sz="8" w:space="0" w:color="CCCCCC"/>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ALPEK</w:t>
            </w:r>
          </w:p>
        </w:tc>
        <w:tc>
          <w:tcPr>
            <w:tcW w:w="861"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A</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20.9</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20.88</w:t>
            </w:r>
          </w:p>
        </w:tc>
        <w:tc>
          <w:tcPr>
            <w:tcW w:w="454"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c>
          <w:tcPr>
            <w:tcW w:w="1397" w:type="dxa"/>
            <w:tcBorders>
              <w:top w:val="single" w:sz="12" w:space="0" w:color="5C6481"/>
              <w:left w:val="single" w:sz="8" w:space="0" w:color="CCCCCC"/>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ICA</w:t>
            </w:r>
          </w:p>
        </w:tc>
        <w:tc>
          <w:tcPr>
            <w:tcW w:w="861"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13.93</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13.96</w:t>
            </w:r>
          </w:p>
        </w:tc>
      </w:tr>
      <w:tr w:rsidR="00A06DA2" w:rsidRPr="00670830" w:rsidTr="00233593">
        <w:trPr>
          <w:trHeight w:val="20"/>
        </w:trPr>
        <w:tc>
          <w:tcPr>
            <w:tcW w:w="1397" w:type="dxa"/>
            <w:tcBorders>
              <w:top w:val="single" w:sz="12" w:space="0" w:color="5C6481"/>
              <w:left w:val="single" w:sz="8" w:space="0" w:color="CCCCCC"/>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ALSEA</w:t>
            </w:r>
          </w:p>
        </w:tc>
        <w:tc>
          <w:tcPr>
            <w:tcW w:w="861"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46.88</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46.9</w:t>
            </w:r>
          </w:p>
        </w:tc>
        <w:tc>
          <w:tcPr>
            <w:tcW w:w="454"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c>
          <w:tcPr>
            <w:tcW w:w="1397" w:type="dxa"/>
            <w:tcBorders>
              <w:top w:val="single" w:sz="12" w:space="0" w:color="5C6481"/>
              <w:left w:val="single" w:sz="8" w:space="0" w:color="CCCCCC"/>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ICH</w:t>
            </w:r>
          </w:p>
        </w:tc>
        <w:tc>
          <w:tcPr>
            <w:tcW w:w="861"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B</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65.07</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65.2</w:t>
            </w:r>
          </w:p>
        </w:tc>
      </w:tr>
      <w:tr w:rsidR="00A06DA2" w:rsidRPr="00670830" w:rsidTr="00233593">
        <w:trPr>
          <w:trHeight w:val="20"/>
        </w:trPr>
        <w:tc>
          <w:tcPr>
            <w:tcW w:w="1397" w:type="dxa"/>
            <w:tcBorders>
              <w:top w:val="single" w:sz="12" w:space="0" w:color="5C6481"/>
              <w:left w:val="single" w:sz="8" w:space="0" w:color="CCCCCC"/>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AMX</w:t>
            </w:r>
          </w:p>
        </w:tc>
        <w:tc>
          <w:tcPr>
            <w:tcW w:w="861"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L</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15.79</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15.95</w:t>
            </w:r>
          </w:p>
        </w:tc>
        <w:tc>
          <w:tcPr>
            <w:tcW w:w="454"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c>
          <w:tcPr>
            <w:tcW w:w="1397" w:type="dxa"/>
            <w:tcBorders>
              <w:top w:val="single" w:sz="12" w:space="0" w:color="5C6481"/>
              <w:left w:val="single" w:sz="8" w:space="0" w:color="CCCCCC"/>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IENOVA</w:t>
            </w:r>
          </w:p>
        </w:tc>
        <w:tc>
          <w:tcPr>
            <w:tcW w:w="861"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84.33</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86.89</w:t>
            </w:r>
          </w:p>
        </w:tc>
      </w:tr>
      <w:tr w:rsidR="00A06DA2" w:rsidRPr="00670830" w:rsidTr="00233593">
        <w:trPr>
          <w:trHeight w:val="20"/>
        </w:trPr>
        <w:tc>
          <w:tcPr>
            <w:tcW w:w="1397" w:type="dxa"/>
            <w:tcBorders>
              <w:top w:val="single" w:sz="12" w:space="0" w:color="5C6481"/>
              <w:left w:val="single" w:sz="8" w:space="0" w:color="CCCCCC"/>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ASUR</w:t>
            </w:r>
          </w:p>
        </w:tc>
        <w:tc>
          <w:tcPr>
            <w:tcW w:w="861"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B</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229.55</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229.62</w:t>
            </w:r>
          </w:p>
        </w:tc>
        <w:tc>
          <w:tcPr>
            <w:tcW w:w="454"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c>
          <w:tcPr>
            <w:tcW w:w="1397" w:type="dxa"/>
            <w:tcBorders>
              <w:top w:val="single" w:sz="12" w:space="0" w:color="5C6481"/>
              <w:left w:val="single" w:sz="8" w:space="0" w:color="CCCCCC"/>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KIMBER</w:t>
            </w:r>
          </w:p>
        </w:tc>
        <w:tc>
          <w:tcPr>
            <w:tcW w:w="861"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A</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34.3</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34.57</w:t>
            </w:r>
          </w:p>
        </w:tc>
      </w:tr>
      <w:tr w:rsidR="00A06DA2" w:rsidRPr="00670830" w:rsidTr="00233593">
        <w:trPr>
          <w:trHeight w:val="20"/>
        </w:trPr>
        <w:tc>
          <w:tcPr>
            <w:tcW w:w="1397" w:type="dxa"/>
            <w:tcBorders>
              <w:top w:val="single" w:sz="12" w:space="0" w:color="5C6481"/>
              <w:left w:val="single" w:sz="8" w:space="0" w:color="CCCCCC"/>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BIMBO</w:t>
            </w:r>
          </w:p>
        </w:tc>
        <w:tc>
          <w:tcPr>
            <w:tcW w:w="861"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A</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42.09</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41.68</w:t>
            </w:r>
          </w:p>
        </w:tc>
        <w:tc>
          <w:tcPr>
            <w:tcW w:w="454"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c>
          <w:tcPr>
            <w:tcW w:w="1397" w:type="dxa"/>
            <w:tcBorders>
              <w:top w:val="single" w:sz="12" w:space="0" w:color="5C6481"/>
              <w:left w:val="single" w:sz="8" w:space="0" w:color="CCCCCC"/>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KOF</w:t>
            </w:r>
          </w:p>
        </w:tc>
        <w:tc>
          <w:tcPr>
            <w:tcW w:w="861"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L</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125.61</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122.66</w:t>
            </w:r>
          </w:p>
        </w:tc>
      </w:tr>
      <w:tr w:rsidR="00A06DA2" w:rsidRPr="00670830" w:rsidTr="00233593">
        <w:trPr>
          <w:trHeight w:val="20"/>
        </w:trPr>
        <w:tc>
          <w:tcPr>
            <w:tcW w:w="1397" w:type="dxa"/>
            <w:tcBorders>
              <w:top w:val="single" w:sz="12" w:space="0" w:color="5C6481"/>
              <w:left w:val="single" w:sz="8" w:space="0" w:color="CCCCCC"/>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BOLSA</w:t>
            </w:r>
          </w:p>
        </w:tc>
        <w:tc>
          <w:tcPr>
            <w:tcW w:w="861"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A</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27.7</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27.27</w:t>
            </w:r>
          </w:p>
        </w:tc>
        <w:tc>
          <w:tcPr>
            <w:tcW w:w="454"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c>
          <w:tcPr>
            <w:tcW w:w="1397" w:type="dxa"/>
            <w:tcBorders>
              <w:top w:val="single" w:sz="12" w:space="0" w:color="5C6481"/>
              <w:left w:val="single" w:sz="8" w:space="0" w:color="CCCCCC"/>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LAB</w:t>
            </w:r>
          </w:p>
        </w:tc>
        <w:tc>
          <w:tcPr>
            <w:tcW w:w="861"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B</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17.46</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16.9</w:t>
            </w:r>
          </w:p>
        </w:tc>
      </w:tr>
      <w:tr w:rsidR="00A06DA2" w:rsidRPr="00670830" w:rsidTr="00233593">
        <w:trPr>
          <w:trHeight w:val="20"/>
        </w:trPr>
        <w:tc>
          <w:tcPr>
            <w:tcW w:w="1397" w:type="dxa"/>
            <w:tcBorders>
              <w:top w:val="single" w:sz="12" w:space="0" w:color="5C6481"/>
              <w:left w:val="single" w:sz="8" w:space="0" w:color="CCCCCC"/>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CEMEX</w:t>
            </w:r>
          </w:p>
        </w:tc>
        <w:tc>
          <w:tcPr>
            <w:tcW w:w="861"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CPO</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14.81</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14.9</w:t>
            </w:r>
          </w:p>
        </w:tc>
        <w:tc>
          <w:tcPr>
            <w:tcW w:w="454"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c>
          <w:tcPr>
            <w:tcW w:w="1397" w:type="dxa"/>
            <w:tcBorders>
              <w:top w:val="single" w:sz="12" w:space="0" w:color="5C6481"/>
              <w:left w:val="single" w:sz="8" w:space="0" w:color="CCCCCC"/>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LALA</w:t>
            </w:r>
          </w:p>
        </w:tc>
        <w:tc>
          <w:tcPr>
            <w:tcW w:w="861"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B</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32.5</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33.1</w:t>
            </w:r>
          </w:p>
        </w:tc>
      </w:tr>
      <w:tr w:rsidR="00A06DA2" w:rsidRPr="00670830" w:rsidTr="00233593">
        <w:trPr>
          <w:trHeight w:val="20"/>
        </w:trPr>
        <w:tc>
          <w:tcPr>
            <w:tcW w:w="1397" w:type="dxa"/>
            <w:tcBorders>
              <w:top w:val="single" w:sz="12" w:space="0" w:color="5C6481"/>
              <w:left w:val="single" w:sz="8" w:space="0" w:color="CCCCCC"/>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COMERCI</w:t>
            </w:r>
          </w:p>
        </w:tc>
        <w:tc>
          <w:tcPr>
            <w:tcW w:w="861"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UBC</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49.13</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49.07</w:t>
            </w:r>
          </w:p>
        </w:tc>
        <w:tc>
          <w:tcPr>
            <w:tcW w:w="454"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c>
          <w:tcPr>
            <w:tcW w:w="1397" w:type="dxa"/>
            <w:tcBorders>
              <w:top w:val="single" w:sz="12" w:space="0" w:color="5C6481"/>
              <w:left w:val="single" w:sz="8" w:space="0" w:color="CCCCCC"/>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LIVEPOL</w:t>
            </w:r>
          </w:p>
        </w:tc>
        <w:tc>
          <w:tcPr>
            <w:tcW w:w="861"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C-1</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173.3</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175.47</w:t>
            </w:r>
          </w:p>
        </w:tc>
      </w:tr>
      <w:tr w:rsidR="00A06DA2" w:rsidRPr="00670830" w:rsidTr="00233593">
        <w:trPr>
          <w:trHeight w:val="20"/>
        </w:trPr>
        <w:tc>
          <w:tcPr>
            <w:tcW w:w="1397" w:type="dxa"/>
            <w:tcBorders>
              <w:top w:val="single" w:sz="12" w:space="0" w:color="5C6481"/>
              <w:left w:val="single" w:sz="8" w:space="0" w:color="CCCCCC"/>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ELEKTRA</w:t>
            </w:r>
          </w:p>
        </w:tc>
        <w:tc>
          <w:tcPr>
            <w:tcW w:w="861"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400.82</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401.93</w:t>
            </w:r>
          </w:p>
        </w:tc>
        <w:tc>
          <w:tcPr>
            <w:tcW w:w="454"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c>
          <w:tcPr>
            <w:tcW w:w="1397" w:type="dxa"/>
            <w:tcBorders>
              <w:top w:val="single" w:sz="12" w:space="0" w:color="5C6481"/>
              <w:left w:val="single" w:sz="8" w:space="0" w:color="CCCCCC"/>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MEXCHEM</w:t>
            </w:r>
          </w:p>
        </w:tc>
        <w:tc>
          <w:tcPr>
            <w:tcW w:w="861"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45.53</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44.53</w:t>
            </w:r>
          </w:p>
        </w:tc>
      </w:tr>
      <w:tr w:rsidR="00A06DA2" w:rsidRPr="00670830" w:rsidTr="00233593">
        <w:trPr>
          <w:trHeight w:val="20"/>
        </w:trPr>
        <w:tc>
          <w:tcPr>
            <w:tcW w:w="1397" w:type="dxa"/>
            <w:tcBorders>
              <w:top w:val="single" w:sz="12" w:space="0" w:color="5C6481"/>
              <w:left w:val="single" w:sz="8" w:space="0" w:color="CCCCCC"/>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FEMSA</w:t>
            </w:r>
          </w:p>
        </w:tc>
        <w:tc>
          <w:tcPr>
            <w:tcW w:w="861"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UBD</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142.26</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142.22</w:t>
            </w:r>
          </w:p>
        </w:tc>
        <w:tc>
          <w:tcPr>
            <w:tcW w:w="454"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c>
          <w:tcPr>
            <w:tcW w:w="1397" w:type="dxa"/>
            <w:tcBorders>
              <w:top w:val="single" w:sz="12" w:space="0" w:color="5C6481"/>
              <w:left w:val="single" w:sz="8" w:space="0" w:color="CCCCCC"/>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OHLMEX</w:t>
            </w:r>
          </w:p>
        </w:tc>
        <w:tc>
          <w:tcPr>
            <w:tcW w:w="861"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27.07</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25.01</w:t>
            </w:r>
          </w:p>
        </w:tc>
      </w:tr>
      <w:tr w:rsidR="00A06DA2" w:rsidRPr="00670830" w:rsidTr="00233593">
        <w:trPr>
          <w:trHeight w:val="20"/>
        </w:trPr>
        <w:tc>
          <w:tcPr>
            <w:tcW w:w="1397" w:type="dxa"/>
            <w:tcBorders>
              <w:top w:val="single" w:sz="12" w:space="0" w:color="5C6481"/>
              <w:left w:val="single" w:sz="8" w:space="0" w:color="CCCCCC"/>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GAP</w:t>
            </w:r>
          </w:p>
        </w:tc>
        <w:tc>
          <w:tcPr>
            <w:tcW w:w="861"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B</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112.65</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110.09</w:t>
            </w:r>
          </w:p>
        </w:tc>
        <w:tc>
          <w:tcPr>
            <w:tcW w:w="454"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c>
          <w:tcPr>
            <w:tcW w:w="1397" w:type="dxa"/>
            <w:tcBorders>
              <w:top w:val="single" w:sz="12" w:space="0" w:color="5C6481"/>
              <w:left w:val="single" w:sz="8" w:space="0" w:color="CCCCCC"/>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PE&amp;OLES</w:t>
            </w:r>
          </w:p>
        </w:tc>
        <w:tc>
          <w:tcPr>
            <w:tcW w:w="861"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271.98</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267.04</w:t>
            </w:r>
          </w:p>
        </w:tc>
      </w:tr>
      <w:tr w:rsidR="00A06DA2" w:rsidRPr="00670830" w:rsidTr="00233593">
        <w:trPr>
          <w:trHeight w:val="20"/>
        </w:trPr>
        <w:tc>
          <w:tcPr>
            <w:tcW w:w="1397" w:type="dxa"/>
            <w:tcBorders>
              <w:top w:val="single" w:sz="12" w:space="0" w:color="5C6481"/>
              <w:left w:val="single" w:sz="8" w:space="0" w:color="CCCCCC"/>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GCARSO</w:t>
            </w:r>
          </w:p>
        </w:tc>
        <w:tc>
          <w:tcPr>
            <w:tcW w:w="861"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A1</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65.86</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64.6</w:t>
            </w:r>
          </w:p>
        </w:tc>
        <w:tc>
          <w:tcPr>
            <w:tcW w:w="454"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c>
          <w:tcPr>
            <w:tcW w:w="1397" w:type="dxa"/>
            <w:tcBorders>
              <w:top w:val="single" w:sz="12" w:space="0" w:color="5C6481"/>
              <w:left w:val="single" w:sz="8" w:space="0" w:color="CCCCCC"/>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PINFRA</w:t>
            </w:r>
          </w:p>
        </w:tc>
        <w:tc>
          <w:tcPr>
            <w:tcW w:w="861"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170.22</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174.38</w:t>
            </w:r>
          </w:p>
        </w:tc>
      </w:tr>
      <w:tr w:rsidR="00A06DA2" w:rsidRPr="00670830" w:rsidTr="00233593">
        <w:trPr>
          <w:trHeight w:val="20"/>
        </w:trPr>
        <w:tc>
          <w:tcPr>
            <w:tcW w:w="1397" w:type="dxa"/>
            <w:tcBorders>
              <w:top w:val="single" w:sz="12" w:space="0" w:color="5C6481"/>
              <w:left w:val="single" w:sz="8" w:space="0" w:color="CCCCCC"/>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GENTERA</w:t>
            </w:r>
          </w:p>
        </w:tc>
        <w:tc>
          <w:tcPr>
            <w:tcW w:w="861"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26.93</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26.64</w:t>
            </w:r>
          </w:p>
        </w:tc>
        <w:tc>
          <w:tcPr>
            <w:tcW w:w="454"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c>
          <w:tcPr>
            <w:tcW w:w="1397" w:type="dxa"/>
            <w:tcBorders>
              <w:top w:val="single" w:sz="12" w:space="0" w:color="5C6481"/>
              <w:left w:val="single" w:sz="8" w:space="0" w:color="CCCCCC"/>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SANMEX</w:t>
            </w:r>
          </w:p>
        </w:tc>
        <w:tc>
          <w:tcPr>
            <w:tcW w:w="861"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B</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31.17</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30.86</w:t>
            </w:r>
          </w:p>
        </w:tc>
      </w:tr>
      <w:tr w:rsidR="00A06DA2" w:rsidRPr="00670830" w:rsidTr="00233593">
        <w:trPr>
          <w:trHeight w:val="20"/>
        </w:trPr>
        <w:tc>
          <w:tcPr>
            <w:tcW w:w="1397" w:type="dxa"/>
            <w:tcBorders>
              <w:top w:val="single" w:sz="12" w:space="0" w:color="5C6481"/>
              <w:left w:val="single" w:sz="8" w:space="0" w:color="CCCCCC"/>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GFINBUR</w:t>
            </w:r>
          </w:p>
        </w:tc>
        <w:tc>
          <w:tcPr>
            <w:tcW w:w="861"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O</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36.83</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37.14</w:t>
            </w:r>
          </w:p>
        </w:tc>
        <w:tc>
          <w:tcPr>
            <w:tcW w:w="454"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c>
          <w:tcPr>
            <w:tcW w:w="1397" w:type="dxa"/>
            <w:tcBorders>
              <w:top w:val="single" w:sz="12" w:space="0" w:color="5C6481"/>
              <w:left w:val="single" w:sz="8" w:space="0" w:color="CCCCCC"/>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TLEVISA</w:t>
            </w:r>
          </w:p>
        </w:tc>
        <w:tc>
          <w:tcPr>
            <w:tcW w:w="861"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CPO</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108.83</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108.8</w:t>
            </w:r>
          </w:p>
        </w:tc>
      </w:tr>
      <w:tr w:rsidR="00A06DA2" w:rsidRPr="00670830" w:rsidTr="00233593">
        <w:trPr>
          <w:trHeight w:val="20"/>
        </w:trPr>
        <w:tc>
          <w:tcPr>
            <w:tcW w:w="1397" w:type="dxa"/>
            <w:tcBorders>
              <w:top w:val="single" w:sz="12" w:space="0" w:color="5C6481"/>
              <w:left w:val="single" w:sz="8" w:space="0" w:color="CCCCCC"/>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GFNORTE</w:t>
            </w:r>
          </w:p>
        </w:tc>
        <w:tc>
          <w:tcPr>
            <w:tcW w:w="861"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O</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88.65</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89.15</w:t>
            </w:r>
          </w:p>
        </w:tc>
        <w:tc>
          <w:tcPr>
            <w:tcW w:w="454"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c>
          <w:tcPr>
            <w:tcW w:w="1397" w:type="dxa"/>
            <w:tcBorders>
              <w:top w:val="single" w:sz="12" w:space="0" w:color="5C6481"/>
              <w:left w:val="single" w:sz="8" w:space="0" w:color="CCCCCC"/>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WALMEX</w:t>
            </w:r>
          </w:p>
        </w:tc>
        <w:tc>
          <w:tcPr>
            <w:tcW w:w="861"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36.98</w:t>
            </w:r>
          </w:p>
        </w:tc>
        <w:tc>
          <w:tcPr>
            <w:tcW w:w="1077" w:type="dxa"/>
            <w:tcBorders>
              <w:top w:val="single" w:sz="12" w:space="0" w:color="5C6481"/>
              <w:left w:val="nil"/>
              <w:bottom w:val="single" w:sz="8" w:space="0" w:color="CCCCCC"/>
              <w:right w:val="single" w:sz="8" w:space="0" w:color="CCCCCC"/>
            </w:tcBorders>
            <w:shd w:val="clear" w:color="000000" w:fill="E6EAC6"/>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 xml:space="preserve">36.93 </w:t>
            </w:r>
            <w:r w:rsidRPr="00670830">
              <w:rPr>
                <w:rFonts w:ascii="Arial" w:eastAsia="Arial Unicode MS" w:hAnsi="Arial" w:cs="Arial"/>
                <w:vanish/>
                <w:sz w:val="24"/>
                <w:szCs w:val="24"/>
                <w:lang w:eastAsia="es-MX"/>
              </w:rPr>
              <w:t>Final del formulario</w:t>
            </w:r>
          </w:p>
        </w:tc>
      </w:tr>
      <w:tr w:rsidR="00A06DA2" w:rsidRPr="00670830" w:rsidTr="00233593">
        <w:trPr>
          <w:trHeight w:val="20"/>
        </w:trPr>
        <w:tc>
          <w:tcPr>
            <w:tcW w:w="1397" w:type="dxa"/>
            <w:tcBorders>
              <w:top w:val="single" w:sz="12" w:space="0" w:color="5C6481"/>
              <w:left w:val="single" w:sz="8" w:space="0" w:color="CCCCCC"/>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center"/>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GFREGIO</w:t>
            </w:r>
          </w:p>
        </w:tc>
        <w:tc>
          <w:tcPr>
            <w:tcW w:w="861"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O</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85.38</w:t>
            </w:r>
          </w:p>
        </w:tc>
        <w:tc>
          <w:tcPr>
            <w:tcW w:w="1077" w:type="dxa"/>
            <w:tcBorders>
              <w:top w:val="single" w:sz="12" w:space="0" w:color="5C6481"/>
              <w:left w:val="nil"/>
              <w:bottom w:val="single" w:sz="8" w:space="0" w:color="CCCCCC"/>
              <w:right w:val="single" w:sz="8" w:space="0" w:color="CCCCCC"/>
            </w:tcBorders>
            <w:shd w:val="clear" w:color="000000" w:fill="FFFFFF"/>
            <w:vAlign w:val="center"/>
            <w:hideMark/>
          </w:tcPr>
          <w:p w:rsidR="00A06DA2" w:rsidRPr="00670830" w:rsidRDefault="00A06DA2" w:rsidP="00670830">
            <w:pPr>
              <w:spacing w:before="100" w:beforeAutospacing="1" w:after="100" w:afterAutospacing="1" w:line="360" w:lineRule="auto"/>
              <w:jc w:val="right"/>
              <w:rPr>
                <w:rFonts w:ascii="Arial" w:eastAsia="Arial Unicode MS" w:hAnsi="Arial" w:cs="Arial"/>
                <w:color w:val="333333"/>
                <w:sz w:val="24"/>
                <w:szCs w:val="24"/>
                <w:lang w:eastAsia="es-MX"/>
              </w:rPr>
            </w:pPr>
            <w:r w:rsidRPr="00670830">
              <w:rPr>
                <w:rFonts w:ascii="Arial" w:eastAsia="Arial Unicode MS" w:hAnsi="Arial" w:cs="Arial"/>
                <w:color w:val="333333"/>
                <w:sz w:val="24"/>
                <w:szCs w:val="24"/>
                <w:lang w:eastAsia="es-MX"/>
              </w:rPr>
              <w:t>85.27</w:t>
            </w:r>
          </w:p>
        </w:tc>
        <w:tc>
          <w:tcPr>
            <w:tcW w:w="454"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c>
          <w:tcPr>
            <w:tcW w:w="1397"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c>
          <w:tcPr>
            <w:tcW w:w="861"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c>
          <w:tcPr>
            <w:tcW w:w="1077"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c>
          <w:tcPr>
            <w:tcW w:w="1077" w:type="dxa"/>
            <w:tcBorders>
              <w:top w:val="nil"/>
              <w:left w:val="nil"/>
              <w:bottom w:val="nil"/>
              <w:right w:val="nil"/>
            </w:tcBorders>
            <w:shd w:val="clear" w:color="000000" w:fill="FFFFFF"/>
            <w:noWrap/>
            <w:vAlign w:val="bottom"/>
            <w:hideMark/>
          </w:tcPr>
          <w:p w:rsidR="00A06DA2" w:rsidRPr="00670830" w:rsidRDefault="00A06DA2"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r>
    </w:tbl>
    <w:p w:rsidR="009D192D" w:rsidRPr="00670830" w:rsidRDefault="009D192D" w:rsidP="00670830">
      <w:pPr>
        <w:spacing w:line="360" w:lineRule="auto"/>
        <w:rPr>
          <w:rFonts w:ascii="Arial" w:hAnsi="Arial" w:cs="Arial"/>
          <w:sz w:val="24"/>
          <w:szCs w:val="24"/>
        </w:rPr>
      </w:pPr>
    </w:p>
    <w:p w:rsidR="000C0796" w:rsidRPr="00670830" w:rsidRDefault="007C7EB3" w:rsidP="00670830">
      <w:pPr>
        <w:pStyle w:val="Ttulo1"/>
        <w:spacing w:before="100" w:beforeAutospacing="1" w:after="100" w:afterAutospacing="1" w:line="360" w:lineRule="auto"/>
        <w:jc w:val="center"/>
        <w:rPr>
          <w:rFonts w:ascii="Arial" w:eastAsia="Arial Unicode MS" w:hAnsi="Arial" w:cs="Arial"/>
          <w:color w:val="auto"/>
          <w:sz w:val="24"/>
          <w:szCs w:val="24"/>
        </w:rPr>
      </w:pPr>
      <w:bookmarkStart w:id="23" w:name="_Toc488230500"/>
      <w:r w:rsidRPr="00670830">
        <w:rPr>
          <w:rFonts w:ascii="Arial" w:eastAsia="Arial Unicode MS" w:hAnsi="Arial" w:cs="Arial"/>
          <w:color w:val="auto"/>
          <w:sz w:val="24"/>
          <w:szCs w:val="24"/>
        </w:rPr>
        <w:t>Capítulo 3. El Riesgo y su evolución a través de los años</w:t>
      </w:r>
      <w:bookmarkEnd w:id="23"/>
    </w:p>
    <w:p w:rsidR="00EF1FA9" w:rsidRPr="00670830" w:rsidRDefault="00EF1FA9" w:rsidP="00670830">
      <w:pPr>
        <w:spacing w:before="100" w:beforeAutospacing="1" w:after="100" w:afterAutospacing="1" w:line="360" w:lineRule="auto"/>
        <w:rPr>
          <w:rFonts w:ascii="Arial" w:eastAsia="Arial Unicode MS" w:hAnsi="Arial" w:cs="Arial"/>
          <w:sz w:val="24"/>
          <w:szCs w:val="24"/>
        </w:rPr>
      </w:pPr>
    </w:p>
    <w:p w:rsidR="007E28CD" w:rsidRPr="00670830" w:rsidRDefault="007E28CD" w:rsidP="00670830">
      <w:pPr>
        <w:pStyle w:val="Ttulo2"/>
        <w:spacing w:before="100" w:beforeAutospacing="1" w:after="100" w:afterAutospacing="1" w:line="360" w:lineRule="auto"/>
        <w:jc w:val="both"/>
        <w:rPr>
          <w:rFonts w:ascii="Arial" w:eastAsia="Arial Unicode MS" w:hAnsi="Arial" w:cs="Arial"/>
          <w:color w:val="auto"/>
          <w:sz w:val="24"/>
          <w:szCs w:val="24"/>
        </w:rPr>
      </w:pPr>
      <w:bookmarkStart w:id="24" w:name="_Toc488230501"/>
      <w:r w:rsidRPr="00670830">
        <w:rPr>
          <w:rFonts w:ascii="Arial" w:eastAsia="Arial Unicode MS" w:hAnsi="Arial" w:cs="Arial"/>
          <w:color w:val="auto"/>
          <w:sz w:val="24"/>
          <w:szCs w:val="24"/>
        </w:rPr>
        <w:t xml:space="preserve">3.1.  Modelo de </w:t>
      </w:r>
      <w:proofErr w:type="spellStart"/>
      <w:r w:rsidRPr="00670830">
        <w:rPr>
          <w:rFonts w:ascii="Arial" w:eastAsia="Arial Unicode MS" w:hAnsi="Arial" w:cs="Arial"/>
          <w:color w:val="auto"/>
          <w:sz w:val="24"/>
          <w:szCs w:val="24"/>
        </w:rPr>
        <w:t>Markowitz</w:t>
      </w:r>
      <w:proofErr w:type="spellEnd"/>
      <w:r w:rsidRPr="00670830">
        <w:rPr>
          <w:rFonts w:ascii="Arial" w:eastAsia="Arial Unicode MS" w:hAnsi="Arial" w:cs="Arial"/>
          <w:color w:val="auto"/>
          <w:sz w:val="24"/>
          <w:szCs w:val="24"/>
        </w:rPr>
        <w:t xml:space="preserve">: Selección de </w:t>
      </w:r>
      <w:r w:rsidR="00B242A9" w:rsidRPr="00670830">
        <w:rPr>
          <w:rFonts w:ascii="Arial" w:eastAsia="Arial Unicode MS" w:hAnsi="Arial" w:cs="Arial"/>
          <w:color w:val="auto"/>
          <w:sz w:val="24"/>
          <w:szCs w:val="24"/>
        </w:rPr>
        <w:t>Carteras</w:t>
      </w:r>
      <w:r w:rsidRPr="00670830">
        <w:rPr>
          <w:rFonts w:ascii="Arial" w:eastAsia="Arial Unicode MS" w:hAnsi="Arial" w:cs="Arial"/>
          <w:color w:val="auto"/>
          <w:sz w:val="24"/>
          <w:szCs w:val="24"/>
        </w:rPr>
        <w:t xml:space="preserve"> de Inversión.</w:t>
      </w:r>
      <w:bookmarkEnd w:id="24"/>
    </w:p>
    <w:p w:rsidR="004072A9" w:rsidRPr="00670830" w:rsidRDefault="004072A9"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Un Portafolio de Inversión o Cartera de Inversión es una selección de documentos o valores que cotizan en el mercado de valores y en los que una persona o empresa deciden colocar o invertir su dinero.</w:t>
      </w:r>
    </w:p>
    <w:p w:rsidR="004072A9" w:rsidRPr="00670830" w:rsidRDefault="004072A9"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Cada uno de los instrumentos que lo integra posee un riesgo y un rendimiento que los particularizan de los demás y el portafolio puede o no tomar de una manera agregada, las características de cada uno de los instrumentos que lo conforman.</w:t>
      </w:r>
    </w:p>
    <w:p w:rsidR="00BC4F30" w:rsidRPr="00670830" w:rsidRDefault="00BC4F30" w:rsidP="00670830">
      <w:pPr>
        <w:spacing w:before="100" w:beforeAutospacing="1" w:after="100" w:afterAutospacing="1" w:line="360" w:lineRule="auto"/>
        <w:jc w:val="both"/>
        <w:rPr>
          <w:rFonts w:ascii="Arial" w:eastAsia="Arial Unicode MS" w:hAnsi="Arial" w:cs="Arial"/>
          <w:sz w:val="24"/>
          <w:szCs w:val="24"/>
        </w:rPr>
      </w:pPr>
    </w:p>
    <w:p w:rsidR="00BC4F30" w:rsidRPr="00670830" w:rsidRDefault="00BC4F30" w:rsidP="00670830">
      <w:pPr>
        <w:spacing w:before="100" w:beforeAutospacing="1" w:after="100" w:afterAutospacing="1" w:line="360" w:lineRule="auto"/>
        <w:jc w:val="both"/>
        <w:rPr>
          <w:rFonts w:ascii="Arial" w:eastAsia="Arial Unicode MS" w:hAnsi="Arial" w:cs="Arial"/>
          <w:b/>
          <w:sz w:val="24"/>
          <w:szCs w:val="24"/>
          <w:u w:val="single"/>
        </w:rPr>
      </w:pPr>
      <w:r w:rsidRPr="00670830">
        <w:rPr>
          <w:rFonts w:ascii="Arial" w:eastAsia="Arial Unicode MS" w:hAnsi="Arial" w:cs="Arial"/>
          <w:b/>
          <w:sz w:val="24"/>
          <w:szCs w:val="24"/>
          <w:u w:val="single"/>
        </w:rPr>
        <w:t>Elementos básicos de una inversión</w:t>
      </w:r>
    </w:p>
    <w:p w:rsidR="004072A9" w:rsidRPr="00670830" w:rsidRDefault="004072A9"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El Rendimiento</w:t>
      </w:r>
      <w:r w:rsidRPr="00670830">
        <w:rPr>
          <w:rFonts w:ascii="Arial" w:eastAsia="Arial Unicode MS" w:hAnsi="Arial" w:cs="Arial"/>
          <w:sz w:val="24"/>
          <w:szCs w:val="24"/>
        </w:rPr>
        <w:t xml:space="preserve"> del accionista es la relación que se establece entre lo que se ha invertido en una determinada acción y el rendimiento económico o resultado que proporciona. El rendimiento que un accionista puede obtener de una acción se mide calculando los dividendos percibidos, las plusvalías o revalorizaciones en su cotización.</w:t>
      </w:r>
    </w:p>
    <w:p w:rsidR="00BC4F30" w:rsidRPr="00670830" w:rsidRDefault="00BC4F30" w:rsidP="00670830">
      <w:pPr>
        <w:spacing w:before="100" w:beforeAutospacing="1" w:after="100" w:afterAutospacing="1" w:line="360" w:lineRule="auto"/>
        <w:jc w:val="both"/>
        <w:rPr>
          <w:rFonts w:ascii="Arial" w:eastAsia="Arial Unicode MS" w:hAnsi="Arial" w:cs="Arial"/>
          <w:b/>
          <w:sz w:val="24"/>
          <w:szCs w:val="24"/>
        </w:rPr>
      </w:pPr>
      <w:r w:rsidRPr="00670830">
        <w:rPr>
          <w:rFonts w:ascii="Arial" w:eastAsia="Arial Unicode MS" w:hAnsi="Arial" w:cs="Arial"/>
          <w:b/>
          <w:sz w:val="24"/>
          <w:szCs w:val="24"/>
        </w:rPr>
        <w:t>El Riesgo</w:t>
      </w:r>
      <w:r w:rsidRPr="00670830">
        <w:rPr>
          <w:rFonts w:ascii="Arial" w:eastAsia="Arial Unicode MS" w:hAnsi="Arial" w:cs="Arial"/>
          <w:sz w:val="24"/>
          <w:szCs w:val="24"/>
        </w:rPr>
        <w:t xml:space="preserve"> representa la posibilidad de no obtener los</w:t>
      </w:r>
      <w:r w:rsidRPr="00670830">
        <w:rPr>
          <w:rFonts w:ascii="Arial" w:eastAsia="Arial Unicode MS" w:hAnsi="Arial" w:cs="Arial"/>
          <w:b/>
          <w:sz w:val="24"/>
          <w:szCs w:val="24"/>
        </w:rPr>
        <w:t xml:space="preserve"> </w:t>
      </w:r>
      <w:r w:rsidRPr="00670830">
        <w:rPr>
          <w:rFonts w:ascii="Arial" w:eastAsia="Arial Unicode MS" w:hAnsi="Arial" w:cs="Arial"/>
          <w:sz w:val="24"/>
          <w:szCs w:val="24"/>
        </w:rPr>
        <w:t>rendimientos esperados o de tener pérdidas sobre la inversión inicial, incluso el</w:t>
      </w:r>
      <w:r w:rsidRPr="00670830">
        <w:rPr>
          <w:rFonts w:ascii="Arial" w:eastAsia="Arial Unicode MS" w:hAnsi="Arial" w:cs="Arial"/>
          <w:b/>
          <w:sz w:val="24"/>
          <w:szCs w:val="24"/>
        </w:rPr>
        <w:t xml:space="preserve"> </w:t>
      </w:r>
      <w:r w:rsidRPr="00670830">
        <w:rPr>
          <w:rFonts w:ascii="Arial" w:eastAsia="Arial Unicode MS" w:hAnsi="Arial" w:cs="Arial"/>
          <w:sz w:val="24"/>
          <w:szCs w:val="24"/>
        </w:rPr>
        <w:t>poder perderlo todo.</w:t>
      </w:r>
    </w:p>
    <w:p w:rsidR="00BC4F30" w:rsidRPr="00670830" w:rsidRDefault="00BC4F30"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El Plazo</w:t>
      </w:r>
      <w:r w:rsidRPr="00670830">
        <w:rPr>
          <w:rFonts w:ascii="Arial" w:eastAsia="Arial Unicode MS" w:hAnsi="Arial" w:cs="Arial"/>
          <w:sz w:val="24"/>
          <w:szCs w:val="24"/>
        </w:rPr>
        <w:t xml:space="preserve"> es determinado por el inversionista, puede ser a corto, mediano o largo plazo, es el periodo de tiempo durante el cual no se puede disponer del monto invertido hasta que se cumpla cierto plazo conocido como vencimiento. </w:t>
      </w:r>
    </w:p>
    <w:p w:rsidR="00BC4F30" w:rsidRPr="00670830" w:rsidRDefault="00BC4F30"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Liquidez,</w:t>
      </w:r>
      <w:r w:rsidRPr="00670830">
        <w:rPr>
          <w:rFonts w:ascii="Arial" w:eastAsia="Arial Unicode MS" w:hAnsi="Arial" w:cs="Arial"/>
          <w:sz w:val="24"/>
          <w:szCs w:val="24"/>
        </w:rPr>
        <w:t xml:space="preserve"> se refiere a la facilidad con que un activo financiero</w:t>
      </w:r>
      <w:r w:rsidRPr="00670830">
        <w:rPr>
          <w:rFonts w:ascii="Arial" w:eastAsia="Arial Unicode MS" w:hAnsi="Arial" w:cs="Arial"/>
          <w:b/>
          <w:sz w:val="24"/>
          <w:szCs w:val="24"/>
        </w:rPr>
        <w:t xml:space="preserve"> </w:t>
      </w:r>
      <w:r w:rsidRPr="00670830">
        <w:rPr>
          <w:rFonts w:ascii="Arial" w:eastAsia="Arial Unicode MS" w:hAnsi="Arial" w:cs="Arial"/>
          <w:sz w:val="24"/>
          <w:szCs w:val="24"/>
        </w:rPr>
        <w:t>puede ser vendido o comprado, esto representa por supuesto la rapidez con la</w:t>
      </w:r>
      <w:r w:rsidRPr="00670830">
        <w:rPr>
          <w:rFonts w:ascii="Arial" w:eastAsia="Arial Unicode MS" w:hAnsi="Arial" w:cs="Arial"/>
          <w:b/>
          <w:sz w:val="24"/>
          <w:szCs w:val="24"/>
        </w:rPr>
        <w:t xml:space="preserve"> </w:t>
      </w:r>
      <w:r w:rsidRPr="00670830">
        <w:rPr>
          <w:rFonts w:ascii="Arial" w:eastAsia="Arial Unicode MS" w:hAnsi="Arial" w:cs="Arial"/>
          <w:sz w:val="24"/>
          <w:szCs w:val="24"/>
        </w:rPr>
        <w:t>cual puede convertirse en efectivo para el inversionista.</w:t>
      </w:r>
    </w:p>
    <w:p w:rsidR="00BC4F30" w:rsidRPr="00670830" w:rsidRDefault="00BC4F30"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 xml:space="preserve">Diversificación, </w:t>
      </w:r>
      <w:r w:rsidRPr="00670830">
        <w:rPr>
          <w:rFonts w:ascii="Arial" w:eastAsia="Arial Unicode MS" w:hAnsi="Arial" w:cs="Arial"/>
          <w:sz w:val="24"/>
          <w:szCs w:val="24"/>
        </w:rPr>
        <w:t>es la elección de diferentes instrument</w:t>
      </w:r>
      <w:r w:rsidR="008D7A42" w:rsidRPr="00670830">
        <w:rPr>
          <w:rFonts w:ascii="Arial" w:eastAsia="Arial Unicode MS" w:hAnsi="Arial" w:cs="Arial"/>
          <w:sz w:val="24"/>
          <w:szCs w:val="24"/>
        </w:rPr>
        <w:t>os de inversión que conforman la cartera</w:t>
      </w:r>
      <w:r w:rsidRPr="00670830">
        <w:rPr>
          <w:rFonts w:ascii="Arial" w:eastAsia="Arial Unicode MS" w:hAnsi="Arial" w:cs="Arial"/>
          <w:sz w:val="24"/>
          <w:szCs w:val="24"/>
        </w:rPr>
        <w:t>. Dichos elementos tienen características propias distintas entre sí, con</w:t>
      </w:r>
      <w:r w:rsidRPr="00670830">
        <w:rPr>
          <w:rFonts w:ascii="Arial" w:eastAsia="Arial Unicode MS" w:hAnsi="Arial" w:cs="Arial"/>
          <w:b/>
          <w:sz w:val="24"/>
          <w:szCs w:val="24"/>
        </w:rPr>
        <w:t xml:space="preserve"> </w:t>
      </w:r>
      <w:r w:rsidRPr="00670830">
        <w:rPr>
          <w:rFonts w:ascii="Arial" w:eastAsia="Arial Unicode MS" w:hAnsi="Arial" w:cs="Arial"/>
          <w:sz w:val="24"/>
          <w:szCs w:val="24"/>
        </w:rPr>
        <w:t>lo cual se bus</w:t>
      </w:r>
      <w:r w:rsidR="008D7A42" w:rsidRPr="00670830">
        <w:rPr>
          <w:rFonts w:ascii="Arial" w:eastAsia="Arial Unicode MS" w:hAnsi="Arial" w:cs="Arial"/>
          <w:sz w:val="24"/>
          <w:szCs w:val="24"/>
        </w:rPr>
        <w:t>ca disminuir el riesgo total de la cartera</w:t>
      </w:r>
      <w:r w:rsidRPr="00670830">
        <w:rPr>
          <w:rFonts w:ascii="Arial" w:eastAsia="Arial Unicode MS" w:hAnsi="Arial" w:cs="Arial"/>
          <w:sz w:val="24"/>
          <w:szCs w:val="24"/>
        </w:rPr>
        <w:t>, de tal manera que sea</w:t>
      </w:r>
      <w:r w:rsidRPr="00670830">
        <w:rPr>
          <w:rFonts w:ascii="Arial" w:eastAsia="Arial Unicode MS" w:hAnsi="Arial" w:cs="Arial"/>
          <w:b/>
          <w:sz w:val="24"/>
          <w:szCs w:val="24"/>
        </w:rPr>
        <w:t xml:space="preserve"> </w:t>
      </w:r>
      <w:r w:rsidRPr="00670830">
        <w:rPr>
          <w:rFonts w:ascii="Arial" w:eastAsia="Arial Unicode MS" w:hAnsi="Arial" w:cs="Arial"/>
          <w:sz w:val="24"/>
          <w:szCs w:val="24"/>
        </w:rPr>
        <w:t>posible obtener el rendimiento esperado  por el inversionista. La elección de elementos diversificados permite equilibrar las pérdidas y ganancias que se tienen con los distintos instrumentos.</w:t>
      </w:r>
    </w:p>
    <w:p w:rsidR="007E28CD" w:rsidRPr="00670830" w:rsidRDefault="004072A9"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Ahora, l</w:t>
      </w:r>
      <w:r w:rsidR="007E28CD" w:rsidRPr="00670830">
        <w:rPr>
          <w:rFonts w:ascii="Arial" w:eastAsia="Arial Unicode MS" w:hAnsi="Arial" w:cs="Arial"/>
          <w:sz w:val="24"/>
          <w:szCs w:val="24"/>
        </w:rPr>
        <w:t xml:space="preserve">a meta principal de los inversionistas es lograr maximizar los rendimientos minimizando riesgos. Para alcanzar estos objetivos han surgido varias teorías, dentro de las cuales, la teoría de selección de portafolios de inversión de Harry </w:t>
      </w:r>
      <w:proofErr w:type="spellStart"/>
      <w:r w:rsidR="007E28CD" w:rsidRPr="00670830">
        <w:rPr>
          <w:rFonts w:ascii="Arial" w:eastAsia="Arial Unicode MS" w:hAnsi="Arial" w:cs="Arial"/>
          <w:sz w:val="24"/>
          <w:szCs w:val="24"/>
        </w:rPr>
        <w:t>Markowitz</w:t>
      </w:r>
      <w:proofErr w:type="spellEnd"/>
      <w:r w:rsidR="007E28CD" w:rsidRPr="00670830">
        <w:rPr>
          <w:rFonts w:ascii="Arial" w:eastAsia="Arial Unicode MS" w:hAnsi="Arial" w:cs="Arial"/>
          <w:sz w:val="24"/>
          <w:szCs w:val="24"/>
        </w:rPr>
        <w:t xml:space="preserve">, premio Nobel de Economía, ocupa un lugar principal debido a su exitosa publicación en la revista </w:t>
      </w:r>
      <w:proofErr w:type="spellStart"/>
      <w:r w:rsidR="007E28CD" w:rsidRPr="00670830">
        <w:rPr>
          <w:rFonts w:ascii="Arial" w:eastAsia="Arial Unicode MS" w:hAnsi="Arial" w:cs="Arial"/>
          <w:i/>
          <w:sz w:val="24"/>
          <w:szCs w:val="24"/>
        </w:rPr>
        <w:t>Journal</w:t>
      </w:r>
      <w:proofErr w:type="spellEnd"/>
      <w:r w:rsidR="007E28CD" w:rsidRPr="00670830">
        <w:rPr>
          <w:rFonts w:ascii="Arial" w:eastAsia="Arial Unicode MS" w:hAnsi="Arial" w:cs="Arial"/>
          <w:i/>
          <w:sz w:val="24"/>
          <w:szCs w:val="24"/>
        </w:rPr>
        <w:t xml:space="preserve"> of </w:t>
      </w:r>
      <w:proofErr w:type="spellStart"/>
      <w:r w:rsidR="007E28CD" w:rsidRPr="00670830">
        <w:rPr>
          <w:rFonts w:ascii="Arial" w:eastAsia="Arial Unicode MS" w:hAnsi="Arial" w:cs="Arial"/>
          <w:i/>
          <w:sz w:val="24"/>
          <w:szCs w:val="24"/>
        </w:rPr>
        <w:t>Finance</w:t>
      </w:r>
      <w:proofErr w:type="spellEnd"/>
      <w:r w:rsidR="00A20F14" w:rsidRPr="00670830">
        <w:rPr>
          <w:rFonts w:ascii="Arial" w:eastAsia="Arial Unicode MS" w:hAnsi="Arial" w:cs="Arial"/>
          <w:sz w:val="24"/>
          <w:szCs w:val="24"/>
        </w:rPr>
        <w:t xml:space="preserve"> en 1952.</w:t>
      </w:r>
    </w:p>
    <w:p w:rsidR="007E28CD" w:rsidRPr="00670830" w:rsidRDefault="007E28C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i/>
          <w:sz w:val="24"/>
          <w:szCs w:val="24"/>
        </w:rPr>
        <w:t>El proceso de selección de un portafolio, puede ser dividido en dos etapas. La primera empieza con la observación y la experiencia y termina con la creencia de los retornos futuros de los activos disponibles. La segunda etapa se inicia con las creencias relevantes sobre los retornos futuros y termina con la elección de la cartera. Este documento se refiere a la segunda etapa</w:t>
      </w:r>
      <w:r w:rsidRPr="00670830">
        <w:rPr>
          <w:rFonts w:ascii="Arial" w:eastAsia="Arial Unicode MS" w:hAnsi="Arial" w:cs="Arial"/>
          <w:sz w:val="24"/>
          <w:szCs w:val="24"/>
        </w:rPr>
        <w:t>. [</w:t>
      </w:r>
      <w:proofErr w:type="spellStart"/>
      <w:r w:rsidRPr="00670830">
        <w:rPr>
          <w:rFonts w:ascii="Arial" w:eastAsia="Arial Unicode MS" w:hAnsi="Arial" w:cs="Arial"/>
          <w:sz w:val="24"/>
          <w:szCs w:val="24"/>
        </w:rPr>
        <w:t>Markowitz</w:t>
      </w:r>
      <w:proofErr w:type="spellEnd"/>
      <w:r w:rsidRPr="00670830">
        <w:rPr>
          <w:rFonts w:ascii="Arial" w:eastAsia="Arial Unicode MS" w:hAnsi="Arial" w:cs="Arial"/>
          <w:sz w:val="24"/>
          <w:szCs w:val="24"/>
        </w:rPr>
        <w:t>, 1952]</w:t>
      </w:r>
    </w:p>
    <w:p w:rsidR="004072A9" w:rsidRPr="00670830" w:rsidRDefault="007E28CD" w:rsidP="00670830">
      <w:pPr>
        <w:spacing w:before="100" w:beforeAutospacing="1" w:after="100" w:afterAutospacing="1" w:line="360" w:lineRule="auto"/>
        <w:jc w:val="both"/>
        <w:rPr>
          <w:rFonts w:ascii="Arial" w:eastAsia="Arial Unicode MS" w:hAnsi="Arial" w:cs="Arial"/>
          <w:sz w:val="24"/>
          <w:szCs w:val="24"/>
        </w:rPr>
      </w:pPr>
      <w:proofErr w:type="spellStart"/>
      <w:r w:rsidRPr="00670830">
        <w:rPr>
          <w:rFonts w:ascii="Arial" w:eastAsia="Arial Unicode MS" w:hAnsi="Arial" w:cs="Arial"/>
          <w:sz w:val="24"/>
          <w:szCs w:val="24"/>
        </w:rPr>
        <w:t>Markowitz</w:t>
      </w:r>
      <w:proofErr w:type="spellEnd"/>
      <w:r w:rsidRPr="00670830">
        <w:rPr>
          <w:rFonts w:ascii="Arial" w:eastAsia="Arial Unicode MS" w:hAnsi="Arial" w:cs="Arial"/>
          <w:sz w:val="24"/>
          <w:szCs w:val="24"/>
        </w:rPr>
        <w:t xml:space="preserve"> desarrolla su modelo sobre la base del comportamiento racional del inversor. Es decir, el inversor desea la rentabilidad y rechaza el riesgo. Por lo tanto, para él una cartera será eficiente si proporciona la máxima rentabilidad posible para un riesgo dado, o de forma equivalente, si presenta el menor riesgo posible para un nivel determinado de rentabilidad.</w:t>
      </w:r>
    </w:p>
    <w:p w:rsidR="004072A9" w:rsidRPr="00670830" w:rsidRDefault="004072A9" w:rsidP="00670830">
      <w:pPr>
        <w:spacing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La Diversificación es una forma de reducir el riesgo de </w:t>
      </w:r>
      <w:r w:rsidR="000065A5" w:rsidRPr="00670830">
        <w:rPr>
          <w:rFonts w:ascii="Arial" w:eastAsia="Arial Unicode MS" w:hAnsi="Arial" w:cs="Arial"/>
          <w:sz w:val="24"/>
          <w:szCs w:val="24"/>
        </w:rPr>
        <w:t>una inversión para una cartera</w:t>
      </w:r>
      <w:r w:rsidRPr="00670830">
        <w:rPr>
          <w:rFonts w:ascii="Arial" w:eastAsia="Arial Unicode MS" w:hAnsi="Arial" w:cs="Arial"/>
          <w:sz w:val="24"/>
          <w:szCs w:val="24"/>
        </w:rPr>
        <w:t xml:space="preserve"> incluyendo una gran variedad de activos financieros. Se puede diversificar el riesgo de un portafolio invirtiendo en activos de un número considerable de compañías dentro del mismo sector, sectores complementarios o incluso sectores totalmente diferentes. Muchos tipos de mezclas entre bonos o acciones pueden ser usadas para disminuir el riesgo, pero esto depende de los objetivos de inversión del fondo mutual.</w:t>
      </w:r>
    </w:p>
    <w:p w:rsidR="00D26E05" w:rsidRPr="00670830" w:rsidRDefault="00D26E05"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La metodología propuesta por </w:t>
      </w:r>
      <w:proofErr w:type="spellStart"/>
      <w:r w:rsidRPr="00670830">
        <w:rPr>
          <w:rFonts w:ascii="Arial" w:eastAsia="Arial Unicode MS" w:hAnsi="Arial" w:cs="Arial"/>
          <w:sz w:val="24"/>
          <w:szCs w:val="24"/>
        </w:rPr>
        <w:t>Markowitz</w:t>
      </w:r>
      <w:proofErr w:type="spellEnd"/>
      <w:r w:rsidRPr="00670830">
        <w:rPr>
          <w:rFonts w:ascii="Arial" w:eastAsia="Arial Unicode MS" w:hAnsi="Arial" w:cs="Arial"/>
          <w:sz w:val="24"/>
          <w:szCs w:val="24"/>
        </w:rPr>
        <w:t xml:space="preserve"> es uno de los pilares fundamentales de las finanzas modernas, y permite a los agentes de mercado determinar de manera eficiente</w:t>
      </w:r>
      <w:r w:rsidR="000065A5" w:rsidRPr="00670830">
        <w:rPr>
          <w:rFonts w:ascii="Arial" w:eastAsia="Arial Unicode MS" w:hAnsi="Arial" w:cs="Arial"/>
          <w:sz w:val="24"/>
          <w:szCs w:val="24"/>
        </w:rPr>
        <w:t xml:space="preserve"> carteras</w:t>
      </w:r>
      <w:r w:rsidRPr="00670830">
        <w:rPr>
          <w:rFonts w:ascii="Arial" w:eastAsia="Arial Unicode MS" w:hAnsi="Arial" w:cs="Arial"/>
          <w:sz w:val="24"/>
          <w:szCs w:val="24"/>
        </w:rPr>
        <w:t xml:space="preserve"> de inversión en los cuales destinan sus excedentes de liquidez.</w:t>
      </w:r>
    </w:p>
    <w:p w:rsidR="007E28CD" w:rsidRPr="00670830" w:rsidRDefault="004072A9"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De acuerdo a la t</w:t>
      </w:r>
      <w:r w:rsidR="00B242A9" w:rsidRPr="00670830">
        <w:rPr>
          <w:rFonts w:ascii="Arial" w:eastAsia="Arial Unicode MS" w:hAnsi="Arial" w:cs="Arial"/>
          <w:sz w:val="24"/>
          <w:szCs w:val="24"/>
        </w:rPr>
        <w:t>eoría de Selección de Cartera</w:t>
      </w:r>
      <w:r w:rsidRPr="00670830">
        <w:rPr>
          <w:rFonts w:ascii="Arial" w:eastAsia="Arial Unicode MS" w:hAnsi="Arial" w:cs="Arial"/>
          <w:sz w:val="24"/>
          <w:szCs w:val="24"/>
        </w:rPr>
        <w:t>s de Inversión, e</w:t>
      </w:r>
      <w:r w:rsidR="007E28CD" w:rsidRPr="00670830">
        <w:rPr>
          <w:rFonts w:ascii="Arial" w:eastAsia="Arial Unicode MS" w:hAnsi="Arial" w:cs="Arial"/>
          <w:sz w:val="24"/>
          <w:szCs w:val="24"/>
        </w:rPr>
        <w:t>l conjunto de carteras eficientes puede calcularse resolviendo el siguiente programa cuadrático paramétrico:</w:t>
      </w:r>
    </w:p>
    <w:p w:rsidR="007E28CD" w:rsidRPr="00670830" w:rsidRDefault="007E28CD" w:rsidP="00670830">
      <w:pPr>
        <w:spacing w:before="100" w:beforeAutospacing="1" w:after="100" w:afterAutospacing="1" w:line="360" w:lineRule="auto"/>
        <w:jc w:val="both"/>
        <w:rPr>
          <w:rFonts w:ascii="Arial" w:eastAsia="Arial Unicode MS" w:hAnsi="Arial" w:cs="Arial"/>
          <w:sz w:val="24"/>
          <w:szCs w:val="24"/>
        </w:rPr>
      </w:pPr>
      <m:oMathPara>
        <m:oMathParaPr>
          <m:jc m:val="center"/>
        </m:oMathParaPr>
        <m:oMath>
          <m:r>
            <w:rPr>
              <w:rFonts w:ascii="Cambria Math" w:eastAsia="Arial Unicode MS" w:hAnsi="Cambria Math" w:cs="Arial"/>
              <w:sz w:val="24"/>
              <w:szCs w:val="24"/>
            </w:rPr>
            <m:t xml:space="preserve">Min </m:t>
          </m:r>
          <m:sSup>
            <m:sSupPr>
              <m:ctrlPr>
                <w:rPr>
                  <w:rFonts w:ascii="Cambria Math" w:eastAsia="Arial Unicode MS" w:hAnsi="Cambria Math" w:cs="Arial"/>
                  <w:i/>
                  <w:sz w:val="24"/>
                  <w:szCs w:val="24"/>
                </w:rPr>
              </m:ctrlPr>
            </m:sSupPr>
            <m:e>
              <m:r>
                <w:rPr>
                  <w:rFonts w:ascii="Cambria Math" w:eastAsia="Arial Unicode MS" w:hAnsi="Cambria Math" w:cs="Arial"/>
                  <w:sz w:val="24"/>
                  <w:szCs w:val="24"/>
                </w:rPr>
                <m:t>σ</m:t>
              </m:r>
            </m:e>
            <m:sup>
              <m:r>
                <w:rPr>
                  <w:rFonts w:ascii="Cambria Math" w:eastAsia="Arial Unicode MS" w:hAnsi="Cambria Math" w:cs="Arial"/>
                  <w:sz w:val="24"/>
                  <w:szCs w:val="24"/>
                </w:rPr>
                <m:t>2</m:t>
              </m:r>
            </m:sup>
          </m:sSup>
          <m:d>
            <m:dPr>
              <m:ctrlPr>
                <w:rPr>
                  <w:rFonts w:ascii="Cambria Math" w:eastAsia="Arial Unicode MS" w:hAnsi="Cambria Math" w:cs="Arial"/>
                  <w:i/>
                  <w:sz w:val="24"/>
                  <w:szCs w:val="24"/>
                </w:rPr>
              </m:ctrlPr>
            </m:dPr>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p</m:t>
                  </m:r>
                </m:sub>
              </m:sSub>
            </m:e>
          </m:d>
          <m:r>
            <w:rPr>
              <w:rFonts w:ascii="Cambria Math" w:eastAsia="Arial Unicode MS" w:hAnsi="Cambria Math" w:cs="Arial"/>
              <w:sz w:val="24"/>
              <w:szCs w:val="24"/>
            </w:rPr>
            <m:t>=</m:t>
          </m:r>
          <m:nary>
            <m:naryPr>
              <m:chr m:val="∑"/>
              <m:limLoc m:val="undOvr"/>
              <m:ctrlPr>
                <w:rPr>
                  <w:rFonts w:ascii="Cambria Math" w:eastAsia="Arial Unicode MS" w:hAnsi="Cambria Math" w:cs="Arial"/>
                  <w:i/>
                  <w:sz w:val="24"/>
                  <w:szCs w:val="24"/>
                </w:rPr>
              </m:ctrlPr>
            </m:naryPr>
            <m:sub>
              <m:r>
                <w:rPr>
                  <w:rFonts w:ascii="Cambria Math" w:eastAsia="Arial Unicode MS" w:hAnsi="Cambria Math" w:cs="Arial"/>
                  <w:sz w:val="24"/>
                  <w:szCs w:val="24"/>
                </w:rPr>
                <m:t>i=1</m:t>
              </m:r>
            </m:sub>
            <m:sup>
              <m:r>
                <w:rPr>
                  <w:rFonts w:ascii="Cambria Math" w:eastAsia="Arial Unicode MS" w:hAnsi="Cambria Math" w:cs="Arial"/>
                  <w:sz w:val="24"/>
                  <w:szCs w:val="24"/>
                </w:rPr>
                <m:t>n</m:t>
              </m:r>
            </m:sup>
            <m:e>
              <m:nary>
                <m:naryPr>
                  <m:chr m:val="∑"/>
                  <m:limLoc m:val="undOvr"/>
                  <m:ctrlPr>
                    <w:rPr>
                      <w:rFonts w:ascii="Cambria Math" w:eastAsia="Arial Unicode MS" w:hAnsi="Cambria Math" w:cs="Arial"/>
                      <w:i/>
                      <w:sz w:val="24"/>
                      <w:szCs w:val="24"/>
                    </w:rPr>
                  </m:ctrlPr>
                </m:naryPr>
                <m:sub>
                  <m:r>
                    <w:rPr>
                      <w:rFonts w:ascii="Cambria Math" w:eastAsia="Arial Unicode MS" w:hAnsi="Cambria Math" w:cs="Arial"/>
                      <w:sz w:val="24"/>
                      <w:szCs w:val="24"/>
                    </w:rPr>
                    <m:t>j=1</m:t>
                  </m:r>
                </m:sub>
                <m:sup>
                  <m:r>
                    <w:rPr>
                      <w:rFonts w:ascii="Cambria Math" w:eastAsia="Arial Unicode MS" w:hAnsi="Cambria Math" w:cs="Arial"/>
                      <w:sz w:val="24"/>
                      <w:szCs w:val="24"/>
                    </w:rPr>
                    <m:t>n</m:t>
                  </m:r>
                </m:sup>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x</m:t>
                      </m:r>
                    </m:e>
                    <m:sub>
                      <m:r>
                        <w:rPr>
                          <w:rFonts w:ascii="Cambria Math" w:eastAsia="Arial Unicode MS" w:hAnsi="Cambria Math" w:cs="Arial"/>
                          <w:sz w:val="24"/>
                          <w:szCs w:val="24"/>
                        </w:rPr>
                        <m:t>i</m:t>
                      </m:r>
                    </m:sub>
                  </m:sSub>
                  <m:r>
                    <w:rPr>
                      <w:rFonts w:ascii="Cambria Math" w:eastAsia="Arial Unicode MS" w:hAnsi="Cambria Math" w:cs="Arial"/>
                      <w:sz w:val="24"/>
                      <w:szCs w:val="24"/>
                    </w:rPr>
                    <m:t>.</m:t>
                  </m:r>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x</m:t>
                      </m:r>
                    </m:e>
                    <m:sub>
                      <m:r>
                        <w:rPr>
                          <w:rFonts w:ascii="Cambria Math" w:eastAsia="Arial Unicode MS" w:hAnsi="Cambria Math" w:cs="Arial"/>
                          <w:sz w:val="24"/>
                          <w:szCs w:val="24"/>
                        </w:rPr>
                        <m:t>j</m:t>
                      </m:r>
                    </m:sub>
                  </m:sSub>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σ</m:t>
                      </m:r>
                    </m:e>
                    <m:sub>
                      <m:r>
                        <w:rPr>
                          <w:rFonts w:ascii="Cambria Math" w:eastAsia="Arial Unicode MS" w:hAnsi="Cambria Math" w:cs="Arial"/>
                          <w:sz w:val="24"/>
                          <w:szCs w:val="24"/>
                        </w:rPr>
                        <m:t>ij</m:t>
                      </m:r>
                    </m:sub>
                  </m:sSub>
                </m:e>
              </m:nary>
            </m:e>
          </m:nary>
        </m:oMath>
      </m:oMathPara>
    </w:p>
    <w:p w:rsidR="007E28CD" w:rsidRPr="00670830" w:rsidRDefault="007E28CD" w:rsidP="00670830">
      <w:pPr>
        <w:spacing w:before="100" w:beforeAutospacing="1" w:after="100" w:afterAutospacing="1" w:line="360" w:lineRule="auto"/>
        <w:rPr>
          <w:rFonts w:ascii="Arial" w:eastAsia="Arial Unicode MS" w:hAnsi="Arial" w:cs="Arial"/>
          <w:sz w:val="24"/>
          <w:szCs w:val="24"/>
        </w:rPr>
      </w:pPr>
      <w:r w:rsidRPr="00670830">
        <w:rPr>
          <w:rFonts w:ascii="Arial" w:eastAsia="Arial Unicode MS" w:hAnsi="Arial" w:cs="Arial"/>
          <w:sz w:val="24"/>
          <w:szCs w:val="24"/>
        </w:rPr>
        <w:t>Sujeto a:</w:t>
      </w:r>
    </w:p>
    <w:p w:rsidR="007E28CD" w:rsidRPr="00670830" w:rsidRDefault="007E28CD" w:rsidP="00670830">
      <w:pPr>
        <w:spacing w:before="100" w:beforeAutospacing="1" w:after="100" w:afterAutospacing="1" w:line="360" w:lineRule="auto"/>
        <w:rPr>
          <w:rFonts w:ascii="Arial" w:eastAsia="Arial Unicode MS" w:hAnsi="Arial" w:cs="Arial"/>
          <w:sz w:val="24"/>
          <w:szCs w:val="24"/>
        </w:rPr>
      </w:pPr>
      <m:oMathPara>
        <m:oMathParaPr>
          <m:jc m:val="center"/>
        </m:oMathParaPr>
        <m:oMath>
          <m:r>
            <w:rPr>
              <w:rFonts w:ascii="Cambria Math" w:eastAsia="Arial Unicode MS" w:hAnsi="Cambria Math" w:cs="Arial"/>
              <w:sz w:val="24"/>
              <w:szCs w:val="24"/>
            </w:rPr>
            <m:t>E</m:t>
          </m:r>
          <m:d>
            <m:dPr>
              <m:ctrlPr>
                <w:rPr>
                  <w:rFonts w:ascii="Cambria Math" w:eastAsia="Arial Unicode MS" w:hAnsi="Cambria Math" w:cs="Arial"/>
                  <w:i/>
                  <w:sz w:val="24"/>
                  <w:szCs w:val="24"/>
                </w:rPr>
              </m:ctrlPr>
            </m:dPr>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p</m:t>
                  </m:r>
                </m:sub>
              </m:sSub>
            </m:e>
          </m:d>
          <m:r>
            <w:rPr>
              <w:rFonts w:ascii="Cambria Math" w:eastAsia="Arial Unicode MS" w:hAnsi="Cambria Math" w:cs="Arial"/>
              <w:sz w:val="24"/>
              <w:szCs w:val="24"/>
            </w:rPr>
            <m:t>=</m:t>
          </m:r>
          <m:nary>
            <m:naryPr>
              <m:chr m:val="∑"/>
              <m:limLoc m:val="undOvr"/>
              <m:ctrlPr>
                <w:rPr>
                  <w:rFonts w:ascii="Cambria Math" w:eastAsia="Arial Unicode MS" w:hAnsi="Cambria Math" w:cs="Arial"/>
                  <w:i/>
                  <w:sz w:val="24"/>
                  <w:szCs w:val="24"/>
                </w:rPr>
              </m:ctrlPr>
            </m:naryPr>
            <m:sub>
              <m:r>
                <w:rPr>
                  <w:rFonts w:ascii="Cambria Math" w:eastAsia="Arial Unicode MS" w:hAnsi="Cambria Math" w:cs="Arial"/>
                  <w:sz w:val="24"/>
                  <w:szCs w:val="24"/>
                </w:rPr>
                <m:t>i=1</m:t>
              </m:r>
            </m:sub>
            <m:sup>
              <m:r>
                <w:rPr>
                  <w:rFonts w:ascii="Cambria Math" w:eastAsia="Arial Unicode MS" w:hAnsi="Cambria Math" w:cs="Arial"/>
                  <w:sz w:val="24"/>
                  <w:szCs w:val="24"/>
                </w:rPr>
                <m:t>n</m:t>
              </m:r>
            </m:sup>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x</m:t>
                  </m:r>
                </m:e>
                <m:sub>
                  <m:r>
                    <w:rPr>
                      <w:rFonts w:ascii="Cambria Math" w:eastAsia="Arial Unicode MS" w:hAnsi="Cambria Math" w:cs="Arial"/>
                      <w:sz w:val="24"/>
                      <w:szCs w:val="24"/>
                    </w:rPr>
                    <m:t>i</m:t>
                  </m:r>
                </m:sub>
              </m:sSub>
            </m:e>
          </m:nary>
          <m:r>
            <w:rPr>
              <w:rFonts w:ascii="Cambria Math" w:eastAsia="Arial Unicode MS" w:hAnsi="Cambria Math" w:cs="Arial"/>
              <w:sz w:val="24"/>
              <w:szCs w:val="24"/>
            </w:rPr>
            <m:t xml:space="preserve"> . E</m:t>
          </m:r>
          <m:d>
            <m:dPr>
              <m:ctrlPr>
                <w:rPr>
                  <w:rFonts w:ascii="Cambria Math" w:eastAsia="Arial Unicode MS" w:hAnsi="Cambria Math" w:cs="Arial"/>
                  <w:i/>
                  <w:sz w:val="24"/>
                  <w:szCs w:val="24"/>
                </w:rPr>
              </m:ctrlPr>
            </m:dPr>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i</m:t>
                  </m:r>
                </m:sub>
              </m:sSub>
            </m:e>
          </m:d>
          <m:r>
            <w:rPr>
              <w:rFonts w:ascii="Cambria Math" w:eastAsia="Arial Unicode MS" w:hAnsi="Cambria Math" w:cs="Arial"/>
              <w:sz w:val="24"/>
              <w:szCs w:val="24"/>
            </w:rPr>
            <m:t>=</m:t>
          </m:r>
          <m:sSup>
            <m:sSupPr>
              <m:ctrlPr>
                <w:rPr>
                  <w:rFonts w:ascii="Cambria Math" w:eastAsia="Arial Unicode MS" w:hAnsi="Cambria Math" w:cs="Arial"/>
                  <w:i/>
                  <w:sz w:val="24"/>
                  <w:szCs w:val="24"/>
                </w:rPr>
              </m:ctrlPr>
            </m:sSupPr>
            <m:e>
              <m:r>
                <w:rPr>
                  <w:rFonts w:ascii="Cambria Math" w:eastAsia="Arial Unicode MS" w:hAnsi="Cambria Math" w:cs="Arial"/>
                  <w:sz w:val="24"/>
                  <w:szCs w:val="24"/>
                </w:rPr>
                <m:t>V</m:t>
              </m:r>
            </m:e>
            <m:sup>
              <m:r>
                <w:rPr>
                  <w:rFonts w:ascii="Cambria Math" w:eastAsia="Arial Unicode MS" w:hAnsi="Cambria Math" w:cs="Arial"/>
                  <w:sz w:val="24"/>
                  <w:szCs w:val="24"/>
                </w:rPr>
                <m:t>*</m:t>
              </m:r>
            </m:sup>
          </m:sSup>
        </m:oMath>
      </m:oMathPara>
    </w:p>
    <w:p w:rsidR="007E28CD" w:rsidRPr="00670830" w:rsidRDefault="00AC26BD" w:rsidP="00670830">
      <w:pPr>
        <w:spacing w:before="100" w:beforeAutospacing="1" w:after="100" w:afterAutospacing="1" w:line="360" w:lineRule="auto"/>
        <w:rPr>
          <w:rFonts w:ascii="Arial" w:eastAsia="Arial Unicode MS" w:hAnsi="Arial" w:cs="Arial"/>
          <w:sz w:val="24"/>
          <w:szCs w:val="24"/>
        </w:rPr>
      </w:pPr>
      <m:oMathPara>
        <m:oMathParaPr>
          <m:jc m:val="center"/>
        </m:oMathParaPr>
        <m:oMath>
          <m:nary>
            <m:naryPr>
              <m:chr m:val="∑"/>
              <m:limLoc m:val="undOvr"/>
              <m:ctrlPr>
                <w:rPr>
                  <w:rFonts w:ascii="Cambria Math" w:eastAsia="Arial Unicode MS" w:hAnsi="Cambria Math" w:cs="Arial"/>
                  <w:i/>
                  <w:sz w:val="24"/>
                  <w:szCs w:val="24"/>
                </w:rPr>
              </m:ctrlPr>
            </m:naryPr>
            <m:sub>
              <m:r>
                <w:rPr>
                  <w:rFonts w:ascii="Cambria Math" w:eastAsia="Arial Unicode MS" w:hAnsi="Cambria Math" w:cs="Arial"/>
                  <w:sz w:val="24"/>
                  <w:szCs w:val="24"/>
                </w:rPr>
                <m:t>i=1</m:t>
              </m:r>
            </m:sub>
            <m:sup>
              <m:r>
                <w:rPr>
                  <w:rFonts w:ascii="Cambria Math" w:eastAsia="Arial Unicode MS" w:hAnsi="Cambria Math" w:cs="Arial"/>
                  <w:sz w:val="24"/>
                  <w:szCs w:val="24"/>
                </w:rPr>
                <m:t>n</m:t>
              </m:r>
            </m:sup>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x</m:t>
                  </m:r>
                </m:e>
                <m:sub>
                  <m:r>
                    <w:rPr>
                      <w:rFonts w:ascii="Cambria Math" w:eastAsia="Arial Unicode MS" w:hAnsi="Cambria Math" w:cs="Arial"/>
                      <w:sz w:val="24"/>
                      <w:szCs w:val="24"/>
                    </w:rPr>
                    <m:t>i</m:t>
                  </m:r>
                </m:sub>
              </m:sSub>
            </m:e>
          </m:nary>
          <m:r>
            <w:rPr>
              <w:rFonts w:ascii="Cambria Math" w:eastAsia="Arial Unicode MS" w:hAnsi="Cambria Math" w:cs="Arial"/>
              <w:sz w:val="24"/>
              <w:szCs w:val="24"/>
            </w:rPr>
            <m:t xml:space="preserve"> =1</m:t>
          </m:r>
        </m:oMath>
      </m:oMathPara>
    </w:p>
    <w:p w:rsidR="007E28CD" w:rsidRPr="00670830" w:rsidRDefault="00AC26BD" w:rsidP="00670830">
      <w:pPr>
        <w:spacing w:before="100" w:beforeAutospacing="1" w:after="100" w:afterAutospacing="1" w:line="360" w:lineRule="auto"/>
        <w:rPr>
          <w:rFonts w:ascii="Arial" w:eastAsia="Arial Unicode MS" w:hAnsi="Arial" w:cs="Arial"/>
          <w:sz w:val="24"/>
          <w:szCs w:val="24"/>
        </w:rPr>
      </w:pPr>
      <m:oMathPara>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x</m:t>
              </m:r>
            </m:e>
            <m:sub>
              <m:r>
                <w:rPr>
                  <w:rFonts w:ascii="Cambria Math" w:eastAsia="Arial Unicode MS" w:hAnsi="Cambria Math" w:cs="Arial"/>
                  <w:sz w:val="24"/>
                  <w:szCs w:val="24"/>
                </w:rPr>
                <m:t>i</m:t>
              </m:r>
            </m:sub>
          </m:sSub>
          <m:r>
            <w:rPr>
              <w:rFonts w:ascii="Cambria Math" w:eastAsia="Arial Unicode MS" w:hAnsi="Cambria Math" w:cs="Arial"/>
              <w:sz w:val="24"/>
              <w:szCs w:val="24"/>
            </w:rPr>
            <m:t xml:space="preserve">≥0  </m:t>
          </m:r>
          <m:d>
            <m:dPr>
              <m:ctrlPr>
                <w:rPr>
                  <w:rFonts w:ascii="Cambria Math" w:eastAsia="Arial Unicode MS" w:hAnsi="Cambria Math" w:cs="Arial"/>
                  <w:i/>
                  <w:sz w:val="24"/>
                  <w:szCs w:val="24"/>
                </w:rPr>
              </m:ctrlPr>
            </m:dPr>
            <m:e>
              <m:r>
                <w:rPr>
                  <w:rFonts w:ascii="Cambria Math" w:eastAsia="Arial Unicode MS" w:hAnsi="Cambria Math" w:cs="Arial"/>
                  <w:sz w:val="24"/>
                  <w:szCs w:val="24"/>
                </w:rPr>
                <m:t>i=1, …, n</m:t>
              </m:r>
            </m:e>
          </m:d>
        </m:oMath>
      </m:oMathPara>
    </w:p>
    <w:p w:rsidR="00A20F14" w:rsidRPr="00670830" w:rsidRDefault="00A20F14" w:rsidP="00670830">
      <w:pPr>
        <w:spacing w:before="100" w:beforeAutospacing="1" w:after="100" w:afterAutospacing="1" w:line="360" w:lineRule="auto"/>
        <w:rPr>
          <w:rFonts w:ascii="Arial" w:eastAsia="Arial Unicode MS" w:hAnsi="Arial" w:cs="Arial"/>
          <w:sz w:val="24"/>
          <w:szCs w:val="24"/>
        </w:rPr>
      </w:pPr>
    </w:p>
    <w:p w:rsidR="00A20F14" w:rsidRPr="00670830" w:rsidRDefault="00233593" w:rsidP="00670830">
      <w:pPr>
        <w:spacing w:before="100" w:beforeAutospacing="1" w:after="100" w:afterAutospacing="1" w:line="360" w:lineRule="auto"/>
        <w:rPr>
          <w:rFonts w:ascii="Arial" w:eastAsia="Arial Unicode MS" w:hAnsi="Arial" w:cs="Arial"/>
          <w:sz w:val="24"/>
          <w:szCs w:val="24"/>
        </w:rPr>
      </w:pPr>
      <w:proofErr w:type="spellStart"/>
      <w:r w:rsidRPr="00670830">
        <w:rPr>
          <w:rFonts w:ascii="Arial" w:eastAsia="Arial Unicode MS" w:hAnsi="Arial" w:cs="Arial"/>
          <w:sz w:val="24"/>
          <w:szCs w:val="24"/>
        </w:rPr>
        <w:t>Donde</w:t>
      </w:r>
      <w:proofErr w:type="spellEnd"/>
      <w:r w:rsidRPr="00670830">
        <w:rPr>
          <w:rFonts w:ascii="Arial" w:eastAsia="Arial Unicode MS" w:hAnsi="Arial" w:cs="Arial"/>
          <w:sz w:val="24"/>
          <w:szCs w:val="24"/>
        </w:rPr>
        <w:t>:</w:t>
      </w:r>
    </w:p>
    <w:p w:rsidR="007E28CD" w:rsidRPr="00670830" w:rsidRDefault="00AC26BD" w:rsidP="00670830">
      <w:pPr>
        <w:spacing w:before="100" w:beforeAutospacing="1" w:after="100" w:afterAutospacing="1" w:line="360" w:lineRule="auto"/>
        <w:rPr>
          <w:rFonts w:ascii="Arial" w:eastAsia="Arial Unicode MS" w:hAnsi="Arial" w:cs="Arial"/>
          <w:i/>
          <w:sz w:val="24"/>
          <w:szCs w:val="24"/>
        </w:rPr>
      </w:pPr>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x</m:t>
            </m:r>
          </m:e>
          <m:sub>
            <m:r>
              <w:rPr>
                <w:rFonts w:ascii="Cambria Math" w:eastAsia="Arial Unicode MS" w:hAnsi="Cambria Math" w:cs="Arial"/>
                <w:sz w:val="24"/>
                <w:szCs w:val="24"/>
              </w:rPr>
              <m:t>i</m:t>
            </m:r>
          </m:sub>
        </m:sSub>
        <m:r>
          <w:rPr>
            <w:rFonts w:ascii="Cambria Math" w:eastAsia="Arial Unicode MS" w:hAnsi="Cambria Math" w:cs="Arial"/>
            <w:sz w:val="24"/>
            <w:szCs w:val="24"/>
          </w:rPr>
          <m:t>=</m:t>
        </m:r>
      </m:oMath>
      <w:r w:rsidR="007E28CD" w:rsidRPr="00670830">
        <w:rPr>
          <w:rFonts w:ascii="Arial" w:eastAsia="Arial Unicode MS" w:hAnsi="Arial" w:cs="Arial"/>
          <w:sz w:val="24"/>
          <w:szCs w:val="24"/>
        </w:rPr>
        <w:t xml:space="preserve"> </w:t>
      </w:r>
      <w:proofErr w:type="gramStart"/>
      <w:r w:rsidR="007E28CD" w:rsidRPr="00670830">
        <w:rPr>
          <w:rFonts w:ascii="Arial" w:eastAsia="Arial Unicode MS" w:hAnsi="Arial" w:cs="Arial"/>
          <w:sz w:val="24"/>
          <w:szCs w:val="24"/>
        </w:rPr>
        <w:t>es</w:t>
      </w:r>
      <w:proofErr w:type="gramEnd"/>
      <w:r w:rsidR="007E28CD" w:rsidRPr="00670830">
        <w:rPr>
          <w:rFonts w:ascii="Arial" w:eastAsia="Arial Unicode MS" w:hAnsi="Arial" w:cs="Arial"/>
          <w:sz w:val="24"/>
          <w:szCs w:val="24"/>
        </w:rPr>
        <w:t xml:space="preserve"> la proporción del presupuesto del inversor destinado al activo financiero </w:t>
      </w:r>
      <w:r w:rsidR="007E28CD" w:rsidRPr="00670830">
        <w:rPr>
          <w:rFonts w:ascii="Arial" w:eastAsia="Arial Unicode MS" w:hAnsi="Arial" w:cs="Arial"/>
          <w:i/>
          <w:sz w:val="24"/>
          <w:szCs w:val="24"/>
        </w:rPr>
        <w:t>i</w:t>
      </w:r>
    </w:p>
    <w:p w:rsidR="007E28CD" w:rsidRPr="00670830" w:rsidRDefault="00AC26BD" w:rsidP="00670830">
      <w:pPr>
        <w:spacing w:before="100" w:beforeAutospacing="1" w:after="100" w:afterAutospacing="1" w:line="360" w:lineRule="auto"/>
        <w:rPr>
          <w:rFonts w:ascii="Arial" w:eastAsia="Arial Unicode MS" w:hAnsi="Arial" w:cs="Arial"/>
          <w:i/>
          <w:sz w:val="24"/>
          <w:szCs w:val="24"/>
        </w:rPr>
      </w:pPr>
      <m:oMath>
        <m:sSup>
          <m:sSupPr>
            <m:ctrlPr>
              <w:rPr>
                <w:rFonts w:ascii="Cambria Math" w:eastAsia="Arial Unicode MS" w:hAnsi="Cambria Math" w:cs="Arial"/>
                <w:i/>
                <w:sz w:val="24"/>
                <w:szCs w:val="24"/>
              </w:rPr>
            </m:ctrlPr>
          </m:sSupPr>
          <m:e>
            <m:r>
              <w:rPr>
                <w:rFonts w:ascii="Cambria Math" w:eastAsia="Arial Unicode MS" w:hAnsi="Cambria Math" w:cs="Arial"/>
                <w:sz w:val="24"/>
                <w:szCs w:val="24"/>
              </w:rPr>
              <m:t>σ</m:t>
            </m:r>
          </m:e>
          <m:sup>
            <m:r>
              <w:rPr>
                <w:rFonts w:ascii="Cambria Math" w:eastAsia="Arial Unicode MS" w:hAnsi="Cambria Math" w:cs="Arial"/>
                <w:sz w:val="24"/>
                <w:szCs w:val="24"/>
              </w:rPr>
              <m:t>2</m:t>
            </m:r>
          </m:sup>
        </m:sSup>
        <m:d>
          <m:dPr>
            <m:ctrlPr>
              <w:rPr>
                <w:rFonts w:ascii="Cambria Math" w:eastAsia="Arial Unicode MS" w:hAnsi="Cambria Math" w:cs="Arial"/>
                <w:i/>
                <w:sz w:val="24"/>
                <w:szCs w:val="24"/>
              </w:rPr>
            </m:ctrlPr>
          </m:dPr>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p</m:t>
                </m:r>
              </m:sub>
            </m:sSub>
          </m:e>
        </m:d>
        <m:r>
          <w:rPr>
            <w:rFonts w:ascii="Cambria Math" w:eastAsia="Arial Unicode MS" w:hAnsi="Cambria Math" w:cs="Arial"/>
            <w:sz w:val="24"/>
            <w:szCs w:val="24"/>
          </w:rPr>
          <m:t>=</m:t>
        </m:r>
      </m:oMath>
      <w:r w:rsidR="007E28CD" w:rsidRPr="00670830">
        <w:rPr>
          <w:rFonts w:ascii="Arial" w:eastAsia="Arial Unicode MS" w:hAnsi="Arial" w:cs="Arial"/>
          <w:sz w:val="24"/>
          <w:szCs w:val="24"/>
        </w:rPr>
        <w:t xml:space="preserve"> </w:t>
      </w:r>
      <w:proofErr w:type="gramStart"/>
      <w:r w:rsidR="007E28CD" w:rsidRPr="00670830">
        <w:rPr>
          <w:rFonts w:ascii="Arial" w:eastAsia="Arial Unicode MS" w:hAnsi="Arial" w:cs="Arial"/>
          <w:sz w:val="24"/>
          <w:szCs w:val="24"/>
        </w:rPr>
        <w:t>es</w:t>
      </w:r>
      <w:proofErr w:type="gramEnd"/>
      <w:r w:rsidR="007E28CD" w:rsidRPr="00670830">
        <w:rPr>
          <w:rFonts w:ascii="Arial" w:eastAsia="Arial Unicode MS" w:hAnsi="Arial" w:cs="Arial"/>
          <w:sz w:val="24"/>
          <w:szCs w:val="24"/>
        </w:rPr>
        <w:t xml:space="preserve"> la varianza de la cartera </w:t>
      </w:r>
      <w:r w:rsidR="007E28CD" w:rsidRPr="00670830">
        <w:rPr>
          <w:rFonts w:ascii="Arial" w:eastAsia="Arial Unicode MS" w:hAnsi="Arial" w:cs="Arial"/>
          <w:i/>
          <w:sz w:val="24"/>
          <w:szCs w:val="24"/>
        </w:rPr>
        <w:t>p</w:t>
      </w:r>
    </w:p>
    <w:p w:rsidR="007E28CD" w:rsidRPr="00670830" w:rsidRDefault="00AC26BD" w:rsidP="00670830">
      <w:pPr>
        <w:spacing w:before="100" w:beforeAutospacing="1" w:after="100" w:afterAutospacing="1" w:line="360" w:lineRule="auto"/>
        <w:rPr>
          <w:rFonts w:ascii="Arial" w:eastAsia="Arial Unicode MS" w:hAnsi="Arial" w:cs="Arial"/>
          <w:i/>
          <w:sz w:val="24"/>
          <w:szCs w:val="24"/>
        </w:rPr>
      </w:pPr>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σ</m:t>
            </m:r>
          </m:e>
          <m:sub>
            <m:r>
              <w:rPr>
                <w:rFonts w:ascii="Cambria Math" w:eastAsia="Arial Unicode MS" w:hAnsi="Cambria Math" w:cs="Arial"/>
                <w:sz w:val="24"/>
                <w:szCs w:val="24"/>
              </w:rPr>
              <m:t>ij</m:t>
            </m:r>
          </m:sub>
        </m:sSub>
        <m:r>
          <w:rPr>
            <w:rFonts w:ascii="Cambria Math" w:eastAsia="Arial Unicode MS" w:hAnsi="Cambria Math" w:cs="Arial"/>
            <w:sz w:val="24"/>
            <w:szCs w:val="24"/>
          </w:rPr>
          <m:t>=</m:t>
        </m:r>
      </m:oMath>
      <w:r w:rsidR="007E28CD" w:rsidRPr="00670830">
        <w:rPr>
          <w:rFonts w:ascii="Arial" w:eastAsia="Arial Unicode MS" w:hAnsi="Arial" w:cs="Arial"/>
          <w:sz w:val="24"/>
          <w:szCs w:val="24"/>
        </w:rPr>
        <w:t xml:space="preserve"> </w:t>
      </w:r>
      <w:proofErr w:type="gramStart"/>
      <w:r w:rsidR="007E28CD" w:rsidRPr="00670830">
        <w:rPr>
          <w:rFonts w:ascii="Arial" w:eastAsia="Arial Unicode MS" w:hAnsi="Arial" w:cs="Arial"/>
          <w:sz w:val="24"/>
          <w:szCs w:val="24"/>
        </w:rPr>
        <w:t>es</w:t>
      </w:r>
      <w:proofErr w:type="gramEnd"/>
      <w:r w:rsidR="007E28CD" w:rsidRPr="00670830">
        <w:rPr>
          <w:rFonts w:ascii="Arial" w:eastAsia="Arial Unicode MS" w:hAnsi="Arial" w:cs="Arial"/>
          <w:sz w:val="24"/>
          <w:szCs w:val="24"/>
        </w:rPr>
        <w:t xml:space="preserve"> la covarianza entre los rendimientos de los valores </w:t>
      </w:r>
      <w:r w:rsidR="007E28CD" w:rsidRPr="00670830">
        <w:rPr>
          <w:rFonts w:ascii="Arial" w:eastAsia="Arial Unicode MS" w:hAnsi="Arial" w:cs="Arial"/>
          <w:i/>
          <w:sz w:val="24"/>
          <w:szCs w:val="24"/>
        </w:rPr>
        <w:t>i</w:t>
      </w:r>
      <w:r w:rsidR="007E28CD" w:rsidRPr="00670830">
        <w:rPr>
          <w:rFonts w:ascii="Arial" w:eastAsia="Arial Unicode MS" w:hAnsi="Arial" w:cs="Arial"/>
          <w:sz w:val="24"/>
          <w:szCs w:val="24"/>
        </w:rPr>
        <w:t xml:space="preserve"> y </w:t>
      </w:r>
      <w:r w:rsidR="007E28CD" w:rsidRPr="00670830">
        <w:rPr>
          <w:rFonts w:ascii="Arial" w:eastAsia="Arial Unicode MS" w:hAnsi="Arial" w:cs="Arial"/>
          <w:i/>
          <w:sz w:val="24"/>
          <w:szCs w:val="24"/>
        </w:rPr>
        <w:t>j.</w:t>
      </w:r>
    </w:p>
    <w:p w:rsidR="00A20F14" w:rsidRPr="00670830" w:rsidRDefault="007E28CD" w:rsidP="00670830">
      <w:pPr>
        <w:spacing w:before="100" w:beforeAutospacing="1" w:after="100" w:afterAutospacing="1" w:line="360" w:lineRule="auto"/>
        <w:rPr>
          <w:rFonts w:ascii="Arial" w:eastAsia="Arial Unicode MS" w:hAnsi="Arial" w:cs="Arial"/>
          <w:i/>
          <w:sz w:val="24"/>
          <w:szCs w:val="24"/>
        </w:rPr>
      </w:pPr>
      <m:oMath>
        <m:r>
          <w:rPr>
            <w:rFonts w:ascii="Cambria Math" w:eastAsia="Arial Unicode MS" w:hAnsi="Cambria Math" w:cs="Arial"/>
            <w:sz w:val="24"/>
            <w:szCs w:val="24"/>
          </w:rPr>
          <m:t>E(</m:t>
        </m:r>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p</m:t>
            </m:r>
          </m:sub>
        </m:sSub>
        <m:r>
          <w:rPr>
            <w:rFonts w:ascii="Cambria Math" w:eastAsia="Arial Unicode MS" w:hAnsi="Cambria Math" w:cs="Arial"/>
            <w:sz w:val="24"/>
            <w:szCs w:val="24"/>
          </w:rPr>
          <m:t>)=</m:t>
        </m:r>
      </m:oMath>
      <w:r w:rsidRPr="00670830">
        <w:rPr>
          <w:rFonts w:ascii="Arial" w:eastAsia="Arial Unicode MS" w:hAnsi="Arial" w:cs="Arial"/>
          <w:sz w:val="24"/>
          <w:szCs w:val="24"/>
        </w:rPr>
        <w:t xml:space="preserve"> Rentabilidad o rendimiento esperado de la cartera </w:t>
      </w:r>
      <w:r w:rsidRPr="00670830">
        <w:rPr>
          <w:rFonts w:ascii="Arial" w:eastAsia="Arial Unicode MS" w:hAnsi="Arial" w:cs="Arial"/>
          <w:i/>
          <w:sz w:val="24"/>
          <w:szCs w:val="24"/>
        </w:rPr>
        <w:t>p</w:t>
      </w:r>
      <w:r w:rsidR="00A20F14" w:rsidRPr="00670830">
        <w:rPr>
          <w:rFonts w:ascii="Arial" w:eastAsia="Arial Unicode MS" w:hAnsi="Arial" w:cs="Arial"/>
          <w:i/>
          <w:sz w:val="24"/>
          <w:szCs w:val="24"/>
        </w:rPr>
        <w:t>.</w:t>
      </w:r>
    </w:p>
    <w:p w:rsidR="00233593" w:rsidRPr="00670830" w:rsidRDefault="00233593" w:rsidP="00670830">
      <w:pPr>
        <w:spacing w:before="100" w:beforeAutospacing="1" w:after="100" w:afterAutospacing="1" w:line="360" w:lineRule="auto"/>
        <w:rPr>
          <w:rFonts w:ascii="Arial" w:eastAsia="Arial Unicode MS" w:hAnsi="Arial" w:cs="Arial"/>
          <w:i/>
          <w:sz w:val="24"/>
          <w:szCs w:val="24"/>
        </w:rPr>
      </w:pPr>
    </w:p>
    <w:p w:rsidR="00357B5B" w:rsidRPr="00670830" w:rsidRDefault="007E28C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De tal forma que al variar el parámetro </w:t>
      </w:r>
      <m:oMath>
        <m:sSup>
          <m:sSupPr>
            <m:ctrlPr>
              <w:rPr>
                <w:rFonts w:ascii="Cambria Math" w:eastAsia="Arial Unicode MS" w:hAnsi="Cambria Math" w:cs="Arial"/>
                <w:i/>
                <w:sz w:val="24"/>
                <w:szCs w:val="24"/>
              </w:rPr>
            </m:ctrlPr>
          </m:sSupPr>
          <m:e>
            <m:r>
              <w:rPr>
                <w:rFonts w:ascii="Cambria Math" w:eastAsia="Arial Unicode MS" w:hAnsi="Cambria Math" w:cs="Arial"/>
                <w:sz w:val="24"/>
                <w:szCs w:val="24"/>
              </w:rPr>
              <m:t>V</m:t>
            </m:r>
          </m:e>
          <m:sup>
            <m:r>
              <w:rPr>
                <w:rFonts w:ascii="Cambria Math" w:eastAsia="Arial Unicode MS" w:hAnsi="Cambria Math" w:cs="Arial"/>
                <w:sz w:val="24"/>
                <w:szCs w:val="24"/>
              </w:rPr>
              <m:t>*</m:t>
            </m:r>
          </m:sup>
        </m:sSup>
      </m:oMath>
      <w:r w:rsidRPr="00670830">
        <w:rPr>
          <w:rFonts w:ascii="Arial" w:eastAsia="Arial Unicode MS" w:hAnsi="Arial" w:cs="Arial"/>
          <w:sz w:val="24"/>
          <w:szCs w:val="24"/>
        </w:rPr>
        <w:t xml:space="preserve"> obtendremos en cada caso, al resolver el programa, el conjunto de proporciones </w:t>
      </w:r>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x</m:t>
            </m:r>
          </m:e>
          <m:sub>
            <m:r>
              <w:rPr>
                <w:rFonts w:ascii="Cambria Math" w:eastAsia="Arial Unicode MS" w:hAnsi="Cambria Math" w:cs="Arial"/>
                <w:sz w:val="24"/>
                <w:szCs w:val="24"/>
              </w:rPr>
              <m:t>i</m:t>
            </m:r>
          </m:sub>
        </m:sSub>
      </m:oMath>
      <w:r w:rsidRPr="00670830">
        <w:rPr>
          <w:rFonts w:ascii="Arial" w:eastAsia="Arial Unicode MS" w:hAnsi="Arial" w:cs="Arial"/>
          <w:sz w:val="24"/>
          <w:szCs w:val="24"/>
        </w:rPr>
        <w:t xml:space="preserve"> que minimizan el riesgo de la cartera, así como su valor correspondiente. </w:t>
      </w:r>
    </w:p>
    <w:p w:rsidR="007E28CD" w:rsidRPr="00670830" w:rsidRDefault="007E28C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El conjunto de pares </w:t>
      </w:r>
      <m:oMath>
        <m:d>
          <m:dPr>
            <m:begChr m:val="["/>
            <m:endChr m:val="]"/>
            <m:ctrlPr>
              <w:rPr>
                <w:rFonts w:ascii="Cambria Math" w:eastAsia="Arial Unicode MS" w:hAnsi="Cambria Math" w:cs="Arial"/>
                <w:i/>
                <w:sz w:val="24"/>
                <w:szCs w:val="24"/>
              </w:rPr>
            </m:ctrlPr>
          </m:dPr>
          <m:e>
            <m:r>
              <w:rPr>
                <w:rFonts w:ascii="Cambria Math" w:eastAsia="Arial Unicode MS" w:hAnsi="Cambria Math" w:cs="Arial"/>
                <w:sz w:val="24"/>
                <w:szCs w:val="24"/>
              </w:rPr>
              <m:t>E(</m:t>
            </m:r>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p</m:t>
                </m:r>
              </m:sub>
            </m:sSub>
            <m:r>
              <w:rPr>
                <w:rFonts w:ascii="Cambria Math" w:eastAsia="Arial Unicode MS" w:hAnsi="Cambria Math" w:cs="Arial"/>
                <w:sz w:val="24"/>
                <w:szCs w:val="24"/>
              </w:rPr>
              <m:t xml:space="preserve">) , </m:t>
            </m:r>
            <m:sSup>
              <m:sSupPr>
                <m:ctrlPr>
                  <w:rPr>
                    <w:rFonts w:ascii="Cambria Math" w:eastAsia="Arial Unicode MS" w:hAnsi="Cambria Math" w:cs="Arial"/>
                    <w:i/>
                    <w:sz w:val="24"/>
                    <w:szCs w:val="24"/>
                  </w:rPr>
                </m:ctrlPr>
              </m:sSupPr>
              <m:e>
                <m:r>
                  <w:rPr>
                    <w:rFonts w:ascii="Cambria Math" w:eastAsia="Arial Unicode MS" w:hAnsi="Cambria Math" w:cs="Arial"/>
                    <w:sz w:val="24"/>
                    <w:szCs w:val="24"/>
                  </w:rPr>
                  <m:t>σ</m:t>
                </m:r>
              </m:e>
              <m:sup>
                <m:r>
                  <w:rPr>
                    <w:rFonts w:ascii="Cambria Math" w:eastAsia="Arial Unicode MS" w:hAnsi="Cambria Math" w:cs="Arial"/>
                    <w:sz w:val="24"/>
                    <w:szCs w:val="24"/>
                  </w:rPr>
                  <m:t>2</m:t>
                </m:r>
              </m:sup>
            </m:sSup>
            <m:r>
              <w:rPr>
                <w:rFonts w:ascii="Cambria Math" w:eastAsia="Arial Unicode MS" w:hAnsi="Cambria Math" w:cs="Arial"/>
                <w:sz w:val="24"/>
                <w:szCs w:val="24"/>
              </w:rPr>
              <m:t>(</m:t>
            </m:r>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p</m:t>
                </m:r>
              </m:sub>
            </m:sSub>
            <m:r>
              <w:rPr>
                <w:rFonts w:ascii="Cambria Math" w:eastAsia="Arial Unicode MS" w:hAnsi="Cambria Math" w:cs="Arial"/>
                <w:sz w:val="24"/>
                <w:szCs w:val="24"/>
              </w:rPr>
              <m:t>)</m:t>
            </m:r>
          </m:e>
        </m:d>
      </m:oMath>
      <w:r w:rsidRPr="00670830">
        <w:rPr>
          <w:rFonts w:ascii="Arial" w:eastAsia="Arial Unicode MS" w:hAnsi="Arial" w:cs="Arial"/>
          <w:sz w:val="24"/>
          <w:szCs w:val="24"/>
        </w:rPr>
        <w:t>, o combinaciones de rentabilidad – riesgo de todas las carteras eficientes es denominado “frontera eficiente”. Una vez conocida ésta, el i</w:t>
      </w:r>
      <w:proofErr w:type="spellStart"/>
      <w:r w:rsidRPr="00670830">
        <w:rPr>
          <w:rFonts w:ascii="Arial" w:eastAsia="Arial Unicode MS" w:hAnsi="Arial" w:cs="Arial"/>
          <w:sz w:val="24"/>
          <w:szCs w:val="24"/>
        </w:rPr>
        <w:t>nversionista</w:t>
      </w:r>
      <w:proofErr w:type="spellEnd"/>
      <w:r w:rsidRPr="00670830">
        <w:rPr>
          <w:rFonts w:ascii="Arial" w:eastAsia="Arial Unicode MS" w:hAnsi="Arial" w:cs="Arial"/>
          <w:sz w:val="24"/>
          <w:szCs w:val="24"/>
        </w:rPr>
        <w:t>, de acuerdo a sus preferencias, elegirá su cart</w:t>
      </w:r>
      <w:r w:rsidR="00D64814" w:rsidRPr="00670830">
        <w:rPr>
          <w:rFonts w:ascii="Arial" w:eastAsia="Arial Unicode MS" w:hAnsi="Arial" w:cs="Arial"/>
          <w:sz w:val="24"/>
          <w:szCs w:val="24"/>
        </w:rPr>
        <w:t>era óptima. [Mendizábal et. al.</w:t>
      </w:r>
      <w:r w:rsidRPr="00670830">
        <w:rPr>
          <w:rFonts w:ascii="Arial" w:eastAsia="Arial Unicode MS" w:hAnsi="Arial" w:cs="Arial"/>
          <w:sz w:val="24"/>
          <w:szCs w:val="24"/>
        </w:rPr>
        <w:t>, 2002]</w:t>
      </w:r>
    </w:p>
    <w:p w:rsidR="00233593" w:rsidRPr="00670830" w:rsidRDefault="00233593" w:rsidP="00670830">
      <w:pPr>
        <w:spacing w:before="100" w:beforeAutospacing="1" w:after="100" w:afterAutospacing="1" w:line="360" w:lineRule="auto"/>
        <w:rPr>
          <w:rFonts w:ascii="Arial" w:eastAsia="Arial Unicode MS" w:hAnsi="Arial" w:cs="Arial"/>
          <w:sz w:val="24"/>
          <w:szCs w:val="24"/>
        </w:rPr>
      </w:pPr>
    </w:p>
    <w:p w:rsidR="007E28CD" w:rsidRPr="00670830" w:rsidRDefault="007E28CD" w:rsidP="00670830">
      <w:pPr>
        <w:pStyle w:val="Ttulo2"/>
        <w:spacing w:before="100" w:beforeAutospacing="1" w:after="100" w:afterAutospacing="1" w:line="360" w:lineRule="auto"/>
        <w:jc w:val="both"/>
        <w:rPr>
          <w:rFonts w:ascii="Arial" w:eastAsia="Arial Unicode MS" w:hAnsi="Arial" w:cs="Arial"/>
          <w:color w:val="auto"/>
          <w:sz w:val="24"/>
          <w:szCs w:val="24"/>
        </w:rPr>
      </w:pPr>
      <w:bookmarkStart w:id="25" w:name="_Toc488230502"/>
      <w:r w:rsidRPr="00670830">
        <w:rPr>
          <w:rFonts w:ascii="Arial" w:eastAsia="Arial Unicode MS" w:hAnsi="Arial" w:cs="Arial"/>
          <w:color w:val="auto"/>
          <w:sz w:val="24"/>
          <w:szCs w:val="24"/>
        </w:rPr>
        <w:t xml:space="preserve">3.2. Capital </w:t>
      </w:r>
      <w:proofErr w:type="spellStart"/>
      <w:r w:rsidRPr="00670830">
        <w:rPr>
          <w:rFonts w:ascii="Arial" w:eastAsia="Arial Unicode MS" w:hAnsi="Arial" w:cs="Arial"/>
          <w:color w:val="auto"/>
          <w:sz w:val="24"/>
          <w:szCs w:val="24"/>
        </w:rPr>
        <w:t>Asset</w:t>
      </w:r>
      <w:proofErr w:type="spellEnd"/>
      <w:r w:rsidRPr="00670830">
        <w:rPr>
          <w:rFonts w:ascii="Arial" w:eastAsia="Arial Unicode MS" w:hAnsi="Arial" w:cs="Arial"/>
          <w:color w:val="auto"/>
          <w:sz w:val="24"/>
          <w:szCs w:val="24"/>
        </w:rPr>
        <w:t xml:space="preserve"> </w:t>
      </w:r>
      <w:proofErr w:type="spellStart"/>
      <w:r w:rsidRPr="00670830">
        <w:rPr>
          <w:rFonts w:ascii="Arial" w:eastAsia="Arial Unicode MS" w:hAnsi="Arial" w:cs="Arial"/>
          <w:color w:val="auto"/>
          <w:sz w:val="24"/>
          <w:szCs w:val="24"/>
        </w:rPr>
        <w:t>Pricing</w:t>
      </w:r>
      <w:proofErr w:type="spellEnd"/>
      <w:r w:rsidRPr="00670830">
        <w:rPr>
          <w:rFonts w:ascii="Arial" w:eastAsia="Arial Unicode MS" w:hAnsi="Arial" w:cs="Arial"/>
          <w:color w:val="auto"/>
          <w:sz w:val="24"/>
          <w:szCs w:val="24"/>
        </w:rPr>
        <w:t xml:space="preserve"> </w:t>
      </w:r>
      <w:proofErr w:type="spellStart"/>
      <w:r w:rsidRPr="00670830">
        <w:rPr>
          <w:rFonts w:ascii="Arial" w:eastAsia="Arial Unicode MS" w:hAnsi="Arial" w:cs="Arial"/>
          <w:color w:val="auto"/>
          <w:sz w:val="24"/>
          <w:szCs w:val="24"/>
        </w:rPr>
        <w:t>Model</w:t>
      </w:r>
      <w:proofErr w:type="spellEnd"/>
      <w:r w:rsidRPr="00670830">
        <w:rPr>
          <w:rFonts w:ascii="Arial" w:eastAsia="Arial Unicode MS" w:hAnsi="Arial" w:cs="Arial"/>
          <w:color w:val="auto"/>
          <w:sz w:val="24"/>
          <w:szCs w:val="24"/>
        </w:rPr>
        <w:t xml:space="preserve"> (CAPM)</w:t>
      </w:r>
      <w:bookmarkEnd w:id="25"/>
    </w:p>
    <w:p w:rsidR="007E28CD" w:rsidRPr="00670830" w:rsidRDefault="007E28C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Una de las grandes inquietudes en el campo de las finanzas ha sido desarrollar modelos explicativos y predictivos del comportamiento de los activos financieros. Una de las aportaciones más importantes a este proceso ha sido el Capital </w:t>
      </w:r>
      <w:proofErr w:type="spellStart"/>
      <w:r w:rsidRPr="00670830">
        <w:rPr>
          <w:rFonts w:ascii="Arial" w:eastAsia="Arial Unicode MS" w:hAnsi="Arial" w:cs="Arial"/>
          <w:sz w:val="24"/>
          <w:szCs w:val="24"/>
        </w:rPr>
        <w:t>Asset</w:t>
      </w:r>
      <w:proofErr w:type="spellEnd"/>
      <w:r w:rsidRPr="00670830">
        <w:rPr>
          <w:rFonts w:ascii="Arial" w:eastAsia="Arial Unicode MS" w:hAnsi="Arial" w:cs="Arial"/>
          <w:sz w:val="24"/>
          <w:szCs w:val="24"/>
        </w:rPr>
        <w:t xml:space="preserve"> </w:t>
      </w:r>
      <w:proofErr w:type="spellStart"/>
      <w:r w:rsidRPr="00670830">
        <w:rPr>
          <w:rFonts w:ascii="Arial" w:eastAsia="Arial Unicode MS" w:hAnsi="Arial" w:cs="Arial"/>
          <w:sz w:val="24"/>
          <w:szCs w:val="24"/>
        </w:rPr>
        <w:t>Pricing</w:t>
      </w:r>
      <w:proofErr w:type="spellEnd"/>
      <w:r w:rsidRPr="00670830">
        <w:rPr>
          <w:rFonts w:ascii="Arial" w:eastAsia="Arial Unicode MS" w:hAnsi="Arial" w:cs="Arial"/>
          <w:sz w:val="24"/>
          <w:szCs w:val="24"/>
        </w:rPr>
        <w:t xml:space="preserve"> </w:t>
      </w:r>
      <w:proofErr w:type="spellStart"/>
      <w:r w:rsidRPr="00670830">
        <w:rPr>
          <w:rFonts w:ascii="Arial" w:eastAsia="Arial Unicode MS" w:hAnsi="Arial" w:cs="Arial"/>
          <w:sz w:val="24"/>
          <w:szCs w:val="24"/>
        </w:rPr>
        <w:t>Model</w:t>
      </w:r>
      <w:proofErr w:type="spellEnd"/>
      <w:r w:rsidRPr="00670830">
        <w:rPr>
          <w:rFonts w:ascii="Arial" w:eastAsia="Arial Unicode MS" w:hAnsi="Arial" w:cs="Arial"/>
          <w:sz w:val="24"/>
          <w:szCs w:val="24"/>
        </w:rPr>
        <w:t xml:space="preserve"> (CAPM).</w:t>
      </w:r>
    </w:p>
    <w:p w:rsidR="00B16C14" w:rsidRPr="00670830" w:rsidRDefault="007E28C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El modelo de valuación de activos de capital o modelo de equilibrio de activos financieros, mejor conocido como CAPM,  fue desarrollado por </w:t>
      </w:r>
      <w:proofErr w:type="spellStart"/>
      <w:r w:rsidRPr="00670830">
        <w:rPr>
          <w:rFonts w:ascii="Arial" w:eastAsia="Arial Unicode MS" w:hAnsi="Arial" w:cs="Arial"/>
          <w:sz w:val="24"/>
          <w:szCs w:val="24"/>
        </w:rPr>
        <w:t>Sharpe</w:t>
      </w:r>
      <w:proofErr w:type="spellEnd"/>
      <w:r w:rsidRPr="00670830">
        <w:rPr>
          <w:rFonts w:ascii="Arial" w:eastAsia="Arial Unicode MS" w:hAnsi="Arial" w:cs="Arial"/>
          <w:sz w:val="24"/>
          <w:szCs w:val="24"/>
        </w:rPr>
        <w:t xml:space="preserve"> (1964) y </w:t>
      </w:r>
      <w:proofErr w:type="spellStart"/>
      <w:r w:rsidRPr="00670830">
        <w:rPr>
          <w:rFonts w:ascii="Arial" w:eastAsia="Arial Unicode MS" w:hAnsi="Arial" w:cs="Arial"/>
          <w:sz w:val="24"/>
          <w:szCs w:val="24"/>
        </w:rPr>
        <w:t>Litner</w:t>
      </w:r>
      <w:proofErr w:type="spellEnd"/>
      <w:r w:rsidRPr="00670830">
        <w:rPr>
          <w:rFonts w:ascii="Arial" w:eastAsia="Arial Unicode MS" w:hAnsi="Arial" w:cs="Arial"/>
          <w:sz w:val="24"/>
          <w:szCs w:val="24"/>
        </w:rPr>
        <w:t xml:space="preserve"> (1965). </w:t>
      </w:r>
    </w:p>
    <w:p w:rsidR="007E28CD" w:rsidRPr="00670830" w:rsidRDefault="007E28C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Ambos basaron sus estudios en las investigaciones realizadas por </w:t>
      </w:r>
      <w:proofErr w:type="spellStart"/>
      <w:r w:rsidRPr="00670830">
        <w:rPr>
          <w:rFonts w:ascii="Arial" w:eastAsia="Arial Unicode MS" w:hAnsi="Arial" w:cs="Arial"/>
          <w:sz w:val="24"/>
          <w:szCs w:val="24"/>
        </w:rPr>
        <w:t>Markowitz</w:t>
      </w:r>
      <w:proofErr w:type="spellEnd"/>
      <w:r w:rsidRPr="00670830">
        <w:rPr>
          <w:rFonts w:ascii="Arial" w:eastAsia="Arial Unicode MS" w:hAnsi="Arial" w:cs="Arial"/>
          <w:sz w:val="24"/>
          <w:szCs w:val="24"/>
        </w:rPr>
        <w:t xml:space="preserve"> y </w:t>
      </w:r>
      <w:proofErr w:type="spellStart"/>
      <w:r w:rsidRPr="00670830">
        <w:rPr>
          <w:rFonts w:ascii="Arial" w:eastAsia="Arial Unicode MS" w:hAnsi="Arial" w:cs="Arial"/>
          <w:sz w:val="24"/>
          <w:szCs w:val="24"/>
        </w:rPr>
        <w:t>Tobin</w:t>
      </w:r>
      <w:proofErr w:type="spellEnd"/>
      <w:r w:rsidRPr="00670830">
        <w:rPr>
          <w:rFonts w:ascii="Arial" w:eastAsia="Arial Unicode MS" w:hAnsi="Arial" w:cs="Arial"/>
          <w:sz w:val="24"/>
          <w:szCs w:val="24"/>
        </w:rPr>
        <w:t xml:space="preserve"> (1960), quienes afirmaron que todos los inversionistas seleccionan sus carteras a través del criterio media-varianza.</w:t>
      </w:r>
    </w:p>
    <w:p w:rsidR="00E1293E" w:rsidRPr="00670830" w:rsidRDefault="00E1293E"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Se basa en el análisis de las variaciones de los precios con respecto a los precios del mercado considerando también cifras históricas. Considera el riesgo sistemático, sin tratar a ningún instrumento aisladamente buscando de esta manera la compensación de los riesgos.</w:t>
      </w:r>
    </w:p>
    <w:p w:rsidR="00B16C14" w:rsidRPr="00670830" w:rsidRDefault="007E28C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El Capital </w:t>
      </w:r>
      <w:proofErr w:type="spellStart"/>
      <w:r w:rsidRPr="00670830">
        <w:rPr>
          <w:rFonts w:ascii="Arial" w:eastAsia="Arial Unicode MS" w:hAnsi="Arial" w:cs="Arial"/>
          <w:sz w:val="24"/>
          <w:szCs w:val="24"/>
        </w:rPr>
        <w:t>Asset</w:t>
      </w:r>
      <w:proofErr w:type="spellEnd"/>
      <w:r w:rsidRPr="00670830">
        <w:rPr>
          <w:rFonts w:ascii="Arial" w:eastAsia="Arial Unicode MS" w:hAnsi="Arial" w:cs="Arial"/>
          <w:sz w:val="24"/>
          <w:szCs w:val="24"/>
        </w:rPr>
        <w:t xml:space="preserve"> </w:t>
      </w:r>
      <w:proofErr w:type="spellStart"/>
      <w:r w:rsidRPr="00670830">
        <w:rPr>
          <w:rFonts w:ascii="Arial" w:eastAsia="Arial Unicode MS" w:hAnsi="Arial" w:cs="Arial"/>
          <w:sz w:val="24"/>
          <w:szCs w:val="24"/>
        </w:rPr>
        <w:t>Pricing</w:t>
      </w:r>
      <w:proofErr w:type="spellEnd"/>
      <w:r w:rsidRPr="00670830">
        <w:rPr>
          <w:rFonts w:ascii="Arial" w:eastAsia="Arial Unicode MS" w:hAnsi="Arial" w:cs="Arial"/>
          <w:sz w:val="24"/>
          <w:szCs w:val="24"/>
        </w:rPr>
        <w:t xml:space="preserve"> </w:t>
      </w:r>
      <w:proofErr w:type="spellStart"/>
      <w:r w:rsidRPr="00670830">
        <w:rPr>
          <w:rFonts w:ascii="Arial" w:eastAsia="Arial Unicode MS" w:hAnsi="Arial" w:cs="Arial"/>
          <w:sz w:val="24"/>
          <w:szCs w:val="24"/>
        </w:rPr>
        <w:t>Model</w:t>
      </w:r>
      <w:proofErr w:type="spellEnd"/>
      <w:r w:rsidRPr="00670830">
        <w:rPr>
          <w:rFonts w:ascii="Arial" w:eastAsia="Arial Unicode MS" w:hAnsi="Arial" w:cs="Arial"/>
          <w:sz w:val="24"/>
          <w:szCs w:val="24"/>
        </w:rPr>
        <w:t xml:space="preserve"> (CAPM) se ha transformado en uno de los modelos más utilizados en el ámbito financiero por ser una herramienta que ordena, de una manera relativamente sencilla, los rendimientos esperados de los distintos activos en condiciones de equilibrio. </w:t>
      </w:r>
    </w:p>
    <w:p w:rsidR="007E28CD" w:rsidRPr="00670830" w:rsidRDefault="00E1293E"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R</w:t>
      </w:r>
      <w:r w:rsidR="007E28CD" w:rsidRPr="00670830">
        <w:rPr>
          <w:rFonts w:ascii="Arial" w:eastAsia="Arial Unicode MS" w:hAnsi="Arial" w:cs="Arial"/>
          <w:sz w:val="24"/>
          <w:szCs w:val="24"/>
        </w:rPr>
        <w:t>elaciona la prima de riesgo esperada para un stock con la prima de riesgo esperada para el portafolio de mercado, escalada esta última por un factor que captura el riesgo del activo. [</w:t>
      </w:r>
      <w:proofErr w:type="spellStart"/>
      <w:r w:rsidR="007E28CD" w:rsidRPr="00670830">
        <w:rPr>
          <w:rFonts w:ascii="Arial" w:eastAsia="Arial Unicode MS" w:hAnsi="Arial" w:cs="Arial"/>
          <w:sz w:val="24"/>
          <w:szCs w:val="24"/>
        </w:rPr>
        <w:t>Zablotsky</w:t>
      </w:r>
      <w:proofErr w:type="spellEnd"/>
      <w:r w:rsidR="007E28CD" w:rsidRPr="00670830">
        <w:rPr>
          <w:rFonts w:ascii="Arial" w:eastAsia="Arial Unicode MS" w:hAnsi="Arial" w:cs="Arial"/>
          <w:sz w:val="24"/>
          <w:szCs w:val="24"/>
        </w:rPr>
        <w:t>, 2001]</w:t>
      </w:r>
    </w:p>
    <w:p w:rsidR="007E28CD" w:rsidRPr="00670830" w:rsidRDefault="007E28C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objetivo del modelo es cuantificar e interpretar la relación que existe entre el riesgo y rendimiento porque a través de esta relación lineal se puede establecer el equilibrio de los mercados financieros.  [Sansores, 2008]</w:t>
      </w:r>
    </w:p>
    <w:p w:rsidR="00B6747C" w:rsidRPr="00670830" w:rsidRDefault="00E1293E"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w:t>
      </w:r>
      <w:r w:rsidR="007E28CD" w:rsidRPr="00670830">
        <w:rPr>
          <w:rFonts w:ascii="Arial" w:eastAsia="Arial Unicode MS" w:hAnsi="Arial" w:cs="Arial"/>
          <w:sz w:val="24"/>
          <w:szCs w:val="24"/>
        </w:rPr>
        <w:t>xplica el comportamiento de una acción en función del comportamiento del mercado. Además pretende servir para proyectar el retorno futuro de una acción, en función del comportamiento del mercado. [Bravo,</w:t>
      </w:r>
      <w:r w:rsidR="00B16C14" w:rsidRPr="00670830">
        <w:rPr>
          <w:rFonts w:ascii="Arial" w:eastAsia="Arial Unicode MS" w:hAnsi="Arial" w:cs="Arial"/>
          <w:sz w:val="24"/>
          <w:szCs w:val="24"/>
        </w:rPr>
        <w:t xml:space="preserve"> 2004]</w:t>
      </w:r>
    </w:p>
    <w:p w:rsidR="007E28CD" w:rsidRPr="00670830" w:rsidRDefault="007E28C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Para la construcción del modelo CAPM se asumen los siguientes supuestos:</w:t>
      </w:r>
    </w:p>
    <w:p w:rsidR="007E28CD" w:rsidRPr="00670830" w:rsidRDefault="007E28CD" w:rsidP="00670830">
      <w:pPr>
        <w:pStyle w:val="Prrafodelista"/>
        <w:numPr>
          <w:ilvl w:val="0"/>
          <w:numId w:val="27"/>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inversionistas son personas adversas al riesgo.</w:t>
      </w:r>
    </w:p>
    <w:p w:rsidR="00B16C14" w:rsidRPr="00670830" w:rsidRDefault="00B16C14" w:rsidP="00670830">
      <w:pPr>
        <w:pStyle w:val="Prrafodelista"/>
        <w:spacing w:before="100" w:beforeAutospacing="1" w:after="100" w:afterAutospacing="1" w:line="360" w:lineRule="auto"/>
        <w:jc w:val="both"/>
        <w:rPr>
          <w:rFonts w:ascii="Arial" w:eastAsia="Arial Unicode MS" w:hAnsi="Arial" w:cs="Arial"/>
          <w:sz w:val="24"/>
          <w:szCs w:val="24"/>
        </w:rPr>
      </w:pPr>
    </w:p>
    <w:p w:rsidR="00B16C14" w:rsidRPr="00670830" w:rsidRDefault="007E28CD" w:rsidP="00670830">
      <w:pPr>
        <w:pStyle w:val="Prrafodelista"/>
        <w:numPr>
          <w:ilvl w:val="0"/>
          <w:numId w:val="27"/>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inversionistas cuidan el balance entre retorno esperado y su varianza asociad</w:t>
      </w:r>
      <w:r w:rsidR="000065A5" w:rsidRPr="00670830">
        <w:rPr>
          <w:rFonts w:ascii="Arial" w:eastAsia="Arial Unicode MS" w:hAnsi="Arial" w:cs="Arial"/>
          <w:sz w:val="24"/>
          <w:szCs w:val="24"/>
        </w:rPr>
        <w:t>a para conformar sus carteras de inversión</w:t>
      </w:r>
      <w:r w:rsidRPr="00670830">
        <w:rPr>
          <w:rFonts w:ascii="Arial" w:eastAsia="Arial Unicode MS" w:hAnsi="Arial" w:cs="Arial"/>
          <w:sz w:val="24"/>
          <w:szCs w:val="24"/>
        </w:rPr>
        <w:t>.</w:t>
      </w:r>
    </w:p>
    <w:p w:rsidR="00B16C14" w:rsidRPr="00670830" w:rsidRDefault="00B16C14" w:rsidP="00670830">
      <w:pPr>
        <w:pStyle w:val="Prrafodelista"/>
        <w:spacing w:before="100" w:beforeAutospacing="1" w:after="100" w:afterAutospacing="1" w:line="360" w:lineRule="auto"/>
        <w:jc w:val="both"/>
        <w:rPr>
          <w:rFonts w:ascii="Arial" w:eastAsia="Arial Unicode MS" w:hAnsi="Arial" w:cs="Arial"/>
          <w:sz w:val="24"/>
          <w:szCs w:val="24"/>
        </w:rPr>
      </w:pPr>
    </w:p>
    <w:p w:rsidR="00B16C14" w:rsidRPr="00670830" w:rsidRDefault="007E28CD" w:rsidP="00670830">
      <w:pPr>
        <w:pStyle w:val="Prrafodelista"/>
        <w:numPr>
          <w:ilvl w:val="0"/>
          <w:numId w:val="27"/>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No existen fricciones en el mercado.</w:t>
      </w:r>
    </w:p>
    <w:p w:rsidR="00B16C14" w:rsidRPr="00670830" w:rsidRDefault="00B16C14" w:rsidP="00670830">
      <w:pPr>
        <w:pStyle w:val="Prrafodelista"/>
        <w:spacing w:before="100" w:beforeAutospacing="1" w:after="100" w:afterAutospacing="1" w:line="360" w:lineRule="auto"/>
        <w:jc w:val="both"/>
        <w:rPr>
          <w:rFonts w:ascii="Arial" w:eastAsia="Arial Unicode MS" w:hAnsi="Arial" w:cs="Arial"/>
          <w:sz w:val="24"/>
          <w:szCs w:val="24"/>
        </w:rPr>
      </w:pPr>
    </w:p>
    <w:p w:rsidR="00B16C14" w:rsidRPr="00670830" w:rsidRDefault="007E28CD" w:rsidP="00670830">
      <w:pPr>
        <w:pStyle w:val="Prrafodelista"/>
        <w:numPr>
          <w:ilvl w:val="0"/>
          <w:numId w:val="27"/>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Existe una Tasa Libre de Riesgo a la cual los inversionistas pueden endeudarse o colocar sus fondos.</w:t>
      </w:r>
    </w:p>
    <w:p w:rsidR="00B16C14" w:rsidRPr="00670830" w:rsidRDefault="00B16C14" w:rsidP="00670830">
      <w:pPr>
        <w:pStyle w:val="Prrafodelista"/>
        <w:spacing w:before="100" w:beforeAutospacing="1" w:after="100" w:afterAutospacing="1" w:line="360" w:lineRule="auto"/>
        <w:jc w:val="both"/>
        <w:rPr>
          <w:rFonts w:ascii="Arial" w:eastAsia="Arial Unicode MS" w:hAnsi="Arial" w:cs="Arial"/>
          <w:sz w:val="24"/>
          <w:szCs w:val="24"/>
        </w:rPr>
      </w:pPr>
    </w:p>
    <w:p w:rsidR="007E28CD" w:rsidRPr="00670830" w:rsidRDefault="007E28CD" w:rsidP="00670830">
      <w:pPr>
        <w:pStyle w:val="Prrafodelista"/>
        <w:numPr>
          <w:ilvl w:val="0"/>
          <w:numId w:val="27"/>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No existe asimetría de información y los inversionistas son racionales, lo cual implica que todos los inversionistas tienen las mismas conclusiones acerca de los retornos esperados y las desviaciones estándar de todos los portafolios factibles.</w:t>
      </w:r>
    </w:p>
    <w:p w:rsidR="007E28CD" w:rsidRPr="00670830" w:rsidRDefault="007E28C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Este modelo, establece que el rendimiento </w:t>
      </w:r>
      <w:r w:rsidR="000065A5" w:rsidRPr="00670830">
        <w:rPr>
          <w:rFonts w:ascii="Arial" w:eastAsia="Arial Unicode MS" w:hAnsi="Arial" w:cs="Arial"/>
          <w:sz w:val="24"/>
          <w:szCs w:val="24"/>
        </w:rPr>
        <w:t>de un activo o de una cartera</w:t>
      </w:r>
      <w:r w:rsidRPr="00670830">
        <w:rPr>
          <w:rFonts w:ascii="Arial" w:eastAsia="Arial Unicode MS" w:hAnsi="Arial" w:cs="Arial"/>
          <w:sz w:val="24"/>
          <w:szCs w:val="24"/>
        </w:rPr>
        <w:t xml:space="preserve"> es igual a la tasa libre de riesgo, más un premio por el riesgo que tie</w:t>
      </w:r>
      <w:r w:rsidR="000065A5" w:rsidRPr="00670830">
        <w:rPr>
          <w:rFonts w:ascii="Arial" w:eastAsia="Arial Unicode MS" w:hAnsi="Arial" w:cs="Arial"/>
          <w:sz w:val="24"/>
          <w:szCs w:val="24"/>
        </w:rPr>
        <w:t>ne ese instrumento o cartera</w:t>
      </w:r>
      <w:r w:rsidRPr="00670830">
        <w:rPr>
          <w:rFonts w:ascii="Arial" w:eastAsia="Arial Unicode MS" w:hAnsi="Arial" w:cs="Arial"/>
          <w:sz w:val="24"/>
          <w:szCs w:val="24"/>
        </w:rPr>
        <w:t xml:space="preserve"> medido por el coeficiente beta,</w:t>
      </w:r>
      <w:r w:rsidR="000904BD" w:rsidRPr="00670830">
        <w:rPr>
          <w:rFonts w:ascii="Arial" w:eastAsia="Arial Unicode MS" w:hAnsi="Arial" w:cs="Arial"/>
          <w:sz w:val="24"/>
          <w:szCs w:val="24"/>
        </w:rPr>
        <w:t xml:space="preserve"> como se indica a continuación:</w:t>
      </w:r>
    </w:p>
    <w:p w:rsidR="000904BD" w:rsidRPr="00670830" w:rsidRDefault="000904BD" w:rsidP="00670830">
      <w:pPr>
        <w:spacing w:before="100" w:beforeAutospacing="1" w:after="100" w:afterAutospacing="1" w:line="360" w:lineRule="auto"/>
        <w:jc w:val="both"/>
        <w:rPr>
          <w:rFonts w:ascii="Arial" w:eastAsia="Arial Unicode MS" w:hAnsi="Arial" w:cs="Arial"/>
          <w:sz w:val="24"/>
          <w:szCs w:val="24"/>
        </w:rPr>
      </w:pPr>
    </w:p>
    <w:p w:rsidR="007E28CD" w:rsidRPr="00670830" w:rsidRDefault="007E28CD" w:rsidP="00670830">
      <w:pPr>
        <w:spacing w:before="100" w:beforeAutospacing="1" w:after="100" w:afterAutospacing="1" w:line="360" w:lineRule="auto"/>
        <w:jc w:val="center"/>
        <w:rPr>
          <w:rFonts w:ascii="Arial" w:eastAsia="Arial Unicode MS" w:hAnsi="Arial" w:cs="Arial"/>
          <w:sz w:val="24"/>
          <w:szCs w:val="24"/>
        </w:rPr>
      </w:pPr>
      <w:r w:rsidRPr="00670830">
        <w:rPr>
          <w:rFonts w:ascii="Arial" w:eastAsia="Arial Unicode MS" w:hAnsi="Arial" w:cs="Arial"/>
          <w:noProof/>
          <w:sz w:val="24"/>
          <w:szCs w:val="24"/>
          <w:lang w:eastAsia="es-MX"/>
        </w:rPr>
        <w:drawing>
          <wp:inline distT="0" distB="0" distL="0" distR="0" wp14:anchorId="3AD84FED" wp14:editId="177EFD88">
            <wp:extent cx="3800104" cy="2710796"/>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3806606" cy="2715434"/>
                    </a:xfrm>
                    <a:prstGeom prst="rect">
                      <a:avLst/>
                    </a:prstGeom>
                  </pic:spPr>
                </pic:pic>
              </a:graphicData>
            </a:graphic>
          </wp:inline>
        </w:drawing>
      </w:r>
    </w:p>
    <w:p w:rsidR="00A20F14" w:rsidRPr="00670830" w:rsidRDefault="00A20F14" w:rsidP="00670830">
      <w:pPr>
        <w:spacing w:before="100" w:beforeAutospacing="1" w:after="100" w:afterAutospacing="1" w:line="360" w:lineRule="auto"/>
        <w:rPr>
          <w:rFonts w:ascii="Arial" w:eastAsia="Arial Unicode MS" w:hAnsi="Arial" w:cs="Arial"/>
          <w:sz w:val="24"/>
          <w:szCs w:val="24"/>
        </w:rPr>
      </w:pPr>
    </w:p>
    <w:p w:rsidR="007E28CD" w:rsidRPr="00670830" w:rsidRDefault="00AC26BD" w:rsidP="00670830">
      <w:pPr>
        <w:spacing w:before="100" w:beforeAutospacing="1" w:after="100" w:afterAutospacing="1" w:line="360" w:lineRule="auto"/>
        <w:rPr>
          <w:rFonts w:ascii="Arial" w:eastAsia="Arial Unicode MS" w:hAnsi="Arial" w:cs="Arial"/>
          <w:sz w:val="24"/>
          <w:szCs w:val="24"/>
        </w:rPr>
      </w:pPr>
      <m:oMathPara>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p</m:t>
              </m:r>
            </m:sub>
          </m:sSub>
          <m:r>
            <w:rPr>
              <w:rFonts w:ascii="Cambria Math" w:eastAsia="Arial Unicode MS" w:hAnsi="Cambria Math" w:cs="Arial"/>
              <w:sz w:val="24"/>
              <w:szCs w:val="24"/>
            </w:rPr>
            <m:t>-</m:t>
          </m:r>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f</m:t>
              </m:r>
            </m:sub>
          </m:sSub>
          <m:r>
            <w:rPr>
              <w:rFonts w:ascii="Cambria Math" w:eastAsia="Arial Unicode MS" w:hAnsi="Cambria Math" w:cs="Arial"/>
              <w:sz w:val="24"/>
              <w:szCs w:val="24"/>
            </w:rPr>
            <m:t>=</m:t>
          </m:r>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β</m:t>
              </m:r>
            </m:e>
            <m:sub>
              <m:r>
                <w:rPr>
                  <w:rFonts w:ascii="Cambria Math" w:eastAsia="Arial Unicode MS" w:hAnsi="Cambria Math" w:cs="Arial"/>
                  <w:sz w:val="24"/>
                  <w:szCs w:val="24"/>
                </w:rPr>
                <m:t>p</m:t>
              </m:r>
            </m:sub>
          </m:sSub>
          <m:d>
            <m:dPr>
              <m:ctrlPr>
                <w:rPr>
                  <w:rFonts w:ascii="Cambria Math" w:eastAsia="Arial Unicode MS" w:hAnsi="Cambria Math" w:cs="Arial"/>
                  <w:i/>
                  <w:sz w:val="24"/>
                  <w:szCs w:val="24"/>
                </w:rPr>
              </m:ctrlPr>
            </m:dPr>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m</m:t>
                  </m:r>
                </m:sub>
              </m:sSub>
              <m:r>
                <w:rPr>
                  <w:rFonts w:ascii="Cambria Math" w:eastAsia="Arial Unicode MS" w:hAnsi="Cambria Math" w:cs="Arial"/>
                  <w:sz w:val="24"/>
                  <w:szCs w:val="24"/>
                </w:rPr>
                <m:t>-</m:t>
              </m:r>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f</m:t>
                  </m:r>
                </m:sub>
              </m:sSub>
            </m:e>
          </m:d>
        </m:oMath>
      </m:oMathPara>
    </w:p>
    <w:p w:rsidR="007E28CD" w:rsidRPr="00670830" w:rsidRDefault="007E28CD" w:rsidP="00670830">
      <w:pPr>
        <w:spacing w:before="100" w:beforeAutospacing="1" w:after="100" w:afterAutospacing="1" w:line="360" w:lineRule="auto"/>
        <w:rPr>
          <w:rFonts w:ascii="Arial" w:eastAsia="Arial Unicode MS" w:hAnsi="Arial" w:cs="Arial"/>
          <w:sz w:val="24"/>
          <w:szCs w:val="24"/>
        </w:rPr>
      </w:pPr>
      <w:proofErr w:type="spellStart"/>
      <w:r w:rsidRPr="00670830">
        <w:rPr>
          <w:rFonts w:ascii="Arial" w:eastAsia="Arial Unicode MS" w:hAnsi="Arial" w:cs="Arial"/>
          <w:sz w:val="24"/>
          <w:szCs w:val="24"/>
        </w:rPr>
        <w:t>Donde</w:t>
      </w:r>
      <w:proofErr w:type="spellEnd"/>
      <w:r w:rsidRPr="00670830">
        <w:rPr>
          <w:rFonts w:ascii="Arial" w:eastAsia="Arial Unicode MS" w:hAnsi="Arial" w:cs="Arial"/>
          <w:sz w:val="24"/>
          <w:szCs w:val="24"/>
        </w:rPr>
        <w:t>:</w:t>
      </w:r>
    </w:p>
    <w:p w:rsidR="007E28CD" w:rsidRPr="00670830" w:rsidRDefault="00AC26BD" w:rsidP="00670830">
      <w:pPr>
        <w:spacing w:before="100" w:beforeAutospacing="1" w:after="100" w:afterAutospacing="1" w:line="360" w:lineRule="auto"/>
        <w:rPr>
          <w:rFonts w:ascii="Arial" w:eastAsia="Arial Unicode MS" w:hAnsi="Arial" w:cs="Arial"/>
          <w:sz w:val="24"/>
          <w:szCs w:val="24"/>
        </w:rPr>
      </w:pPr>
      <m:oMathPara>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β</m:t>
              </m:r>
            </m:e>
            <m:sub>
              <m:r>
                <w:rPr>
                  <w:rFonts w:ascii="Cambria Math" w:eastAsia="Arial Unicode MS" w:hAnsi="Cambria Math" w:cs="Arial"/>
                  <w:sz w:val="24"/>
                  <w:szCs w:val="24"/>
                </w:rPr>
                <m:t>p</m:t>
              </m:r>
            </m:sub>
          </m:sSub>
          <m:r>
            <w:rPr>
              <w:rFonts w:ascii="Cambria Math" w:eastAsia="Arial Unicode MS" w:hAnsi="Cambria Math" w:cs="Arial"/>
              <w:sz w:val="24"/>
              <w:szCs w:val="24"/>
            </w:rPr>
            <m:t>=</m:t>
          </m:r>
          <m:f>
            <m:fPr>
              <m:ctrlPr>
                <w:rPr>
                  <w:rFonts w:ascii="Cambria Math" w:eastAsia="Arial Unicode MS" w:hAnsi="Cambria Math" w:cs="Arial"/>
                  <w:i/>
                  <w:sz w:val="24"/>
                  <w:szCs w:val="24"/>
                </w:rPr>
              </m:ctrlPr>
            </m:fPr>
            <m:num>
              <m:r>
                <w:rPr>
                  <w:rFonts w:ascii="Cambria Math" w:eastAsia="Arial Unicode MS" w:hAnsi="Cambria Math" w:cs="Arial"/>
                  <w:sz w:val="24"/>
                  <w:szCs w:val="24"/>
                </w:rPr>
                <m:t>cov</m:t>
              </m:r>
              <m:d>
                <m:dPr>
                  <m:ctrlPr>
                    <w:rPr>
                      <w:rFonts w:ascii="Cambria Math" w:eastAsia="Arial Unicode MS" w:hAnsi="Cambria Math" w:cs="Arial"/>
                      <w:i/>
                      <w:sz w:val="24"/>
                      <w:szCs w:val="24"/>
                    </w:rPr>
                  </m:ctrlPr>
                </m:dPr>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p</m:t>
                      </m:r>
                    </m:sub>
                  </m:sSub>
                  <m:r>
                    <w:rPr>
                      <w:rFonts w:ascii="Cambria Math" w:eastAsia="Arial Unicode MS" w:hAnsi="Cambria Math" w:cs="Arial"/>
                      <w:sz w:val="24"/>
                      <w:szCs w:val="24"/>
                    </w:rPr>
                    <m:t>-</m:t>
                  </m:r>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m</m:t>
                      </m:r>
                    </m:sub>
                  </m:sSub>
                </m:e>
              </m:d>
            </m:num>
            <m:den>
              <m:r>
                <w:rPr>
                  <w:rFonts w:ascii="Cambria Math" w:eastAsia="Arial Unicode MS" w:hAnsi="Cambria Math" w:cs="Arial"/>
                  <w:sz w:val="24"/>
                  <w:szCs w:val="24"/>
                </w:rPr>
                <m:t>var</m:t>
              </m:r>
              <m:d>
                <m:dPr>
                  <m:ctrlPr>
                    <w:rPr>
                      <w:rFonts w:ascii="Cambria Math" w:eastAsia="Arial Unicode MS" w:hAnsi="Cambria Math" w:cs="Arial"/>
                      <w:i/>
                      <w:sz w:val="24"/>
                      <w:szCs w:val="24"/>
                    </w:rPr>
                  </m:ctrlPr>
                </m:dPr>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m</m:t>
                      </m:r>
                    </m:sub>
                  </m:sSub>
                </m:e>
              </m:d>
            </m:den>
          </m:f>
          <m:r>
            <w:rPr>
              <w:rFonts w:ascii="Cambria Math" w:eastAsia="Arial Unicode MS" w:hAnsi="Cambria Math" w:cs="Arial"/>
              <w:sz w:val="24"/>
              <w:szCs w:val="24"/>
            </w:rPr>
            <m:t>=</m:t>
          </m:r>
          <m:f>
            <m:fPr>
              <m:ctrlPr>
                <w:rPr>
                  <w:rFonts w:ascii="Cambria Math" w:eastAsia="Arial Unicode MS" w:hAnsi="Cambria Math" w:cs="Arial"/>
                  <w:i/>
                  <w:sz w:val="24"/>
                  <w:szCs w:val="24"/>
                </w:rPr>
              </m:ctrlPr>
            </m:fPr>
            <m:num>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ρ</m:t>
                  </m:r>
                </m:e>
                <m:sub>
                  <m:r>
                    <w:rPr>
                      <w:rFonts w:ascii="Cambria Math" w:eastAsia="Arial Unicode MS" w:hAnsi="Cambria Math" w:cs="Arial"/>
                      <w:sz w:val="24"/>
                      <w:szCs w:val="24"/>
                    </w:rPr>
                    <m:t>pm</m:t>
                  </m:r>
                </m:sub>
              </m:sSub>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σ</m:t>
                  </m:r>
                </m:e>
                <m:sub>
                  <m:r>
                    <w:rPr>
                      <w:rFonts w:ascii="Cambria Math" w:eastAsia="Arial Unicode MS" w:hAnsi="Cambria Math" w:cs="Arial"/>
                      <w:sz w:val="24"/>
                      <w:szCs w:val="24"/>
                    </w:rPr>
                    <m:t>p</m:t>
                  </m:r>
                </m:sub>
              </m:sSub>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σ</m:t>
                  </m:r>
                </m:e>
                <m:sub>
                  <m:r>
                    <w:rPr>
                      <w:rFonts w:ascii="Cambria Math" w:eastAsia="Arial Unicode MS" w:hAnsi="Cambria Math" w:cs="Arial"/>
                      <w:sz w:val="24"/>
                      <w:szCs w:val="24"/>
                    </w:rPr>
                    <m:t>m</m:t>
                  </m:r>
                </m:sub>
              </m:sSub>
            </m:num>
            <m:den>
              <m:sSubSup>
                <m:sSubSupPr>
                  <m:ctrlPr>
                    <w:rPr>
                      <w:rFonts w:ascii="Cambria Math" w:eastAsia="Arial Unicode MS" w:hAnsi="Cambria Math" w:cs="Arial"/>
                      <w:i/>
                      <w:sz w:val="24"/>
                      <w:szCs w:val="24"/>
                    </w:rPr>
                  </m:ctrlPr>
                </m:sSubSupPr>
                <m:e>
                  <m:r>
                    <w:rPr>
                      <w:rFonts w:ascii="Cambria Math" w:eastAsia="Arial Unicode MS" w:hAnsi="Cambria Math" w:cs="Arial"/>
                      <w:sz w:val="24"/>
                      <w:szCs w:val="24"/>
                    </w:rPr>
                    <m:t>σ</m:t>
                  </m:r>
                </m:e>
                <m:sub>
                  <m:r>
                    <w:rPr>
                      <w:rFonts w:ascii="Cambria Math" w:eastAsia="Arial Unicode MS" w:hAnsi="Cambria Math" w:cs="Arial"/>
                      <w:sz w:val="24"/>
                      <w:szCs w:val="24"/>
                    </w:rPr>
                    <m:t>m</m:t>
                  </m:r>
                </m:sub>
                <m:sup>
                  <m:r>
                    <w:rPr>
                      <w:rFonts w:ascii="Cambria Math" w:eastAsia="Arial Unicode MS" w:hAnsi="Cambria Math" w:cs="Arial"/>
                      <w:sz w:val="24"/>
                      <w:szCs w:val="24"/>
                    </w:rPr>
                    <m:t>2</m:t>
                  </m:r>
                </m:sup>
              </m:sSubSup>
            </m:den>
          </m:f>
          <m:r>
            <w:rPr>
              <w:rFonts w:ascii="Cambria Math" w:eastAsia="Arial Unicode MS" w:hAnsi="Cambria Math" w:cs="Arial"/>
              <w:sz w:val="24"/>
              <w:szCs w:val="24"/>
            </w:rPr>
            <m:t>=</m:t>
          </m:r>
          <m:f>
            <m:fPr>
              <m:ctrlPr>
                <w:rPr>
                  <w:rFonts w:ascii="Cambria Math" w:eastAsia="Arial Unicode MS" w:hAnsi="Cambria Math" w:cs="Arial"/>
                  <w:i/>
                  <w:sz w:val="24"/>
                  <w:szCs w:val="24"/>
                </w:rPr>
              </m:ctrlPr>
            </m:fPr>
            <m:num>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ρ</m:t>
                  </m:r>
                </m:e>
                <m:sub>
                  <m:r>
                    <w:rPr>
                      <w:rFonts w:ascii="Cambria Math" w:eastAsia="Arial Unicode MS" w:hAnsi="Cambria Math" w:cs="Arial"/>
                      <w:sz w:val="24"/>
                      <w:szCs w:val="24"/>
                    </w:rPr>
                    <m:t>pm</m:t>
                  </m:r>
                </m:sub>
              </m:sSub>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σ</m:t>
                  </m:r>
                </m:e>
                <m:sub>
                  <m:r>
                    <w:rPr>
                      <w:rFonts w:ascii="Cambria Math" w:eastAsia="Arial Unicode MS" w:hAnsi="Cambria Math" w:cs="Arial"/>
                      <w:sz w:val="24"/>
                      <w:szCs w:val="24"/>
                    </w:rPr>
                    <m:t>p</m:t>
                  </m:r>
                </m:sub>
              </m:sSub>
            </m:num>
            <m:den>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σ</m:t>
                  </m:r>
                </m:e>
                <m:sub>
                  <m:r>
                    <w:rPr>
                      <w:rFonts w:ascii="Cambria Math" w:eastAsia="Arial Unicode MS" w:hAnsi="Cambria Math" w:cs="Arial"/>
                      <w:sz w:val="24"/>
                      <w:szCs w:val="24"/>
                    </w:rPr>
                    <m:t>m</m:t>
                  </m:r>
                </m:sub>
              </m:sSub>
            </m:den>
          </m:f>
        </m:oMath>
      </m:oMathPara>
    </w:p>
    <w:p w:rsidR="007E28CD" w:rsidRPr="00670830" w:rsidRDefault="007E28CD" w:rsidP="00670830">
      <w:pPr>
        <w:spacing w:before="100" w:beforeAutospacing="1" w:after="100" w:afterAutospacing="1" w:line="360" w:lineRule="auto"/>
        <w:rPr>
          <w:rFonts w:ascii="Arial" w:eastAsia="Arial Unicode MS" w:hAnsi="Arial" w:cs="Arial"/>
          <w:sz w:val="24"/>
          <w:szCs w:val="24"/>
        </w:rPr>
      </w:pPr>
    </w:p>
    <w:p w:rsidR="007E28CD" w:rsidRPr="00670830" w:rsidRDefault="00AC26BD" w:rsidP="00670830">
      <w:pPr>
        <w:tabs>
          <w:tab w:val="left" w:pos="567"/>
        </w:tabs>
        <w:spacing w:before="100" w:beforeAutospacing="1" w:after="100" w:afterAutospacing="1" w:line="360" w:lineRule="auto"/>
        <w:rPr>
          <w:rFonts w:ascii="Arial" w:eastAsia="Arial Unicode MS" w:hAnsi="Arial" w:cs="Arial"/>
          <w:sz w:val="24"/>
          <w:szCs w:val="24"/>
        </w:rPr>
      </w:pPr>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p</m:t>
            </m:r>
          </m:sub>
        </m:sSub>
      </m:oMath>
      <w:r w:rsidR="007E28CD" w:rsidRPr="00670830">
        <w:rPr>
          <w:rFonts w:ascii="Arial" w:eastAsia="Arial Unicode MS" w:hAnsi="Arial" w:cs="Arial"/>
          <w:sz w:val="24"/>
          <w:szCs w:val="24"/>
        </w:rPr>
        <w:t xml:space="preserve">   = Rendimiento de la acción </w:t>
      </w:r>
      <w:r w:rsidR="007E28CD" w:rsidRPr="00670830">
        <w:rPr>
          <w:rFonts w:ascii="Arial" w:eastAsia="Arial Unicode MS" w:hAnsi="Arial" w:cs="Arial"/>
          <w:i/>
          <w:sz w:val="24"/>
          <w:szCs w:val="24"/>
        </w:rPr>
        <w:t>p</w:t>
      </w:r>
    </w:p>
    <w:p w:rsidR="007E28CD" w:rsidRPr="00670830" w:rsidRDefault="00AC26BD" w:rsidP="00670830">
      <w:pPr>
        <w:tabs>
          <w:tab w:val="left" w:pos="567"/>
        </w:tabs>
        <w:spacing w:before="100" w:beforeAutospacing="1" w:after="100" w:afterAutospacing="1" w:line="360" w:lineRule="auto"/>
        <w:rPr>
          <w:rFonts w:ascii="Arial" w:eastAsia="Arial Unicode MS" w:hAnsi="Arial" w:cs="Arial"/>
          <w:sz w:val="24"/>
          <w:szCs w:val="24"/>
        </w:rPr>
      </w:pPr>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f</m:t>
            </m:r>
          </m:sub>
        </m:sSub>
      </m:oMath>
      <w:r w:rsidR="007E28CD" w:rsidRPr="00670830">
        <w:rPr>
          <w:rFonts w:ascii="Arial" w:eastAsia="Arial Unicode MS" w:hAnsi="Arial" w:cs="Arial"/>
          <w:sz w:val="24"/>
          <w:szCs w:val="24"/>
        </w:rPr>
        <w:t xml:space="preserve">    = Rendimiento libre de riesgo</w:t>
      </w:r>
    </w:p>
    <w:p w:rsidR="007E28CD" w:rsidRPr="00670830" w:rsidRDefault="00AC26BD" w:rsidP="00670830">
      <w:pPr>
        <w:tabs>
          <w:tab w:val="left" w:pos="567"/>
        </w:tabs>
        <w:spacing w:before="100" w:beforeAutospacing="1" w:after="100" w:afterAutospacing="1" w:line="360" w:lineRule="auto"/>
        <w:rPr>
          <w:rFonts w:ascii="Arial" w:eastAsia="Arial Unicode MS" w:hAnsi="Arial" w:cs="Arial"/>
          <w:sz w:val="24"/>
          <w:szCs w:val="24"/>
        </w:rPr>
      </w:pPr>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M</m:t>
            </m:r>
          </m:sub>
        </m:sSub>
      </m:oMath>
      <w:r w:rsidR="007E28CD" w:rsidRPr="00670830">
        <w:rPr>
          <w:rFonts w:ascii="Arial" w:eastAsia="Arial Unicode MS" w:hAnsi="Arial" w:cs="Arial"/>
          <w:sz w:val="24"/>
          <w:szCs w:val="24"/>
        </w:rPr>
        <w:t xml:space="preserve">  = Rendimiento del mercado</w:t>
      </w:r>
    </w:p>
    <w:p w:rsidR="007E28CD" w:rsidRPr="00670830" w:rsidRDefault="00AC26BD" w:rsidP="00670830">
      <w:pPr>
        <w:tabs>
          <w:tab w:val="left" w:pos="567"/>
        </w:tabs>
        <w:spacing w:before="100" w:beforeAutospacing="1" w:after="100" w:afterAutospacing="1" w:line="360" w:lineRule="auto"/>
        <w:rPr>
          <w:rFonts w:ascii="Arial" w:eastAsia="Arial Unicode MS" w:hAnsi="Arial" w:cs="Arial"/>
          <w:sz w:val="24"/>
          <w:szCs w:val="24"/>
        </w:rPr>
      </w:pPr>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β</m:t>
            </m:r>
          </m:e>
          <m:sub>
            <m:r>
              <w:rPr>
                <w:rFonts w:ascii="Cambria Math" w:eastAsia="Arial Unicode MS" w:hAnsi="Cambria Math" w:cs="Arial"/>
                <w:sz w:val="24"/>
                <w:szCs w:val="24"/>
              </w:rPr>
              <m:t>p</m:t>
            </m:r>
          </m:sub>
        </m:sSub>
      </m:oMath>
      <w:r w:rsidR="007E28CD" w:rsidRPr="00670830">
        <w:rPr>
          <w:rFonts w:ascii="Arial" w:eastAsia="Arial Unicode MS" w:hAnsi="Arial" w:cs="Arial"/>
          <w:sz w:val="24"/>
          <w:szCs w:val="24"/>
        </w:rPr>
        <w:t xml:space="preserve">   = Beta </w:t>
      </w:r>
    </w:p>
    <w:p w:rsidR="007E28CD" w:rsidRPr="00670830" w:rsidRDefault="007E28CD" w:rsidP="00670830">
      <w:pPr>
        <w:tabs>
          <w:tab w:val="left" w:pos="567"/>
        </w:tabs>
        <w:spacing w:before="100" w:beforeAutospacing="1" w:after="100" w:afterAutospacing="1" w:line="360" w:lineRule="auto"/>
        <w:rPr>
          <w:rFonts w:ascii="Arial" w:eastAsia="Arial Unicode MS" w:hAnsi="Arial" w:cs="Arial"/>
          <w:sz w:val="24"/>
          <w:szCs w:val="24"/>
        </w:rPr>
      </w:pPr>
      <m:oMath>
        <m:r>
          <w:rPr>
            <w:rFonts w:ascii="Cambria Math" w:eastAsia="Arial Unicode MS" w:hAnsi="Cambria Math" w:cs="Arial"/>
            <w:sz w:val="24"/>
            <w:szCs w:val="24"/>
          </w:rPr>
          <m:t>β</m:t>
        </m:r>
        <m:d>
          <m:dPr>
            <m:ctrlPr>
              <w:rPr>
                <w:rFonts w:ascii="Cambria Math" w:eastAsia="Arial Unicode MS" w:hAnsi="Cambria Math" w:cs="Arial"/>
                <w:i/>
                <w:sz w:val="24"/>
                <w:szCs w:val="24"/>
              </w:rPr>
            </m:ctrlPr>
          </m:dPr>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m</m:t>
                </m:r>
              </m:sub>
            </m:sSub>
            <m:r>
              <w:rPr>
                <w:rFonts w:ascii="Cambria Math" w:eastAsia="Arial Unicode MS" w:hAnsi="Cambria Math" w:cs="Arial"/>
                <w:sz w:val="24"/>
                <w:szCs w:val="24"/>
              </w:rPr>
              <m:t>-</m:t>
            </m:r>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f</m:t>
                </m:r>
              </m:sub>
            </m:sSub>
          </m:e>
        </m:d>
      </m:oMath>
      <w:r w:rsidRPr="00670830">
        <w:rPr>
          <w:rFonts w:ascii="Arial" w:eastAsia="Arial Unicode MS" w:hAnsi="Arial" w:cs="Arial"/>
          <w:sz w:val="24"/>
          <w:szCs w:val="24"/>
        </w:rPr>
        <w:t xml:space="preserve"> = Prima de Riesgo de la Acción “</w:t>
      </w:r>
      <w:r w:rsidRPr="00670830">
        <w:rPr>
          <w:rFonts w:ascii="Arial" w:eastAsia="Arial Unicode MS" w:hAnsi="Arial" w:cs="Arial"/>
          <w:i/>
          <w:sz w:val="24"/>
          <w:szCs w:val="24"/>
        </w:rPr>
        <w:t>p</w:t>
      </w:r>
      <w:r w:rsidRPr="00670830">
        <w:rPr>
          <w:rFonts w:ascii="Arial" w:eastAsia="Arial Unicode MS" w:hAnsi="Arial" w:cs="Arial"/>
          <w:sz w:val="24"/>
          <w:szCs w:val="24"/>
        </w:rPr>
        <w:t>”</w:t>
      </w:r>
    </w:p>
    <w:p w:rsidR="007E28CD" w:rsidRPr="00670830" w:rsidRDefault="00AC26BD" w:rsidP="00670830">
      <w:pPr>
        <w:tabs>
          <w:tab w:val="left" w:pos="567"/>
        </w:tabs>
        <w:spacing w:before="100" w:beforeAutospacing="1" w:after="100" w:afterAutospacing="1" w:line="360" w:lineRule="auto"/>
        <w:ind w:left="567" w:hanging="567"/>
        <w:rPr>
          <w:rFonts w:ascii="Arial" w:eastAsia="Arial Unicode MS" w:hAnsi="Arial" w:cs="Arial"/>
          <w:sz w:val="24"/>
          <w:szCs w:val="24"/>
        </w:rPr>
      </w:pPr>
      <m:oMath>
        <m:d>
          <m:dPr>
            <m:ctrlPr>
              <w:rPr>
                <w:rFonts w:ascii="Cambria Math" w:eastAsia="Arial Unicode MS" w:hAnsi="Cambria Math" w:cs="Arial"/>
                <w:i/>
                <w:sz w:val="24"/>
                <w:szCs w:val="24"/>
              </w:rPr>
            </m:ctrlPr>
          </m:dPr>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m</m:t>
                </m:r>
              </m:sub>
            </m:sSub>
            <m:r>
              <w:rPr>
                <w:rFonts w:ascii="Cambria Math" w:eastAsia="Arial Unicode MS" w:hAnsi="Cambria Math" w:cs="Arial"/>
                <w:sz w:val="24"/>
                <w:szCs w:val="24"/>
              </w:rPr>
              <m:t>-</m:t>
            </m:r>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f</m:t>
                </m:r>
              </m:sub>
            </m:sSub>
          </m:e>
        </m:d>
      </m:oMath>
      <w:r w:rsidR="007E28CD" w:rsidRPr="00670830">
        <w:rPr>
          <w:rFonts w:ascii="Arial" w:eastAsia="Arial Unicode MS" w:hAnsi="Arial" w:cs="Arial"/>
          <w:sz w:val="24"/>
          <w:szCs w:val="24"/>
        </w:rPr>
        <w:t xml:space="preserve">    = Prima de Riesgo del Mercado </w:t>
      </w:r>
    </w:p>
    <w:p w:rsidR="007E28CD" w:rsidRPr="00670830" w:rsidRDefault="007E28CD" w:rsidP="00670830">
      <w:pPr>
        <w:spacing w:before="100" w:beforeAutospacing="1" w:after="100" w:afterAutospacing="1" w:line="360" w:lineRule="auto"/>
        <w:rPr>
          <w:rFonts w:ascii="Arial" w:eastAsia="Arial Unicode MS" w:hAnsi="Arial" w:cs="Arial"/>
          <w:sz w:val="24"/>
          <w:szCs w:val="24"/>
        </w:rPr>
      </w:pPr>
    </w:p>
    <w:p w:rsidR="00B16C14" w:rsidRPr="00670830" w:rsidRDefault="00B16C1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Como se ve, según el modelo, el único riesgo relevante, el único que debe ser retribuido, es el que se denomina “riesgo sistemático” (aquel que no puede eliminarse por diversificación), y propone una medida del mismo, la beta. Esta beta es una medida del grado de relación de la rentabilidad de un título con la del mercado, es decir, como el cociente de la covarianza de la rentabilidad del título con el mercado y la varianza de rentabilidad de éste último.</w:t>
      </w:r>
    </w:p>
    <w:p w:rsidR="00B16C14" w:rsidRPr="00670830" w:rsidRDefault="00B16C1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Así, el mercado tendría una beta igual a la unidad, y cada título tendría un premio de rentabilidad en función del riesgo que aporta a su propietario: dicho premio vendría dado por el producto del premio por unidad de riesgo (la diferencia entre la rentabilidad de la cartera de mercado y el tipo sin riesgo) multiplicado por la cantidad de riesgo sistemático que aporta (su beta).</w:t>
      </w:r>
    </w:p>
    <w:p w:rsidR="007E28CD" w:rsidRPr="00670830" w:rsidRDefault="007E28CD" w:rsidP="00670830">
      <w:pPr>
        <w:spacing w:before="100" w:beforeAutospacing="1" w:after="100" w:afterAutospacing="1" w:line="360" w:lineRule="auto"/>
        <w:rPr>
          <w:rFonts w:ascii="Arial" w:eastAsia="Arial Unicode MS" w:hAnsi="Arial" w:cs="Arial"/>
          <w:sz w:val="24"/>
          <w:szCs w:val="24"/>
        </w:rPr>
      </w:pPr>
    </w:p>
    <w:p w:rsidR="007C7EB3" w:rsidRPr="00670830" w:rsidRDefault="007C7EB3" w:rsidP="00670830">
      <w:pPr>
        <w:pStyle w:val="Ttulo2"/>
        <w:spacing w:before="100" w:beforeAutospacing="1" w:after="100" w:afterAutospacing="1" w:line="360" w:lineRule="auto"/>
        <w:jc w:val="both"/>
        <w:rPr>
          <w:rFonts w:ascii="Arial" w:eastAsia="Arial Unicode MS" w:hAnsi="Arial" w:cs="Arial"/>
          <w:color w:val="auto"/>
          <w:sz w:val="24"/>
          <w:szCs w:val="24"/>
        </w:rPr>
      </w:pPr>
      <w:bookmarkStart w:id="26" w:name="_Toc488230503"/>
      <w:r w:rsidRPr="00670830">
        <w:rPr>
          <w:rFonts w:ascii="Arial" w:eastAsia="Arial Unicode MS" w:hAnsi="Arial" w:cs="Arial"/>
          <w:color w:val="auto"/>
          <w:sz w:val="24"/>
          <w:szCs w:val="24"/>
        </w:rPr>
        <w:t>3.3</w:t>
      </w:r>
      <w:r w:rsidR="00740DD9" w:rsidRPr="00670830">
        <w:rPr>
          <w:rFonts w:ascii="Arial" w:eastAsia="Arial Unicode MS" w:hAnsi="Arial" w:cs="Arial"/>
          <w:color w:val="auto"/>
          <w:sz w:val="24"/>
          <w:szCs w:val="24"/>
        </w:rPr>
        <w:t>.</w:t>
      </w:r>
      <w:r w:rsidRPr="00670830">
        <w:rPr>
          <w:rFonts w:ascii="Arial" w:eastAsia="Arial Unicode MS" w:hAnsi="Arial" w:cs="Arial"/>
          <w:color w:val="auto"/>
          <w:sz w:val="24"/>
          <w:szCs w:val="24"/>
        </w:rPr>
        <w:t xml:space="preserve">  Riesgo</w:t>
      </w:r>
      <w:bookmarkEnd w:id="26"/>
    </w:p>
    <w:p w:rsidR="004D2F67" w:rsidRPr="00670830" w:rsidRDefault="004D2F67"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riesgo es aquello que puede acontecer en un futuro, más o menos cercano, y que preocupa por sus consecuencias porque está siempre presente en cualquier actividad que se realice.</w:t>
      </w:r>
    </w:p>
    <w:p w:rsidR="00224C2F" w:rsidRPr="00670830" w:rsidRDefault="004D2F67"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Pero no sólo tiene una vertiente negativa, relacionada con pérdidas económicas o daños físicos o morales; también puede entenderse desde su lado positivo cuando la exposición a determinados riesgos permite obtener ganancias.</w:t>
      </w:r>
      <w:r w:rsidR="00552412" w:rsidRPr="00670830">
        <w:rPr>
          <w:rFonts w:ascii="Arial" w:eastAsia="Arial Unicode MS" w:hAnsi="Arial" w:cs="Arial"/>
          <w:sz w:val="24"/>
          <w:szCs w:val="24"/>
        </w:rPr>
        <w:t xml:space="preserve"> </w:t>
      </w:r>
      <w:r w:rsidR="007A515C" w:rsidRPr="00670830">
        <w:rPr>
          <w:rFonts w:ascii="Arial" w:eastAsia="Arial Unicode MS" w:hAnsi="Arial" w:cs="Arial"/>
          <w:sz w:val="24"/>
          <w:szCs w:val="24"/>
        </w:rPr>
        <w:t>[http://segurosypensionesparatodos.fundacionmapfre.org/]</w:t>
      </w:r>
    </w:p>
    <w:p w:rsidR="00EC4103" w:rsidRPr="00670830" w:rsidRDefault="005A4FA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La palabra riesgo proviene del latín </w:t>
      </w:r>
      <w:proofErr w:type="spellStart"/>
      <w:r w:rsidRPr="00670830">
        <w:rPr>
          <w:rFonts w:ascii="Arial" w:eastAsia="Arial Unicode MS" w:hAnsi="Arial" w:cs="Arial"/>
          <w:i/>
          <w:sz w:val="24"/>
          <w:szCs w:val="24"/>
        </w:rPr>
        <w:t>risicare</w:t>
      </w:r>
      <w:proofErr w:type="spellEnd"/>
      <w:r w:rsidRPr="00670830">
        <w:rPr>
          <w:rFonts w:ascii="Arial" w:eastAsia="Arial Unicode MS" w:hAnsi="Arial" w:cs="Arial"/>
          <w:sz w:val="24"/>
          <w:szCs w:val="24"/>
        </w:rPr>
        <w:t xml:space="preserve"> que significa atreverse o transitar por un sendero peligroso. En realidad tiene un significado negativo, relacionado con peligro, daño, siniestro o pérdida. Sin embargo, el riesgo es parte inevitable de los procesos de toma de decisiones en general y de los procesos de inversión en particular. El beneficio que se pueda obtener por cualquier decisión o acción que se adopte, debe asociarse necesariamente con el riesgo inherente a dicha decisión o acción. En finanzas, el concepto riesgo se relaciona con las pérdidas potenciales que se pueden sufrir en un</w:t>
      </w:r>
      <w:r w:rsidR="000065A5" w:rsidRPr="00670830">
        <w:rPr>
          <w:rFonts w:ascii="Arial" w:eastAsia="Arial Unicode MS" w:hAnsi="Arial" w:cs="Arial"/>
          <w:sz w:val="24"/>
          <w:szCs w:val="24"/>
        </w:rPr>
        <w:t>a cartera</w:t>
      </w:r>
      <w:r w:rsidR="00EC4103" w:rsidRPr="00670830">
        <w:rPr>
          <w:rFonts w:ascii="Arial" w:eastAsia="Arial Unicode MS" w:hAnsi="Arial" w:cs="Arial"/>
          <w:sz w:val="24"/>
          <w:szCs w:val="24"/>
        </w:rPr>
        <w:t xml:space="preserve"> de inversión.</w:t>
      </w:r>
    </w:p>
    <w:p w:rsidR="00794DF7" w:rsidRPr="00670830" w:rsidRDefault="00EC4103"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La medición efectiva y cuantitativa del riesgo se asocia con la probabilidad de pérdida en el futuro. Los seres humanos deben conocer y responder de manera intuitiva o cuantitativa a las probabilidades que confrontan en cada decisión. La esencia de la administración de riesgos consiste en medir esas probabilidades en contextos de incertidumbre. [De Lara, 2002] </w:t>
      </w:r>
      <w:r w:rsidR="005A4FAA" w:rsidRPr="00670830">
        <w:rPr>
          <w:rFonts w:ascii="Arial" w:eastAsia="Arial Unicode MS" w:hAnsi="Arial" w:cs="Arial"/>
          <w:sz w:val="24"/>
          <w:szCs w:val="24"/>
        </w:rPr>
        <w:t xml:space="preserve"> </w:t>
      </w:r>
    </w:p>
    <w:p w:rsidR="007A515C" w:rsidRPr="00670830" w:rsidRDefault="00EC4103" w:rsidP="00670830">
      <w:pPr>
        <w:spacing w:before="100" w:beforeAutospacing="1" w:after="100" w:afterAutospacing="1" w:line="360" w:lineRule="auto"/>
        <w:rPr>
          <w:rFonts w:ascii="Arial" w:eastAsia="Arial Unicode MS" w:hAnsi="Arial" w:cs="Arial"/>
          <w:sz w:val="24"/>
          <w:szCs w:val="24"/>
        </w:rPr>
      </w:pPr>
      <w:r w:rsidRPr="00670830">
        <w:rPr>
          <w:rFonts w:ascii="Arial" w:eastAsia="Arial Unicode MS" w:hAnsi="Arial" w:cs="Arial"/>
          <w:sz w:val="24"/>
          <w:szCs w:val="24"/>
        </w:rPr>
        <w:t xml:space="preserve"> </w:t>
      </w:r>
    </w:p>
    <w:p w:rsidR="007C7EB3" w:rsidRPr="00670830" w:rsidRDefault="007C7EB3" w:rsidP="00670830">
      <w:pPr>
        <w:pStyle w:val="Ttulo3"/>
        <w:spacing w:before="100" w:beforeAutospacing="1" w:after="100" w:afterAutospacing="1" w:line="360" w:lineRule="auto"/>
        <w:jc w:val="both"/>
        <w:rPr>
          <w:rFonts w:ascii="Arial" w:eastAsia="Arial Unicode MS" w:hAnsi="Arial" w:cs="Arial"/>
          <w:color w:val="auto"/>
          <w:sz w:val="24"/>
          <w:szCs w:val="24"/>
        </w:rPr>
      </w:pPr>
      <w:bookmarkStart w:id="27" w:name="_Toc488230504"/>
      <w:r w:rsidRPr="00670830">
        <w:rPr>
          <w:rFonts w:ascii="Arial" w:eastAsia="Arial Unicode MS" w:hAnsi="Arial" w:cs="Arial"/>
          <w:color w:val="auto"/>
          <w:sz w:val="24"/>
          <w:szCs w:val="24"/>
        </w:rPr>
        <w:t>3.3.1. Tipos de riesgo</w:t>
      </w:r>
      <w:bookmarkEnd w:id="27"/>
    </w:p>
    <w:p w:rsidR="005E1970" w:rsidRPr="00670830" w:rsidRDefault="005E1970"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Como se definió en el apartado anterior, el riesgo puede definirse como la volatilidad </w:t>
      </w:r>
      <w:r w:rsidR="00C043E5" w:rsidRPr="00670830">
        <w:rPr>
          <w:rFonts w:ascii="Arial" w:eastAsia="Arial Unicode MS" w:hAnsi="Arial" w:cs="Arial"/>
          <w:sz w:val="24"/>
          <w:szCs w:val="24"/>
        </w:rPr>
        <w:t>de los resultados inesperados, estos pueden representar el valor de los activos, capital, o en los ingresos. Las empresas están expuestas a varios tipos de riesgo, los cuales pueden ser clasificados, de manera muy general, en riesgos empresariales, o inherentes al negocio, y en riesgos financieros.</w:t>
      </w:r>
    </w:p>
    <w:p w:rsidR="005E1970" w:rsidRPr="00670830" w:rsidRDefault="00030997"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Los riesgos empresariales son aquellos que las corporaciones asumen esperando crear ventajas competitivas así como agregar valor para los accionistas. El riesgo empresarial incluye las decisiones de negocio que tomen las compañías y el mercado o entorno en el que operen.  </w:t>
      </w:r>
    </w:p>
    <w:p w:rsidR="00030997" w:rsidRPr="00670830" w:rsidRDefault="00B54C02"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Las decisiones de negocio incluyen decisiones de inversiones, desarrollo de nuevos productos, estrategias de marketing, la selección de la estructura de la empresa. Incluyen también el riesgo de decisiones estratégicas, el cual es muy amplio en su naturaleza y refleja las decisiones que realizan los altos ejecutivos de la empresa.</w:t>
      </w:r>
    </w:p>
    <w:p w:rsidR="00B54C02" w:rsidRPr="00670830" w:rsidRDefault="00B12CA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riesgo dentro del entorno del negocio incluye</w:t>
      </w:r>
      <w:r w:rsidR="00B54C02" w:rsidRPr="00670830">
        <w:rPr>
          <w:rFonts w:ascii="Arial" w:eastAsia="Arial Unicode MS" w:hAnsi="Arial" w:cs="Arial"/>
          <w:sz w:val="24"/>
          <w:szCs w:val="24"/>
        </w:rPr>
        <w:t xml:space="preserve"> la competencia del mercado</w:t>
      </w:r>
      <w:r w:rsidRPr="00670830">
        <w:rPr>
          <w:rFonts w:ascii="Arial" w:eastAsia="Arial Unicode MS" w:hAnsi="Arial" w:cs="Arial"/>
          <w:sz w:val="24"/>
          <w:szCs w:val="24"/>
        </w:rPr>
        <w:t xml:space="preserve"> y alteraciones macroeconómicas.  La exposición juiciosa a los riesgos del negocio es una competencia básica que toda empresa debe buscar dominar.</w:t>
      </w:r>
      <w:r w:rsidR="00B54C02" w:rsidRPr="00670830">
        <w:rPr>
          <w:rFonts w:ascii="Arial" w:eastAsia="Arial Unicode MS" w:hAnsi="Arial" w:cs="Arial"/>
          <w:sz w:val="24"/>
          <w:szCs w:val="24"/>
        </w:rPr>
        <w:t xml:space="preserve"> </w:t>
      </w:r>
    </w:p>
    <w:p w:rsidR="00B54C02" w:rsidRPr="00670830" w:rsidRDefault="00B12CA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Otros t</w:t>
      </w:r>
      <w:r w:rsidR="003473FC" w:rsidRPr="00670830">
        <w:rPr>
          <w:rFonts w:ascii="Arial" w:eastAsia="Arial Unicode MS" w:hAnsi="Arial" w:cs="Arial"/>
          <w:sz w:val="24"/>
          <w:szCs w:val="24"/>
        </w:rPr>
        <w:t xml:space="preserve">ipos de riesgo son clasificados, por lo general, en riesgos financieros, éstos se refieren a las pérdidas potenciales debidas a las actividades que desarrolle la empresa en los mercados financieros, por ejemplo, pueden ocurrir pérdidas como resultado de las variaciones en las tasas de interés o por cuestiones de impago en obligaciones financieras. </w:t>
      </w:r>
    </w:p>
    <w:p w:rsidR="009629C7" w:rsidRPr="00670830" w:rsidRDefault="00391CC0"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Existen diferentes naturalezas de riesgos</w:t>
      </w:r>
      <w:r w:rsidR="00865BC2" w:rsidRPr="00670830">
        <w:rPr>
          <w:rFonts w:ascii="Arial" w:eastAsia="Arial Unicode MS" w:hAnsi="Arial" w:cs="Arial"/>
          <w:sz w:val="24"/>
          <w:szCs w:val="24"/>
        </w:rPr>
        <w:t xml:space="preserve"> financieros</w:t>
      </w:r>
      <w:r w:rsidRPr="00670830">
        <w:rPr>
          <w:rFonts w:ascii="Arial" w:eastAsia="Arial Unicode MS" w:hAnsi="Arial" w:cs="Arial"/>
          <w:sz w:val="24"/>
          <w:szCs w:val="24"/>
        </w:rPr>
        <w:t>, las cuales se pueden clasificar en las siguientes categorías:</w:t>
      </w:r>
    </w:p>
    <w:p w:rsidR="003473FC" w:rsidRPr="00670830" w:rsidRDefault="003473FC" w:rsidP="00670830">
      <w:pPr>
        <w:spacing w:before="100" w:beforeAutospacing="1" w:after="100" w:afterAutospacing="1" w:line="360" w:lineRule="auto"/>
        <w:jc w:val="both"/>
        <w:rPr>
          <w:rFonts w:ascii="Arial" w:eastAsia="Arial Unicode MS" w:hAnsi="Arial" w:cs="Arial"/>
          <w:sz w:val="24"/>
          <w:szCs w:val="24"/>
        </w:rPr>
      </w:pPr>
    </w:p>
    <w:p w:rsidR="007C7EB3" w:rsidRPr="00670830" w:rsidRDefault="007C7EB3" w:rsidP="00670830">
      <w:pPr>
        <w:pStyle w:val="Ttulo4"/>
        <w:tabs>
          <w:tab w:val="center" w:pos="4419"/>
        </w:tabs>
        <w:spacing w:before="100" w:beforeAutospacing="1" w:after="100" w:afterAutospacing="1" w:line="360" w:lineRule="auto"/>
        <w:jc w:val="both"/>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3.3.1.1. Riesgo de mercado</w:t>
      </w:r>
    </w:p>
    <w:p w:rsidR="00B16C14" w:rsidRPr="00670830" w:rsidRDefault="00346E9C" w:rsidP="00670830">
      <w:pPr>
        <w:spacing w:line="360" w:lineRule="auto"/>
        <w:jc w:val="both"/>
        <w:rPr>
          <w:rFonts w:ascii="Arial" w:hAnsi="Arial" w:cs="Arial"/>
          <w:sz w:val="24"/>
          <w:szCs w:val="24"/>
        </w:rPr>
      </w:pPr>
      <w:r w:rsidRPr="00670830">
        <w:rPr>
          <w:rFonts w:ascii="Arial" w:hAnsi="Arial" w:cs="Arial"/>
          <w:sz w:val="24"/>
          <w:szCs w:val="24"/>
        </w:rPr>
        <w:t xml:space="preserve">Riesgo de mercado, es el riesgo de pérdidas debidas al movimiento en el nivel o volatilidad de los precios de mercado. </w:t>
      </w:r>
    </w:p>
    <w:p w:rsidR="001E0821" w:rsidRPr="00670830" w:rsidRDefault="00346E9C" w:rsidP="00670830">
      <w:pPr>
        <w:spacing w:line="360" w:lineRule="auto"/>
        <w:jc w:val="both"/>
        <w:rPr>
          <w:rFonts w:ascii="Arial" w:hAnsi="Arial" w:cs="Arial"/>
          <w:sz w:val="24"/>
          <w:szCs w:val="24"/>
        </w:rPr>
      </w:pPr>
      <w:r w:rsidRPr="00670830">
        <w:rPr>
          <w:rFonts w:ascii="Arial" w:hAnsi="Arial" w:cs="Arial"/>
          <w:sz w:val="24"/>
          <w:szCs w:val="24"/>
        </w:rPr>
        <w:t xml:space="preserve">El riesgo de mercado puede adoptar dos formas: riesgo absoluto, medido en términos monetarios (de la moneda representativa en cuestión), y riesgo relativo, medido relativo a un índice de referencia. </w:t>
      </w:r>
      <w:r w:rsidR="00842441" w:rsidRPr="00670830">
        <w:rPr>
          <w:rFonts w:ascii="Arial" w:hAnsi="Arial" w:cs="Arial"/>
          <w:sz w:val="24"/>
          <w:szCs w:val="24"/>
        </w:rPr>
        <w:t>El primero se enfoca en la volatilidad del retorno esperado</w:t>
      </w:r>
      <w:r w:rsidR="002B2F1E" w:rsidRPr="00670830">
        <w:rPr>
          <w:rFonts w:ascii="Arial" w:hAnsi="Arial" w:cs="Arial"/>
          <w:sz w:val="24"/>
          <w:szCs w:val="24"/>
        </w:rPr>
        <w:t>, el segundo mide el riesgo en términos de la desviación del índice.</w:t>
      </w:r>
    </w:p>
    <w:p w:rsidR="002B2F1E" w:rsidRPr="00670830" w:rsidRDefault="003C657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riesgo de mercado puede ser clasificado en direccional y no direccional. Riesgos direccionales involucran exposición a la dirección de los movimientos en variables financieras, como el precio de las acciones, tasas de interés, tipos de cambio y precios en “</w:t>
      </w:r>
      <w:proofErr w:type="spellStart"/>
      <w:r w:rsidRPr="00670830">
        <w:rPr>
          <w:rFonts w:ascii="Arial" w:eastAsia="Arial Unicode MS" w:hAnsi="Arial" w:cs="Arial"/>
          <w:sz w:val="24"/>
          <w:szCs w:val="24"/>
        </w:rPr>
        <w:t>commodities</w:t>
      </w:r>
      <w:proofErr w:type="spellEnd"/>
      <w:r w:rsidRPr="00670830">
        <w:rPr>
          <w:rFonts w:ascii="Arial" w:eastAsia="Arial Unicode MS" w:hAnsi="Arial" w:cs="Arial"/>
          <w:sz w:val="24"/>
          <w:szCs w:val="24"/>
        </w:rPr>
        <w:t>”. Riesgos no direccionales, entonces, se refieren a los riesgos remanentes que consisten en exposiciones no lineales o exposiciones a posiciones de cobertura o a volatilidades.</w:t>
      </w:r>
    </w:p>
    <w:p w:rsidR="003C657C" w:rsidRPr="00670830" w:rsidRDefault="003C657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Es controlado con límites en los nocional</w:t>
      </w:r>
      <w:r w:rsidR="00B16C14" w:rsidRPr="00670830">
        <w:rPr>
          <w:rFonts w:ascii="Arial" w:eastAsia="Arial Unicode MS" w:hAnsi="Arial" w:cs="Arial"/>
          <w:sz w:val="24"/>
          <w:szCs w:val="24"/>
        </w:rPr>
        <w:t>es, en las exposiciones, medidas</w:t>
      </w:r>
      <w:r w:rsidRPr="00670830">
        <w:rPr>
          <w:rFonts w:ascii="Arial" w:eastAsia="Arial Unicode MS" w:hAnsi="Arial" w:cs="Arial"/>
          <w:sz w:val="24"/>
          <w:szCs w:val="24"/>
        </w:rPr>
        <w:t xml:space="preserve"> de Valor en Riesgo y supervisión independiente </w:t>
      </w:r>
      <w:r w:rsidR="00FC0A4D" w:rsidRPr="00670830">
        <w:rPr>
          <w:rFonts w:ascii="Arial" w:eastAsia="Arial Unicode MS" w:hAnsi="Arial" w:cs="Arial"/>
          <w:sz w:val="24"/>
          <w:szCs w:val="24"/>
        </w:rPr>
        <w:t>por administradores de riesgo. [</w:t>
      </w:r>
      <w:proofErr w:type="spellStart"/>
      <w:r w:rsidR="00FC0A4D" w:rsidRPr="00670830">
        <w:rPr>
          <w:rFonts w:ascii="Arial" w:eastAsia="Arial Unicode MS" w:hAnsi="Arial" w:cs="Arial"/>
          <w:sz w:val="24"/>
          <w:szCs w:val="24"/>
        </w:rPr>
        <w:t>Jorion</w:t>
      </w:r>
      <w:proofErr w:type="spellEnd"/>
      <w:r w:rsidR="00FC0A4D" w:rsidRPr="00670830">
        <w:rPr>
          <w:rFonts w:ascii="Arial" w:eastAsia="Arial Unicode MS" w:hAnsi="Arial" w:cs="Arial"/>
          <w:sz w:val="24"/>
          <w:szCs w:val="24"/>
        </w:rPr>
        <w:t>, 2007]</w:t>
      </w:r>
    </w:p>
    <w:p w:rsidR="00A23A58" w:rsidRPr="00670830" w:rsidRDefault="004460E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De acuerdo a Alfonso de Lara Haro, 2002, éste se</w:t>
      </w:r>
      <w:r w:rsidR="00391CC0" w:rsidRPr="00670830">
        <w:rPr>
          <w:rFonts w:ascii="Arial" w:eastAsia="Arial Unicode MS" w:hAnsi="Arial" w:cs="Arial"/>
          <w:sz w:val="24"/>
          <w:szCs w:val="24"/>
        </w:rPr>
        <w:t xml:space="preserve"> entiende como la pérdida que puede sufrir un inversionista debido a la diferencia en los precios que se registran en el mercado o en movimientos de los llamados factores de riesgo (tasa de interés, tipos de cambio, etc.). </w:t>
      </w:r>
      <w:r w:rsidR="00B14766" w:rsidRPr="00670830">
        <w:rPr>
          <w:rFonts w:ascii="Arial" w:eastAsia="Arial Unicode MS" w:hAnsi="Arial" w:cs="Arial"/>
          <w:sz w:val="24"/>
          <w:szCs w:val="24"/>
        </w:rPr>
        <w:t>También se puede definir más formalmente como la posibilidad de que el valor</w:t>
      </w:r>
      <w:r w:rsidR="003548D7" w:rsidRPr="00670830">
        <w:rPr>
          <w:rFonts w:ascii="Arial" w:eastAsia="Arial Unicode MS" w:hAnsi="Arial" w:cs="Arial"/>
          <w:sz w:val="24"/>
          <w:szCs w:val="24"/>
        </w:rPr>
        <w:t xml:space="preserve"> presente neto de </w:t>
      </w:r>
      <w:r w:rsidR="0049623C" w:rsidRPr="00670830">
        <w:rPr>
          <w:rFonts w:ascii="Arial" w:eastAsia="Arial Unicode MS" w:hAnsi="Arial" w:cs="Arial"/>
          <w:sz w:val="24"/>
          <w:szCs w:val="24"/>
        </w:rPr>
        <w:t>una cartera</w:t>
      </w:r>
      <w:r w:rsidR="00B14766" w:rsidRPr="00670830">
        <w:rPr>
          <w:rFonts w:ascii="Arial" w:eastAsia="Arial Unicode MS" w:hAnsi="Arial" w:cs="Arial"/>
          <w:sz w:val="24"/>
          <w:szCs w:val="24"/>
        </w:rPr>
        <w:t xml:space="preserve"> se mueva adversamente ante cambios en las variables macroeconómicas que determinan el precio de los instrumentos que componen una car</w:t>
      </w:r>
      <w:r w:rsidR="00A20F14" w:rsidRPr="00670830">
        <w:rPr>
          <w:rFonts w:ascii="Arial" w:eastAsia="Arial Unicode MS" w:hAnsi="Arial" w:cs="Arial"/>
          <w:sz w:val="24"/>
          <w:szCs w:val="24"/>
        </w:rPr>
        <w:t xml:space="preserve">tera de valores. </w:t>
      </w:r>
    </w:p>
    <w:p w:rsidR="00B036C3" w:rsidRPr="00670830" w:rsidRDefault="00B036C3" w:rsidP="00670830">
      <w:pPr>
        <w:spacing w:before="100" w:beforeAutospacing="1" w:after="100" w:afterAutospacing="1" w:line="360" w:lineRule="auto"/>
        <w:jc w:val="both"/>
        <w:rPr>
          <w:rFonts w:ascii="Arial" w:eastAsia="Arial Unicode MS" w:hAnsi="Arial" w:cs="Arial"/>
          <w:sz w:val="24"/>
          <w:szCs w:val="24"/>
        </w:rPr>
      </w:pPr>
    </w:p>
    <w:p w:rsidR="00666B34" w:rsidRPr="00670830" w:rsidRDefault="005F43C5" w:rsidP="00670830">
      <w:pPr>
        <w:spacing w:before="100" w:beforeAutospacing="1" w:after="100" w:afterAutospacing="1" w:line="360" w:lineRule="auto"/>
        <w:jc w:val="both"/>
        <w:rPr>
          <w:rFonts w:ascii="Arial" w:eastAsia="Arial Unicode MS" w:hAnsi="Arial" w:cs="Arial"/>
          <w:b/>
          <w:sz w:val="24"/>
          <w:szCs w:val="24"/>
          <w:u w:val="single"/>
        </w:rPr>
      </w:pPr>
      <w:r w:rsidRPr="00670830">
        <w:rPr>
          <w:rFonts w:ascii="Arial" w:eastAsia="Arial Unicode MS" w:hAnsi="Arial" w:cs="Arial"/>
          <w:b/>
          <w:sz w:val="24"/>
          <w:szCs w:val="24"/>
          <w:u w:val="single"/>
        </w:rPr>
        <w:t>Medidas de sensibilidad</w:t>
      </w:r>
    </w:p>
    <w:p w:rsidR="001E0821" w:rsidRPr="00670830" w:rsidRDefault="005F43C5" w:rsidP="00670830">
      <w:pPr>
        <w:pStyle w:val="Prrafodelista"/>
        <w:numPr>
          <w:ilvl w:val="0"/>
          <w:numId w:val="37"/>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Duración:</w:t>
      </w:r>
      <w:r w:rsidRPr="00670830">
        <w:rPr>
          <w:rFonts w:ascii="Arial" w:eastAsia="Arial Unicode MS" w:hAnsi="Arial" w:cs="Arial"/>
          <w:sz w:val="24"/>
          <w:szCs w:val="24"/>
        </w:rPr>
        <w:t xml:space="preserve"> es un método utilizado tradicionalmente por las instituciones cuando desean medir el riesgo de pérdida de valor de sus activos por movimientos paralelos y adversos en las tasas de interés. La duración se define como el cambio en el valor de un instrumento financiero al cambiar las tasas de interés. La duración es lo que se conoce como una medida local de sensibilidad del precio del activo financiero a movimientos de la tasa de interés, y matemáticamente, es la primera derivada del precio de un bono con respecto a la tasa de interés</w:t>
      </w:r>
    </w:p>
    <w:p w:rsidR="001E0821" w:rsidRPr="00670830" w:rsidRDefault="001E0821" w:rsidP="00670830">
      <w:pPr>
        <w:pStyle w:val="Prrafodelista"/>
        <w:spacing w:before="100" w:beforeAutospacing="1" w:after="100" w:afterAutospacing="1" w:line="360" w:lineRule="auto"/>
        <w:jc w:val="both"/>
        <w:rPr>
          <w:rFonts w:ascii="Arial" w:eastAsia="Arial Unicode MS" w:hAnsi="Arial" w:cs="Arial"/>
          <w:sz w:val="24"/>
          <w:szCs w:val="24"/>
        </w:rPr>
      </w:pPr>
    </w:p>
    <w:p w:rsidR="00B036C3" w:rsidRPr="00670830" w:rsidRDefault="001E0821" w:rsidP="00670830">
      <w:pPr>
        <w:pStyle w:val="Prrafodelista"/>
        <w:numPr>
          <w:ilvl w:val="0"/>
          <w:numId w:val="37"/>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 xml:space="preserve">Sensibilidades (DV01): </w:t>
      </w:r>
      <w:r w:rsidRPr="00670830">
        <w:rPr>
          <w:rFonts w:ascii="Arial" w:eastAsia="Arial Unicode MS" w:hAnsi="Arial" w:cs="Arial"/>
          <w:sz w:val="24"/>
          <w:szCs w:val="24"/>
        </w:rPr>
        <w:t>El “Valor dólar de un punto base” conocido como DV01 por sus siglas en inglés y el “Valor precio de un punto base” (PV01), es el cambio en el precio de un instrumento financiero, resultante de un cambio paralelo de 1 punto base (</w:t>
      </w:r>
      <w:proofErr w:type="spellStart"/>
      <w:r w:rsidRPr="00670830">
        <w:rPr>
          <w:rFonts w:ascii="Arial" w:eastAsia="Arial Unicode MS" w:hAnsi="Arial" w:cs="Arial"/>
          <w:sz w:val="24"/>
          <w:szCs w:val="24"/>
        </w:rPr>
        <w:t>pb</w:t>
      </w:r>
      <w:proofErr w:type="spellEnd"/>
      <w:r w:rsidRPr="00670830">
        <w:rPr>
          <w:rFonts w:ascii="Arial" w:eastAsia="Arial Unicode MS" w:hAnsi="Arial" w:cs="Arial"/>
          <w:sz w:val="24"/>
          <w:szCs w:val="24"/>
        </w:rPr>
        <w:t xml:space="preserve">) en la curva </w:t>
      </w:r>
      <w:proofErr w:type="spellStart"/>
      <w:r w:rsidRPr="00670830">
        <w:rPr>
          <w:rFonts w:ascii="Arial" w:eastAsia="Arial Unicode MS" w:hAnsi="Arial" w:cs="Arial"/>
          <w:sz w:val="24"/>
          <w:szCs w:val="24"/>
        </w:rPr>
        <w:t>intertemporal</w:t>
      </w:r>
      <w:proofErr w:type="spellEnd"/>
      <w:r w:rsidRPr="00670830">
        <w:rPr>
          <w:rFonts w:ascii="Arial" w:eastAsia="Arial Unicode MS" w:hAnsi="Arial" w:cs="Arial"/>
          <w:sz w:val="24"/>
          <w:szCs w:val="24"/>
        </w:rPr>
        <w:t xml:space="preserve"> por plazos de las tasas de interés. Esta medida es comúnmente utilizada como una herramienta de toma de decisiones rápida, con propósitos de negociación (compra/venta de activos financieros) en las tesorerías de los bancos y casas de bolsa.</w:t>
      </w:r>
      <w:r w:rsidR="0031120A" w:rsidRPr="00670830">
        <w:rPr>
          <w:rFonts w:ascii="Arial" w:eastAsia="Arial Unicode MS" w:hAnsi="Arial" w:cs="Arial"/>
          <w:sz w:val="24"/>
          <w:szCs w:val="24"/>
        </w:rPr>
        <w:t xml:space="preserve"> </w:t>
      </w:r>
    </w:p>
    <w:p w:rsidR="00B036C3" w:rsidRPr="00670830" w:rsidRDefault="00B036C3" w:rsidP="00670830">
      <w:pPr>
        <w:pStyle w:val="Prrafodelista"/>
        <w:spacing w:line="360" w:lineRule="auto"/>
        <w:rPr>
          <w:rFonts w:ascii="Arial" w:eastAsia="Arial Unicode MS" w:hAnsi="Arial" w:cs="Arial"/>
          <w:sz w:val="24"/>
          <w:szCs w:val="24"/>
        </w:rPr>
      </w:pPr>
    </w:p>
    <w:p w:rsidR="00842441" w:rsidRPr="00670830" w:rsidRDefault="0031120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[http://www.banxico.org</w:t>
      </w:r>
      <w:r w:rsidR="00B036C3" w:rsidRPr="00670830">
        <w:rPr>
          <w:rFonts w:ascii="Arial" w:eastAsia="Arial Unicode MS" w:hAnsi="Arial" w:cs="Arial"/>
          <w:sz w:val="24"/>
          <w:szCs w:val="24"/>
        </w:rPr>
        <w:t>.mx/sistema-financiero/material</w:t>
      </w:r>
      <w:r w:rsidRPr="00670830">
        <w:rPr>
          <w:rFonts w:ascii="Arial" w:eastAsia="Arial Unicode MS" w:hAnsi="Arial" w:cs="Arial"/>
          <w:sz w:val="24"/>
          <w:szCs w:val="24"/>
        </w:rPr>
        <w:t>educativo/intermedio/riesgos/%7BA5059B92-176D-0BB6-2958-7257E2799FAD%7D.pdf]</w:t>
      </w:r>
    </w:p>
    <w:p w:rsidR="00842441" w:rsidRPr="00670830" w:rsidRDefault="00842441" w:rsidP="00670830">
      <w:pPr>
        <w:pStyle w:val="Prrafodelista"/>
        <w:spacing w:before="100" w:beforeAutospacing="1" w:after="100" w:afterAutospacing="1" w:line="360" w:lineRule="auto"/>
        <w:jc w:val="both"/>
        <w:rPr>
          <w:rFonts w:ascii="Arial" w:eastAsia="Arial Unicode MS" w:hAnsi="Arial" w:cs="Arial"/>
          <w:sz w:val="24"/>
          <w:szCs w:val="24"/>
        </w:rPr>
      </w:pPr>
    </w:p>
    <w:p w:rsidR="00101236" w:rsidRPr="00670830" w:rsidRDefault="00101236" w:rsidP="00670830">
      <w:pPr>
        <w:pStyle w:val="Ttulo4"/>
        <w:tabs>
          <w:tab w:val="center" w:pos="4419"/>
        </w:tabs>
        <w:spacing w:before="100" w:beforeAutospacing="1" w:after="100" w:afterAutospacing="1" w:line="360" w:lineRule="auto"/>
        <w:jc w:val="both"/>
        <w:rPr>
          <w:rFonts w:ascii="Arial" w:eastAsia="Arial Unicode MS" w:hAnsi="Arial" w:cs="Arial"/>
          <w:i w:val="0"/>
          <w:color w:val="auto"/>
          <w:sz w:val="24"/>
          <w:szCs w:val="24"/>
          <w:lang w:val="en-US"/>
        </w:rPr>
      </w:pPr>
      <w:r w:rsidRPr="00670830">
        <w:rPr>
          <w:rFonts w:ascii="Arial" w:eastAsia="Arial Unicode MS" w:hAnsi="Arial" w:cs="Arial"/>
          <w:i w:val="0"/>
          <w:color w:val="auto"/>
          <w:sz w:val="24"/>
          <w:szCs w:val="24"/>
          <w:lang w:val="en-US"/>
        </w:rPr>
        <w:t xml:space="preserve">3.3.1.2. </w:t>
      </w:r>
      <w:proofErr w:type="spellStart"/>
      <w:r w:rsidRPr="00670830">
        <w:rPr>
          <w:rFonts w:ascii="Arial" w:eastAsia="Arial Unicode MS" w:hAnsi="Arial" w:cs="Arial"/>
          <w:i w:val="0"/>
          <w:color w:val="auto"/>
          <w:sz w:val="24"/>
          <w:szCs w:val="24"/>
          <w:lang w:val="en-US"/>
        </w:rPr>
        <w:t>Riesgo</w:t>
      </w:r>
      <w:proofErr w:type="spellEnd"/>
      <w:r w:rsidRPr="00670830">
        <w:rPr>
          <w:rFonts w:ascii="Arial" w:eastAsia="Arial Unicode MS" w:hAnsi="Arial" w:cs="Arial"/>
          <w:i w:val="0"/>
          <w:color w:val="auto"/>
          <w:sz w:val="24"/>
          <w:szCs w:val="24"/>
          <w:lang w:val="en-US"/>
        </w:rPr>
        <w:t xml:space="preserve"> de </w:t>
      </w:r>
      <w:proofErr w:type="spellStart"/>
      <w:r w:rsidRPr="00670830">
        <w:rPr>
          <w:rFonts w:ascii="Arial" w:eastAsia="Arial Unicode MS" w:hAnsi="Arial" w:cs="Arial"/>
          <w:i w:val="0"/>
          <w:color w:val="auto"/>
          <w:sz w:val="24"/>
          <w:szCs w:val="24"/>
          <w:lang w:val="en-US"/>
        </w:rPr>
        <w:t>crédito</w:t>
      </w:r>
      <w:proofErr w:type="spellEnd"/>
    </w:p>
    <w:p w:rsidR="00C15AAA" w:rsidRPr="00670830" w:rsidRDefault="00C15AAA" w:rsidP="00670830">
      <w:pPr>
        <w:spacing w:before="100" w:beforeAutospacing="1" w:after="100" w:afterAutospacing="1" w:line="360" w:lineRule="auto"/>
        <w:ind w:left="708"/>
        <w:rPr>
          <w:rFonts w:ascii="Arial" w:eastAsia="Arial Unicode MS" w:hAnsi="Arial" w:cs="Arial"/>
          <w:i/>
          <w:sz w:val="24"/>
          <w:szCs w:val="24"/>
          <w:lang w:val="en-US"/>
        </w:rPr>
      </w:pPr>
      <w:r w:rsidRPr="00670830">
        <w:rPr>
          <w:rFonts w:ascii="Arial" w:eastAsia="Arial Unicode MS" w:hAnsi="Arial" w:cs="Arial"/>
          <w:i/>
          <w:sz w:val="24"/>
          <w:szCs w:val="24"/>
          <w:lang w:val="en-US"/>
        </w:rPr>
        <w:t>Don´t focus on derivatives, one of the most dangerous activities of banking is lending.</w:t>
      </w:r>
    </w:p>
    <w:p w:rsidR="00C15AAA" w:rsidRPr="00670830" w:rsidRDefault="00C15AAA" w:rsidP="00670830">
      <w:pPr>
        <w:pStyle w:val="Prrafodelista"/>
        <w:numPr>
          <w:ilvl w:val="3"/>
          <w:numId w:val="14"/>
        </w:numPr>
        <w:spacing w:before="100" w:beforeAutospacing="1" w:after="100" w:afterAutospacing="1" w:line="360" w:lineRule="auto"/>
        <w:rPr>
          <w:rFonts w:ascii="Arial" w:eastAsia="Arial Unicode MS" w:hAnsi="Arial" w:cs="Arial"/>
          <w:i/>
          <w:sz w:val="24"/>
          <w:szCs w:val="24"/>
          <w:lang w:val="en-US"/>
        </w:rPr>
      </w:pPr>
      <w:r w:rsidRPr="00670830">
        <w:rPr>
          <w:rFonts w:ascii="Arial" w:eastAsia="Arial Unicode MS" w:hAnsi="Arial" w:cs="Arial"/>
          <w:i/>
          <w:sz w:val="24"/>
          <w:szCs w:val="24"/>
          <w:lang w:val="en-US"/>
        </w:rPr>
        <w:t xml:space="preserve">Ernest </w:t>
      </w:r>
      <w:proofErr w:type="spellStart"/>
      <w:r w:rsidRPr="00670830">
        <w:rPr>
          <w:rFonts w:ascii="Arial" w:eastAsia="Arial Unicode MS" w:hAnsi="Arial" w:cs="Arial"/>
          <w:i/>
          <w:sz w:val="24"/>
          <w:szCs w:val="24"/>
          <w:lang w:val="en-US"/>
        </w:rPr>
        <w:t>Patakis</w:t>
      </w:r>
      <w:proofErr w:type="spellEnd"/>
      <w:r w:rsidRPr="00670830">
        <w:rPr>
          <w:rFonts w:ascii="Arial" w:eastAsia="Arial Unicode MS" w:hAnsi="Arial" w:cs="Arial"/>
          <w:i/>
          <w:sz w:val="24"/>
          <w:szCs w:val="24"/>
          <w:lang w:val="en-US"/>
        </w:rPr>
        <w:t>, Federal Reserve Bank of New York</w:t>
      </w:r>
    </w:p>
    <w:p w:rsidR="00B036C3" w:rsidRPr="00670830" w:rsidRDefault="00B036C3" w:rsidP="00670830">
      <w:pPr>
        <w:spacing w:before="100" w:beforeAutospacing="1" w:after="100" w:afterAutospacing="1" w:line="360" w:lineRule="auto"/>
        <w:jc w:val="both"/>
        <w:rPr>
          <w:rFonts w:ascii="Arial" w:eastAsia="Arial Unicode MS" w:hAnsi="Arial" w:cs="Arial"/>
          <w:sz w:val="24"/>
          <w:szCs w:val="24"/>
          <w:lang w:val="en-US"/>
        </w:rPr>
      </w:pPr>
    </w:p>
    <w:p w:rsidR="00101236" w:rsidRPr="00670830" w:rsidRDefault="0010123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Es el más antiguo y probablemente el más importante que enfrentan los bancos. Se puede definir como la pérdida potencial producto del incumplimiento de la contraparte en una operación que incluye un compromiso de pago. [De Lara, 2002]</w:t>
      </w:r>
    </w:p>
    <w:p w:rsidR="00C15AAA" w:rsidRPr="00670830" w:rsidRDefault="00C15AA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riesgo de crédito se puede definir, de manera muy amplia, como el riesgo de sufrir una pérd</w:t>
      </w:r>
      <w:r w:rsidR="00274B5A" w:rsidRPr="00670830">
        <w:rPr>
          <w:rFonts w:ascii="Arial" w:eastAsia="Arial Unicode MS" w:hAnsi="Arial" w:cs="Arial"/>
          <w:sz w:val="24"/>
          <w:szCs w:val="24"/>
        </w:rPr>
        <w:t>ida financiera dado</w:t>
      </w:r>
      <w:r w:rsidRPr="00670830">
        <w:rPr>
          <w:rFonts w:ascii="Arial" w:eastAsia="Arial Unicode MS" w:hAnsi="Arial" w:cs="Arial"/>
          <w:sz w:val="24"/>
          <w:szCs w:val="24"/>
        </w:rPr>
        <w:t xml:space="preserve"> el incumplimiento de una de las contrapartes </w:t>
      </w:r>
      <w:r w:rsidR="00274B5A" w:rsidRPr="00670830">
        <w:rPr>
          <w:rFonts w:ascii="Arial" w:eastAsia="Arial Unicode MS" w:hAnsi="Arial" w:cs="Arial"/>
          <w:sz w:val="24"/>
          <w:szCs w:val="24"/>
        </w:rPr>
        <w:t xml:space="preserve">al hacer frente a una obligación contractual. La falta de diversificación del riesgo de crédito ha sido el principal culpable de la quiebra de instituciones bancarias. </w:t>
      </w:r>
    </w:p>
    <w:p w:rsidR="00C15AAA" w:rsidRPr="00670830" w:rsidRDefault="00C4710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pérdida depende del monto “expuesto” al riesgo y la fracción de la misma que puede ser recuperada; dado lo anterior los modelos de riesgo de crédito incluyen los siguientes tres factores de riesgo:</w:t>
      </w:r>
    </w:p>
    <w:p w:rsidR="00C47104" w:rsidRPr="00670830" w:rsidRDefault="00C47104" w:rsidP="00670830">
      <w:pPr>
        <w:pStyle w:val="Prrafodelista"/>
        <w:numPr>
          <w:ilvl w:val="0"/>
          <w:numId w:val="16"/>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Riesgo de incumplimiento:</w:t>
      </w:r>
      <w:r w:rsidRPr="00670830">
        <w:rPr>
          <w:rFonts w:ascii="Arial" w:eastAsia="Arial Unicode MS" w:hAnsi="Arial" w:cs="Arial"/>
          <w:sz w:val="24"/>
          <w:szCs w:val="24"/>
        </w:rPr>
        <w:t xml:space="preserve"> es el riesgo que conlleva el  que incumpla la contraparte sus obligaciones de crédito. Se mide a través del parámetro </w:t>
      </w:r>
      <w:r w:rsidRPr="00670830">
        <w:rPr>
          <w:rFonts w:ascii="Arial" w:eastAsia="Arial Unicode MS" w:hAnsi="Arial" w:cs="Arial"/>
          <w:i/>
          <w:sz w:val="24"/>
          <w:szCs w:val="24"/>
        </w:rPr>
        <w:t>(PI) Probabilidad de Incumplimiento</w:t>
      </w:r>
      <w:r w:rsidR="00CE3489" w:rsidRPr="00670830">
        <w:rPr>
          <w:rFonts w:ascii="Arial" w:eastAsia="Arial Unicode MS" w:hAnsi="Arial" w:cs="Arial"/>
          <w:i/>
          <w:sz w:val="24"/>
          <w:szCs w:val="24"/>
        </w:rPr>
        <w:t>.</w:t>
      </w:r>
    </w:p>
    <w:p w:rsidR="00CE3489" w:rsidRPr="00670830" w:rsidRDefault="00CE3489" w:rsidP="00670830">
      <w:pPr>
        <w:pStyle w:val="Prrafodelista"/>
        <w:spacing w:before="100" w:beforeAutospacing="1" w:after="100" w:afterAutospacing="1" w:line="360" w:lineRule="auto"/>
        <w:jc w:val="both"/>
        <w:rPr>
          <w:rFonts w:ascii="Arial" w:eastAsia="Arial Unicode MS" w:hAnsi="Arial" w:cs="Arial"/>
          <w:sz w:val="24"/>
          <w:szCs w:val="24"/>
        </w:rPr>
      </w:pPr>
    </w:p>
    <w:p w:rsidR="00CE3489" w:rsidRPr="00670830" w:rsidRDefault="00CE3489" w:rsidP="00670830">
      <w:pPr>
        <w:pStyle w:val="Prrafodelista"/>
        <w:numPr>
          <w:ilvl w:val="0"/>
          <w:numId w:val="16"/>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Exposición al incumplimiento</w:t>
      </w:r>
      <w:r w:rsidR="00C47104" w:rsidRPr="00670830">
        <w:rPr>
          <w:rFonts w:ascii="Arial" w:eastAsia="Arial Unicode MS" w:hAnsi="Arial" w:cs="Arial"/>
          <w:b/>
          <w:sz w:val="24"/>
          <w:szCs w:val="24"/>
        </w:rPr>
        <w:t>:</w:t>
      </w:r>
      <w:r w:rsidR="00C47104" w:rsidRPr="00670830">
        <w:rPr>
          <w:rFonts w:ascii="Arial" w:eastAsia="Arial Unicode MS" w:hAnsi="Arial" w:cs="Arial"/>
          <w:sz w:val="24"/>
          <w:szCs w:val="24"/>
        </w:rPr>
        <w:t xml:space="preserve"> es el riesgo de las fluctuaciones en el valor de mercado  </w:t>
      </w:r>
      <w:r w:rsidR="00F839DD" w:rsidRPr="00670830">
        <w:rPr>
          <w:rFonts w:ascii="Arial" w:eastAsia="Arial Unicode MS" w:hAnsi="Arial" w:cs="Arial"/>
          <w:sz w:val="24"/>
          <w:szCs w:val="24"/>
        </w:rPr>
        <w:t xml:space="preserve">en el monto expuesto el contrato de crédito, al momento del incumplimiento, es también conocido como </w:t>
      </w:r>
      <w:r w:rsidR="00F839DD" w:rsidRPr="00670830">
        <w:rPr>
          <w:rFonts w:ascii="Arial" w:eastAsia="Arial Unicode MS" w:hAnsi="Arial" w:cs="Arial"/>
          <w:i/>
          <w:sz w:val="24"/>
          <w:szCs w:val="24"/>
        </w:rPr>
        <w:t>(EI).</w:t>
      </w:r>
    </w:p>
    <w:p w:rsidR="00CE3489" w:rsidRPr="00670830" w:rsidRDefault="00CE3489" w:rsidP="00670830">
      <w:pPr>
        <w:pStyle w:val="Prrafodelista"/>
        <w:spacing w:before="100" w:beforeAutospacing="1" w:after="100" w:afterAutospacing="1" w:line="360" w:lineRule="auto"/>
        <w:jc w:val="both"/>
        <w:rPr>
          <w:rFonts w:ascii="Arial" w:eastAsia="Arial Unicode MS" w:hAnsi="Arial" w:cs="Arial"/>
          <w:sz w:val="24"/>
          <w:szCs w:val="24"/>
        </w:rPr>
      </w:pPr>
    </w:p>
    <w:p w:rsidR="00F839DD" w:rsidRPr="00670830" w:rsidRDefault="00F839DD" w:rsidP="00670830">
      <w:pPr>
        <w:pStyle w:val="Prrafodelista"/>
        <w:numPr>
          <w:ilvl w:val="0"/>
          <w:numId w:val="16"/>
        </w:numPr>
        <w:spacing w:before="100" w:beforeAutospacing="1" w:after="100" w:afterAutospacing="1" w:line="360" w:lineRule="auto"/>
        <w:jc w:val="both"/>
        <w:rPr>
          <w:rFonts w:ascii="Arial" w:eastAsia="Arial Unicode MS" w:hAnsi="Arial" w:cs="Arial"/>
          <w:i/>
          <w:sz w:val="24"/>
          <w:szCs w:val="24"/>
        </w:rPr>
      </w:pPr>
      <w:r w:rsidRPr="00670830">
        <w:rPr>
          <w:rFonts w:ascii="Arial" w:eastAsia="Arial Unicode MS" w:hAnsi="Arial" w:cs="Arial"/>
          <w:b/>
          <w:sz w:val="24"/>
          <w:szCs w:val="24"/>
        </w:rPr>
        <w:t>Riesgo en la recuperación:</w:t>
      </w:r>
      <w:r w:rsidRPr="00670830">
        <w:rPr>
          <w:rFonts w:ascii="Arial" w:eastAsia="Arial Unicode MS" w:hAnsi="Arial" w:cs="Arial"/>
          <w:sz w:val="24"/>
          <w:szCs w:val="24"/>
        </w:rPr>
        <w:t xml:space="preserve"> es la incertidumbre de la porción del monto que se puede recuperar posterior al  incumplimiento, tasa de recuperación,  se conoce también como 1 menos la </w:t>
      </w:r>
      <w:r w:rsidRPr="00670830">
        <w:rPr>
          <w:rFonts w:ascii="Arial" w:eastAsia="Arial Unicode MS" w:hAnsi="Arial" w:cs="Arial"/>
          <w:i/>
          <w:sz w:val="24"/>
          <w:szCs w:val="24"/>
        </w:rPr>
        <w:t>Severidad de la Pérdida (SP).</w:t>
      </w:r>
    </w:p>
    <w:p w:rsidR="00F839DD" w:rsidRPr="00670830" w:rsidRDefault="00F839D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Dados los tres puntos anteriores podemos definir la pérdida esperada como:</w:t>
      </w:r>
    </w:p>
    <w:p w:rsidR="006B33CA" w:rsidRPr="00670830" w:rsidRDefault="00F839DD" w:rsidP="00670830">
      <w:pPr>
        <w:spacing w:before="100" w:beforeAutospacing="1" w:after="100" w:afterAutospacing="1" w:line="360" w:lineRule="auto"/>
        <w:jc w:val="both"/>
        <w:rPr>
          <w:rFonts w:ascii="Arial" w:eastAsia="Arial Unicode MS" w:hAnsi="Arial" w:cs="Arial"/>
          <w:sz w:val="24"/>
          <w:szCs w:val="24"/>
        </w:rPr>
      </w:pPr>
      <m:oMathPara>
        <m:oMath>
          <m:r>
            <w:rPr>
              <w:rFonts w:ascii="Cambria Math" w:eastAsia="Arial Unicode MS" w:hAnsi="Cambria Math" w:cs="Arial"/>
              <w:sz w:val="24"/>
              <w:szCs w:val="24"/>
            </w:rPr>
            <m:t>PE=PI x EI x SP</m:t>
          </m:r>
        </m:oMath>
      </m:oMathPara>
    </w:p>
    <w:p w:rsidR="009D192D" w:rsidRPr="00670830" w:rsidRDefault="009D192D" w:rsidP="00670830">
      <w:pPr>
        <w:spacing w:before="100" w:beforeAutospacing="1" w:after="100" w:afterAutospacing="1" w:line="360" w:lineRule="auto"/>
        <w:jc w:val="both"/>
        <w:rPr>
          <w:rFonts w:ascii="Arial" w:eastAsia="Arial Unicode MS" w:hAnsi="Arial" w:cs="Arial"/>
          <w:b/>
          <w:sz w:val="24"/>
          <w:szCs w:val="24"/>
          <w:u w:val="single"/>
        </w:rPr>
      </w:pPr>
    </w:p>
    <w:p w:rsidR="00CE3489" w:rsidRPr="00670830" w:rsidRDefault="00CE3489" w:rsidP="00670830">
      <w:pPr>
        <w:spacing w:before="100" w:beforeAutospacing="1" w:after="100" w:afterAutospacing="1" w:line="360" w:lineRule="auto"/>
        <w:jc w:val="both"/>
        <w:rPr>
          <w:rFonts w:ascii="Arial" w:eastAsia="Arial Unicode MS" w:hAnsi="Arial" w:cs="Arial"/>
          <w:b/>
          <w:sz w:val="24"/>
          <w:szCs w:val="24"/>
          <w:u w:val="single"/>
        </w:rPr>
      </w:pPr>
      <w:r w:rsidRPr="00670830">
        <w:rPr>
          <w:rFonts w:ascii="Arial" w:eastAsia="Arial Unicode MS" w:hAnsi="Arial" w:cs="Arial"/>
          <w:b/>
          <w:sz w:val="24"/>
          <w:szCs w:val="24"/>
          <w:u w:val="single"/>
        </w:rPr>
        <w:t>Riesgo de Crédito Paramétrico</w:t>
      </w:r>
    </w:p>
    <w:p w:rsidR="00B02FF2" w:rsidRPr="00670830" w:rsidRDefault="006B33CA" w:rsidP="00670830">
      <w:pPr>
        <w:spacing w:line="360" w:lineRule="auto"/>
        <w:jc w:val="both"/>
        <w:rPr>
          <w:rFonts w:ascii="Arial" w:hAnsi="Arial" w:cs="Arial"/>
          <w:sz w:val="24"/>
          <w:szCs w:val="24"/>
        </w:rPr>
      </w:pPr>
      <w:r w:rsidRPr="00670830">
        <w:rPr>
          <w:rFonts w:ascii="Arial" w:hAnsi="Arial" w:cs="Arial"/>
          <w:sz w:val="24"/>
          <w:szCs w:val="24"/>
        </w:rPr>
        <w:t>Una de las h</w:t>
      </w:r>
      <w:r w:rsidR="0099718C" w:rsidRPr="00670830">
        <w:rPr>
          <w:rFonts w:ascii="Arial" w:hAnsi="Arial" w:cs="Arial"/>
          <w:sz w:val="24"/>
          <w:szCs w:val="24"/>
        </w:rPr>
        <w:t>erramientas más utilizadas</w:t>
      </w:r>
      <w:r w:rsidR="00B02FF2" w:rsidRPr="00670830">
        <w:rPr>
          <w:rFonts w:ascii="Arial" w:hAnsi="Arial" w:cs="Arial"/>
          <w:sz w:val="24"/>
          <w:szCs w:val="24"/>
        </w:rPr>
        <w:t xml:space="preserve"> en el otorgamiento de créditos, es el diseño de modelos de Score, para evaluar, de manera masiva y a menor costo posible, si un cliente es candidato o no para algún tipo de crédito.</w:t>
      </w:r>
    </w:p>
    <w:p w:rsidR="00B02FF2" w:rsidRPr="00670830" w:rsidRDefault="00B02FF2" w:rsidP="00670830">
      <w:pPr>
        <w:spacing w:line="360" w:lineRule="auto"/>
        <w:jc w:val="both"/>
        <w:rPr>
          <w:rFonts w:ascii="Arial" w:hAnsi="Arial" w:cs="Arial"/>
          <w:sz w:val="24"/>
          <w:szCs w:val="24"/>
        </w:rPr>
      </w:pPr>
      <w:r w:rsidRPr="00670830">
        <w:rPr>
          <w:rFonts w:ascii="Arial" w:hAnsi="Arial" w:cs="Arial"/>
          <w:sz w:val="24"/>
          <w:szCs w:val="24"/>
        </w:rPr>
        <w:t>Los modelos de score proveen una poderosa solución, para una gran cantidad de industrias</w:t>
      </w:r>
      <w:r w:rsidR="005677FE" w:rsidRPr="00670830">
        <w:rPr>
          <w:rFonts w:ascii="Arial" w:hAnsi="Arial" w:cs="Arial"/>
          <w:sz w:val="24"/>
          <w:szCs w:val="24"/>
        </w:rPr>
        <w:t>,</w:t>
      </w:r>
      <w:r w:rsidRPr="00670830">
        <w:rPr>
          <w:rFonts w:ascii="Arial" w:hAnsi="Arial" w:cs="Arial"/>
          <w:sz w:val="24"/>
          <w:szCs w:val="24"/>
        </w:rPr>
        <w:t xml:space="preserve"> para predecir el incumplimiento de pago a una obligación crediticia, quiebra de una empresa, algún tipo de fraude, reclamo de algún seguro, el monto a recuperar de cuentas vencidas de acuerdo a alguna gestión de cobranza, etc.</w:t>
      </w:r>
    </w:p>
    <w:p w:rsidR="00B02FF2" w:rsidRPr="00670830" w:rsidRDefault="00B02FF2" w:rsidP="00670830">
      <w:pPr>
        <w:spacing w:line="360" w:lineRule="auto"/>
        <w:jc w:val="both"/>
        <w:rPr>
          <w:rFonts w:ascii="Arial" w:hAnsi="Arial" w:cs="Arial"/>
          <w:sz w:val="24"/>
          <w:szCs w:val="24"/>
        </w:rPr>
      </w:pPr>
      <w:r w:rsidRPr="00670830">
        <w:rPr>
          <w:rFonts w:ascii="Arial" w:hAnsi="Arial" w:cs="Arial"/>
          <w:sz w:val="24"/>
          <w:szCs w:val="24"/>
        </w:rPr>
        <w:t>Un modelo de score, es una herramienta utilizada para evaluar el nivel de riesgo asociado a un cliente o solicitante de crédito, no identifica si el cliente tendrá el comportamiento esperado, sino que provee, estadísticamente, la probabilidad de que un solicitante con cierto “score” o puntuaci</w:t>
      </w:r>
      <w:r w:rsidR="004D2238" w:rsidRPr="00670830">
        <w:rPr>
          <w:rFonts w:ascii="Arial" w:hAnsi="Arial" w:cs="Arial"/>
          <w:sz w:val="24"/>
          <w:szCs w:val="24"/>
        </w:rPr>
        <w:t>ón será “bueno” o “malo”.</w:t>
      </w:r>
    </w:p>
    <w:p w:rsidR="009D192D" w:rsidRPr="00670830" w:rsidRDefault="004D2238" w:rsidP="00670830">
      <w:pPr>
        <w:spacing w:line="360" w:lineRule="auto"/>
        <w:jc w:val="both"/>
        <w:rPr>
          <w:rFonts w:ascii="Arial" w:hAnsi="Arial" w:cs="Arial"/>
          <w:sz w:val="24"/>
          <w:szCs w:val="24"/>
        </w:rPr>
      </w:pPr>
      <w:r w:rsidRPr="00670830">
        <w:rPr>
          <w:rFonts w:ascii="Arial" w:hAnsi="Arial" w:cs="Arial"/>
          <w:sz w:val="24"/>
          <w:szCs w:val="24"/>
        </w:rPr>
        <w:t xml:space="preserve">De manera muy simple, un </w:t>
      </w:r>
      <w:proofErr w:type="spellStart"/>
      <w:r w:rsidRPr="00670830">
        <w:rPr>
          <w:rFonts w:ascii="Arial" w:hAnsi="Arial" w:cs="Arial"/>
          <w:sz w:val="24"/>
          <w:szCs w:val="24"/>
        </w:rPr>
        <w:t>scorecard</w:t>
      </w:r>
      <w:proofErr w:type="spellEnd"/>
      <w:r w:rsidRPr="00670830">
        <w:rPr>
          <w:rFonts w:ascii="Arial" w:hAnsi="Arial" w:cs="Arial"/>
          <w:sz w:val="24"/>
          <w:szCs w:val="24"/>
        </w:rPr>
        <w:t>, consiste en un grupo de características, estadísticamente determinadas, para ser predictivas en distinguir a un cliente “malo” de uno “bueno”</w:t>
      </w:r>
      <w:r w:rsidR="00CE3489" w:rsidRPr="00670830">
        <w:rPr>
          <w:rFonts w:ascii="Arial" w:hAnsi="Arial" w:cs="Arial"/>
          <w:sz w:val="24"/>
          <w:szCs w:val="24"/>
        </w:rPr>
        <w:t xml:space="preserve">. </w:t>
      </w:r>
    </w:p>
    <w:p w:rsidR="00552412" w:rsidRPr="00670830" w:rsidRDefault="00CE3489" w:rsidP="00670830">
      <w:pPr>
        <w:spacing w:line="360" w:lineRule="auto"/>
        <w:rPr>
          <w:rFonts w:ascii="Arial" w:hAnsi="Arial" w:cs="Arial"/>
          <w:b/>
          <w:sz w:val="24"/>
          <w:szCs w:val="24"/>
          <w:u w:val="single"/>
        </w:rPr>
      </w:pPr>
      <w:r w:rsidRPr="00670830">
        <w:rPr>
          <w:rFonts w:ascii="Arial" w:hAnsi="Arial" w:cs="Arial"/>
          <w:b/>
          <w:sz w:val="24"/>
          <w:szCs w:val="24"/>
          <w:u w:val="single"/>
        </w:rPr>
        <w:t>Segmentación de los clientes</w:t>
      </w:r>
      <w:r w:rsidR="00D7269D" w:rsidRPr="00670830">
        <w:rPr>
          <w:rFonts w:ascii="Arial" w:hAnsi="Arial" w:cs="Arial"/>
          <w:b/>
          <w:sz w:val="24"/>
          <w:szCs w:val="24"/>
          <w:u w:val="single"/>
        </w:rPr>
        <w:t>:</w:t>
      </w:r>
    </w:p>
    <w:p w:rsidR="00D7269D" w:rsidRPr="00670830" w:rsidRDefault="00D7269D" w:rsidP="00670830">
      <w:pPr>
        <w:spacing w:line="360" w:lineRule="auto"/>
        <w:jc w:val="both"/>
        <w:rPr>
          <w:rFonts w:ascii="Arial" w:hAnsi="Arial" w:cs="Arial"/>
          <w:sz w:val="24"/>
          <w:szCs w:val="24"/>
        </w:rPr>
      </w:pPr>
      <w:r w:rsidRPr="00670830">
        <w:rPr>
          <w:rFonts w:ascii="Arial" w:hAnsi="Arial" w:cs="Arial"/>
          <w:sz w:val="24"/>
          <w:szCs w:val="24"/>
        </w:rPr>
        <w:t>El análisis de segmentación es un proceso ampliamente utilizado en la industria de servicios financieros dentro del desarrollo de modelos de riesgo.</w:t>
      </w:r>
    </w:p>
    <w:p w:rsidR="00D7269D" w:rsidRPr="00670830" w:rsidRDefault="00D7269D" w:rsidP="00670830">
      <w:pPr>
        <w:spacing w:line="360" w:lineRule="auto"/>
        <w:jc w:val="both"/>
        <w:rPr>
          <w:rFonts w:ascii="Arial" w:hAnsi="Arial" w:cs="Arial"/>
          <w:sz w:val="24"/>
          <w:szCs w:val="24"/>
        </w:rPr>
      </w:pPr>
      <w:r w:rsidRPr="00670830">
        <w:rPr>
          <w:rFonts w:ascii="Arial" w:hAnsi="Arial" w:cs="Arial"/>
          <w:sz w:val="24"/>
          <w:szCs w:val="24"/>
        </w:rPr>
        <w:t>Su propósito principal es dividir la población en subconjuntos homogéneos, de modo que los modelos resultantes tengan mayor predictibilidad, al utilizar atributos específicos para cada uno de los segmentos.</w:t>
      </w:r>
    </w:p>
    <w:p w:rsidR="00D7269D" w:rsidRPr="00670830" w:rsidRDefault="00D7269D" w:rsidP="00670830">
      <w:pPr>
        <w:spacing w:line="360" w:lineRule="auto"/>
        <w:jc w:val="both"/>
        <w:rPr>
          <w:rFonts w:ascii="Arial" w:hAnsi="Arial" w:cs="Arial"/>
          <w:sz w:val="24"/>
          <w:szCs w:val="24"/>
        </w:rPr>
      </w:pPr>
      <w:r w:rsidRPr="00670830">
        <w:rPr>
          <w:rFonts w:ascii="Arial" w:hAnsi="Arial" w:cs="Arial"/>
          <w:sz w:val="24"/>
          <w:szCs w:val="24"/>
        </w:rPr>
        <w:t>El análisis de segmentación se efectúa sobre los clientes con desempeño conocido.</w:t>
      </w:r>
    </w:p>
    <w:p w:rsidR="004108C8" w:rsidRPr="00670830" w:rsidRDefault="00CE3489" w:rsidP="00670830">
      <w:pPr>
        <w:spacing w:line="360" w:lineRule="auto"/>
        <w:jc w:val="both"/>
        <w:rPr>
          <w:rFonts w:ascii="Arial" w:hAnsi="Arial" w:cs="Arial"/>
          <w:sz w:val="24"/>
          <w:szCs w:val="24"/>
        </w:rPr>
      </w:pPr>
      <w:r w:rsidRPr="00670830">
        <w:rPr>
          <w:rFonts w:ascii="Arial" w:hAnsi="Arial" w:cs="Arial"/>
          <w:sz w:val="24"/>
          <w:szCs w:val="24"/>
        </w:rPr>
        <w:t>Las variables se sujetan</w:t>
      </w:r>
      <w:r w:rsidR="00D7269D" w:rsidRPr="00670830">
        <w:rPr>
          <w:rFonts w:ascii="Arial" w:hAnsi="Arial" w:cs="Arial"/>
          <w:sz w:val="24"/>
          <w:szCs w:val="24"/>
        </w:rPr>
        <w:t xml:space="preserve"> a un análisis discriminante a través de la prueba ji cuadrada con el objetivo de identificar  cuáles son las variables co</w:t>
      </w:r>
      <w:r w:rsidRPr="00670830">
        <w:rPr>
          <w:rFonts w:ascii="Arial" w:hAnsi="Arial" w:cs="Arial"/>
          <w:sz w:val="24"/>
          <w:szCs w:val="24"/>
        </w:rPr>
        <w:t>rrelacionadas con  la morosidad (variable objetivo).</w:t>
      </w:r>
    </w:p>
    <w:p w:rsidR="00552412" w:rsidRPr="00670830" w:rsidRDefault="00D7269D" w:rsidP="00670830">
      <w:pPr>
        <w:spacing w:line="360" w:lineRule="auto"/>
        <w:rPr>
          <w:rFonts w:ascii="Arial" w:hAnsi="Arial" w:cs="Arial"/>
          <w:b/>
          <w:sz w:val="24"/>
          <w:szCs w:val="24"/>
          <w:u w:val="single"/>
          <w:lang w:val="en-US"/>
        </w:rPr>
      </w:pPr>
      <w:r w:rsidRPr="00670830">
        <w:rPr>
          <w:rFonts w:ascii="Arial" w:hAnsi="Arial" w:cs="Arial"/>
          <w:b/>
          <w:sz w:val="24"/>
          <w:szCs w:val="24"/>
          <w:u w:val="single"/>
          <w:lang w:val="en-US"/>
        </w:rPr>
        <w:t>Information Value (IV) y Weight of Evidence (WOE):</w:t>
      </w:r>
    </w:p>
    <w:p w:rsidR="009065DC" w:rsidRPr="00670830" w:rsidRDefault="00CE3489" w:rsidP="00670830">
      <w:pPr>
        <w:spacing w:line="360" w:lineRule="auto"/>
        <w:jc w:val="both"/>
        <w:rPr>
          <w:rFonts w:ascii="Arial" w:hAnsi="Arial" w:cs="Arial"/>
          <w:sz w:val="24"/>
          <w:szCs w:val="24"/>
        </w:rPr>
      </w:pPr>
      <w:r w:rsidRPr="00670830">
        <w:rPr>
          <w:rFonts w:ascii="Arial" w:hAnsi="Arial" w:cs="Arial"/>
          <w:sz w:val="24"/>
          <w:szCs w:val="24"/>
        </w:rPr>
        <w:t>El valor “</w:t>
      </w:r>
      <w:proofErr w:type="spellStart"/>
      <w:r w:rsidRPr="00670830">
        <w:rPr>
          <w:rFonts w:ascii="Arial" w:hAnsi="Arial" w:cs="Arial"/>
          <w:sz w:val="24"/>
          <w:szCs w:val="24"/>
        </w:rPr>
        <w:t>Weight</w:t>
      </w:r>
      <w:proofErr w:type="spellEnd"/>
      <w:r w:rsidRPr="00670830">
        <w:rPr>
          <w:rFonts w:ascii="Arial" w:hAnsi="Arial" w:cs="Arial"/>
          <w:sz w:val="24"/>
          <w:szCs w:val="24"/>
        </w:rPr>
        <w:t xml:space="preserve"> of </w:t>
      </w:r>
      <w:proofErr w:type="spellStart"/>
      <w:r w:rsidRPr="00670830">
        <w:rPr>
          <w:rFonts w:ascii="Arial" w:hAnsi="Arial" w:cs="Arial"/>
          <w:sz w:val="24"/>
          <w:szCs w:val="24"/>
        </w:rPr>
        <w:t>E</w:t>
      </w:r>
      <w:r w:rsidR="009065DC" w:rsidRPr="00670830">
        <w:rPr>
          <w:rFonts w:ascii="Arial" w:hAnsi="Arial" w:cs="Arial"/>
          <w:sz w:val="24"/>
          <w:szCs w:val="24"/>
        </w:rPr>
        <w:t>vid</w:t>
      </w:r>
      <w:r w:rsidRPr="00670830">
        <w:rPr>
          <w:rFonts w:ascii="Arial" w:hAnsi="Arial" w:cs="Arial"/>
          <w:sz w:val="24"/>
          <w:szCs w:val="24"/>
        </w:rPr>
        <w:t>ence</w:t>
      </w:r>
      <w:proofErr w:type="spellEnd"/>
      <w:r w:rsidRPr="00670830">
        <w:rPr>
          <w:rFonts w:ascii="Arial" w:hAnsi="Arial" w:cs="Arial"/>
          <w:sz w:val="24"/>
          <w:szCs w:val="24"/>
        </w:rPr>
        <w:t>” (WOE) y el “</w:t>
      </w:r>
      <w:proofErr w:type="spellStart"/>
      <w:r w:rsidRPr="00670830">
        <w:rPr>
          <w:rFonts w:ascii="Arial" w:hAnsi="Arial" w:cs="Arial"/>
          <w:sz w:val="24"/>
          <w:szCs w:val="24"/>
        </w:rPr>
        <w:t>Information</w:t>
      </w:r>
      <w:proofErr w:type="spellEnd"/>
      <w:r w:rsidRPr="00670830">
        <w:rPr>
          <w:rFonts w:ascii="Arial" w:hAnsi="Arial" w:cs="Arial"/>
          <w:sz w:val="24"/>
          <w:szCs w:val="24"/>
        </w:rPr>
        <w:t xml:space="preserve"> </w:t>
      </w:r>
      <w:proofErr w:type="spellStart"/>
      <w:r w:rsidRPr="00670830">
        <w:rPr>
          <w:rFonts w:ascii="Arial" w:hAnsi="Arial" w:cs="Arial"/>
          <w:sz w:val="24"/>
          <w:szCs w:val="24"/>
        </w:rPr>
        <w:t>V</w:t>
      </w:r>
      <w:r w:rsidR="009065DC" w:rsidRPr="00670830">
        <w:rPr>
          <w:rFonts w:ascii="Arial" w:hAnsi="Arial" w:cs="Arial"/>
          <w:sz w:val="24"/>
          <w:szCs w:val="24"/>
        </w:rPr>
        <w:t>alue</w:t>
      </w:r>
      <w:proofErr w:type="spellEnd"/>
      <w:r w:rsidR="009065DC" w:rsidRPr="00670830">
        <w:rPr>
          <w:rFonts w:ascii="Arial" w:hAnsi="Arial" w:cs="Arial"/>
          <w:sz w:val="24"/>
          <w:szCs w:val="24"/>
        </w:rPr>
        <w:t xml:space="preserve">” (IV) son métricas útiles para decidir si una variable aporta o no información suficiente para explicar si la distribución entre buenos y malos es significativamente distinta entre 2 poblaciones. </w:t>
      </w:r>
    </w:p>
    <w:p w:rsidR="009065DC" w:rsidRPr="00670830" w:rsidRDefault="009065DC" w:rsidP="00670830">
      <w:pPr>
        <w:spacing w:line="360" w:lineRule="auto"/>
        <w:rPr>
          <w:rFonts w:ascii="Arial" w:hAnsi="Arial" w:cs="Arial"/>
          <w:sz w:val="24"/>
          <w:szCs w:val="24"/>
          <w:lang w:val="en-US"/>
        </w:rPr>
      </w:pPr>
      <w:r w:rsidRPr="00670830">
        <w:rPr>
          <w:rFonts w:ascii="Arial" w:hAnsi="Arial" w:cs="Arial"/>
          <w:sz w:val="24"/>
          <w:szCs w:val="24"/>
          <w:lang w:val="en-US"/>
        </w:rPr>
        <w:t xml:space="preserve">Se </w:t>
      </w:r>
      <w:proofErr w:type="spellStart"/>
      <w:r w:rsidRPr="00670830">
        <w:rPr>
          <w:rFonts w:ascii="Arial" w:hAnsi="Arial" w:cs="Arial"/>
          <w:sz w:val="24"/>
          <w:szCs w:val="24"/>
          <w:lang w:val="en-US"/>
        </w:rPr>
        <w:t>calculan</w:t>
      </w:r>
      <w:proofErr w:type="spellEnd"/>
      <w:r w:rsidRPr="00670830">
        <w:rPr>
          <w:rFonts w:ascii="Arial" w:hAnsi="Arial" w:cs="Arial"/>
          <w:sz w:val="24"/>
          <w:szCs w:val="24"/>
          <w:lang w:val="en-US"/>
        </w:rPr>
        <w:t xml:space="preserve"> </w:t>
      </w:r>
      <w:proofErr w:type="spellStart"/>
      <w:proofErr w:type="gramStart"/>
      <w:r w:rsidRPr="00670830">
        <w:rPr>
          <w:rFonts w:ascii="Arial" w:hAnsi="Arial" w:cs="Arial"/>
          <w:sz w:val="24"/>
          <w:szCs w:val="24"/>
          <w:lang w:val="en-US"/>
        </w:rPr>
        <w:t>como</w:t>
      </w:r>
      <w:proofErr w:type="spellEnd"/>
      <w:proofErr w:type="gramEnd"/>
      <w:r w:rsidRPr="00670830">
        <w:rPr>
          <w:rFonts w:ascii="Arial" w:hAnsi="Arial" w:cs="Arial"/>
          <w:sz w:val="24"/>
          <w:szCs w:val="24"/>
          <w:lang w:val="en-US"/>
        </w:rPr>
        <w:t xml:space="preserve"> </w:t>
      </w:r>
      <w:proofErr w:type="spellStart"/>
      <w:r w:rsidRPr="00670830">
        <w:rPr>
          <w:rFonts w:ascii="Arial" w:hAnsi="Arial" w:cs="Arial"/>
          <w:sz w:val="24"/>
          <w:szCs w:val="24"/>
          <w:lang w:val="en-US"/>
        </w:rPr>
        <w:t>sigue</w:t>
      </w:r>
      <w:proofErr w:type="spellEnd"/>
      <w:r w:rsidRPr="00670830">
        <w:rPr>
          <w:rFonts w:ascii="Arial" w:hAnsi="Arial" w:cs="Arial"/>
          <w:sz w:val="24"/>
          <w:szCs w:val="24"/>
          <w:lang w:val="en-US"/>
        </w:rPr>
        <w:t>:</w:t>
      </w:r>
    </w:p>
    <w:p w:rsidR="009065DC" w:rsidRPr="00670830" w:rsidRDefault="009065DC" w:rsidP="00670830">
      <w:pPr>
        <w:spacing w:line="360" w:lineRule="auto"/>
        <w:jc w:val="center"/>
        <w:rPr>
          <w:rFonts w:ascii="Arial" w:hAnsi="Arial" w:cs="Arial"/>
          <w:sz w:val="24"/>
          <w:szCs w:val="24"/>
          <w:lang w:val="en-US"/>
        </w:rPr>
      </w:pPr>
      <w:r w:rsidRPr="00670830">
        <w:rPr>
          <w:rFonts w:ascii="Arial" w:hAnsi="Arial" w:cs="Arial"/>
          <w:sz w:val="24"/>
          <w:szCs w:val="24"/>
          <w:lang w:val="en-US"/>
        </w:rPr>
        <w:t>WOE = Log</w:t>
      </w:r>
      <w:r w:rsidR="00CE3489" w:rsidRPr="00670830">
        <w:rPr>
          <w:rFonts w:ascii="Arial" w:hAnsi="Arial" w:cs="Arial"/>
          <w:sz w:val="24"/>
          <w:szCs w:val="24"/>
          <w:lang w:val="en-US"/>
        </w:rPr>
        <w:t xml:space="preserve"> </w:t>
      </w:r>
      <w:r w:rsidRPr="00670830">
        <w:rPr>
          <w:rFonts w:ascii="Arial" w:hAnsi="Arial" w:cs="Arial"/>
          <w:sz w:val="24"/>
          <w:szCs w:val="24"/>
          <w:lang w:val="en-US"/>
        </w:rPr>
        <w:t>(Distribution Good/Distribution Bad)</w:t>
      </w:r>
    </w:p>
    <w:p w:rsidR="009065DC" w:rsidRPr="00670830" w:rsidRDefault="009065DC" w:rsidP="00670830">
      <w:pPr>
        <w:spacing w:line="360" w:lineRule="auto"/>
        <w:jc w:val="center"/>
        <w:rPr>
          <w:rFonts w:ascii="Arial" w:hAnsi="Arial" w:cs="Arial"/>
          <w:sz w:val="24"/>
          <w:szCs w:val="24"/>
          <w:lang w:val="en-US"/>
        </w:rPr>
      </w:pPr>
      <w:r w:rsidRPr="00670830">
        <w:rPr>
          <w:rFonts w:ascii="Arial" w:hAnsi="Arial" w:cs="Arial"/>
          <w:sz w:val="24"/>
          <w:szCs w:val="24"/>
          <w:lang w:val="en-US"/>
        </w:rPr>
        <w:t>IV = {Σ</w:t>
      </w:r>
      <w:r w:rsidR="00CE3489" w:rsidRPr="00670830">
        <w:rPr>
          <w:rFonts w:ascii="Arial" w:hAnsi="Arial" w:cs="Arial"/>
          <w:sz w:val="24"/>
          <w:szCs w:val="24"/>
          <w:lang w:val="en-US"/>
        </w:rPr>
        <w:t xml:space="preserve"> </w:t>
      </w:r>
      <w:proofErr w:type="gramStart"/>
      <w:r w:rsidRPr="00670830">
        <w:rPr>
          <w:rFonts w:ascii="Arial" w:hAnsi="Arial" w:cs="Arial"/>
          <w:sz w:val="24"/>
          <w:szCs w:val="24"/>
          <w:lang w:val="en-US"/>
        </w:rPr>
        <w:t>(</w:t>
      </w:r>
      <w:r w:rsidR="00CE3489" w:rsidRPr="00670830">
        <w:rPr>
          <w:rFonts w:ascii="Arial" w:hAnsi="Arial" w:cs="Arial"/>
          <w:sz w:val="24"/>
          <w:szCs w:val="24"/>
          <w:lang w:val="en-US"/>
        </w:rPr>
        <w:t xml:space="preserve"> </w:t>
      </w:r>
      <w:proofErr w:type="spellStart"/>
      <w:r w:rsidRPr="00670830">
        <w:rPr>
          <w:rFonts w:ascii="Arial" w:hAnsi="Arial" w:cs="Arial"/>
          <w:sz w:val="24"/>
          <w:szCs w:val="24"/>
          <w:lang w:val="en-US"/>
        </w:rPr>
        <w:t>Dist</w:t>
      </w:r>
      <w:proofErr w:type="spellEnd"/>
      <w:proofErr w:type="gramEnd"/>
      <w:r w:rsidRPr="00670830">
        <w:rPr>
          <w:rFonts w:ascii="Arial" w:hAnsi="Arial" w:cs="Arial"/>
          <w:sz w:val="24"/>
          <w:szCs w:val="24"/>
          <w:lang w:val="en-US"/>
        </w:rPr>
        <w:t xml:space="preserve"> Good – </w:t>
      </w:r>
      <w:proofErr w:type="spellStart"/>
      <w:r w:rsidRPr="00670830">
        <w:rPr>
          <w:rFonts w:ascii="Arial" w:hAnsi="Arial" w:cs="Arial"/>
          <w:sz w:val="24"/>
          <w:szCs w:val="24"/>
          <w:lang w:val="en-US"/>
        </w:rPr>
        <w:t>Dist</w:t>
      </w:r>
      <w:proofErr w:type="spellEnd"/>
      <w:r w:rsidRPr="00670830">
        <w:rPr>
          <w:rFonts w:ascii="Arial" w:hAnsi="Arial" w:cs="Arial"/>
          <w:sz w:val="24"/>
          <w:szCs w:val="24"/>
          <w:lang w:val="en-US"/>
        </w:rPr>
        <w:t xml:space="preserve"> Bad</w:t>
      </w:r>
      <w:r w:rsidR="00CE3489" w:rsidRPr="00670830">
        <w:rPr>
          <w:rFonts w:ascii="Arial" w:hAnsi="Arial" w:cs="Arial"/>
          <w:sz w:val="24"/>
          <w:szCs w:val="24"/>
          <w:lang w:val="en-US"/>
        </w:rPr>
        <w:t xml:space="preserve"> </w:t>
      </w:r>
      <w:r w:rsidRPr="00670830">
        <w:rPr>
          <w:rFonts w:ascii="Arial" w:hAnsi="Arial" w:cs="Arial"/>
          <w:sz w:val="24"/>
          <w:szCs w:val="24"/>
          <w:lang w:val="en-US"/>
        </w:rPr>
        <w:t>) x WOE}</w:t>
      </w:r>
    </w:p>
    <w:p w:rsidR="00CE3489" w:rsidRPr="00670830" w:rsidRDefault="00CE3489" w:rsidP="00670830">
      <w:pPr>
        <w:spacing w:line="360" w:lineRule="auto"/>
        <w:jc w:val="center"/>
        <w:rPr>
          <w:rFonts w:ascii="Arial" w:hAnsi="Arial" w:cs="Arial"/>
          <w:sz w:val="24"/>
          <w:szCs w:val="24"/>
          <w:lang w:val="en-US"/>
        </w:rPr>
      </w:pPr>
    </w:p>
    <w:p w:rsidR="00D7269D" w:rsidRPr="00670830" w:rsidRDefault="009065DC" w:rsidP="00670830">
      <w:pPr>
        <w:spacing w:line="360" w:lineRule="auto"/>
        <w:rPr>
          <w:rFonts w:ascii="Arial" w:hAnsi="Arial" w:cs="Arial"/>
          <w:sz w:val="24"/>
          <w:szCs w:val="24"/>
        </w:rPr>
      </w:pPr>
      <w:r w:rsidRPr="00670830">
        <w:rPr>
          <w:rFonts w:ascii="Arial" w:hAnsi="Arial" w:cs="Arial"/>
          <w:sz w:val="24"/>
          <w:szCs w:val="24"/>
        </w:rPr>
        <w:t>Típicamente los valores del IV se interpretan de la siguiente manera:</w:t>
      </w:r>
    </w:p>
    <w:p w:rsidR="00D7269D" w:rsidRPr="00670830" w:rsidRDefault="007F3C6B" w:rsidP="00670830">
      <w:pPr>
        <w:spacing w:line="360" w:lineRule="auto"/>
        <w:jc w:val="center"/>
        <w:rPr>
          <w:rFonts w:ascii="Arial" w:hAnsi="Arial" w:cs="Arial"/>
          <w:sz w:val="24"/>
          <w:szCs w:val="24"/>
        </w:rPr>
      </w:pPr>
      <w:r w:rsidRPr="00670830">
        <w:rPr>
          <w:rFonts w:ascii="Arial" w:hAnsi="Arial" w:cs="Arial"/>
          <w:noProof/>
          <w:sz w:val="24"/>
          <w:szCs w:val="24"/>
          <w:lang w:eastAsia="es-MX"/>
        </w:rPr>
        <w:drawing>
          <wp:inline distT="0" distB="0" distL="0" distR="0" wp14:anchorId="7DD11A5A" wp14:editId="59ECE7A1">
            <wp:extent cx="3073613" cy="854063"/>
            <wp:effectExtent l="0" t="0" r="0" b="381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78251" cy="855352"/>
                    </a:xfrm>
                    <a:prstGeom prst="rect">
                      <a:avLst/>
                    </a:prstGeom>
                    <a:noFill/>
                    <a:ln>
                      <a:noFill/>
                    </a:ln>
                  </pic:spPr>
                </pic:pic>
              </a:graphicData>
            </a:graphic>
          </wp:inline>
        </w:drawing>
      </w:r>
    </w:p>
    <w:p w:rsidR="004108C8" w:rsidRPr="00670830" w:rsidRDefault="004108C8" w:rsidP="00670830">
      <w:pPr>
        <w:spacing w:line="360" w:lineRule="auto"/>
        <w:rPr>
          <w:rFonts w:ascii="Arial" w:hAnsi="Arial" w:cs="Arial"/>
          <w:sz w:val="24"/>
          <w:szCs w:val="24"/>
        </w:rPr>
      </w:pPr>
    </w:p>
    <w:p w:rsidR="004108C8" w:rsidRPr="00670830" w:rsidRDefault="004108C8" w:rsidP="00670830">
      <w:pPr>
        <w:spacing w:line="360" w:lineRule="auto"/>
        <w:rPr>
          <w:rFonts w:ascii="Arial" w:hAnsi="Arial" w:cs="Arial"/>
          <w:b/>
          <w:sz w:val="24"/>
          <w:szCs w:val="24"/>
          <w:u w:val="single"/>
        </w:rPr>
      </w:pPr>
      <w:r w:rsidRPr="00670830">
        <w:rPr>
          <w:rFonts w:ascii="Arial" w:hAnsi="Arial" w:cs="Arial"/>
          <w:b/>
          <w:sz w:val="24"/>
          <w:szCs w:val="24"/>
          <w:u w:val="single"/>
        </w:rPr>
        <w:t xml:space="preserve">Análisis </w:t>
      </w:r>
      <w:proofErr w:type="spellStart"/>
      <w:r w:rsidRPr="00670830">
        <w:rPr>
          <w:rFonts w:ascii="Arial" w:hAnsi="Arial" w:cs="Arial"/>
          <w:b/>
          <w:sz w:val="24"/>
          <w:szCs w:val="24"/>
          <w:u w:val="single"/>
        </w:rPr>
        <w:t>Bivariado</w:t>
      </w:r>
      <w:proofErr w:type="spellEnd"/>
    </w:p>
    <w:p w:rsidR="009065DC" w:rsidRPr="00670830" w:rsidRDefault="004108C8" w:rsidP="00670830">
      <w:pPr>
        <w:spacing w:line="360" w:lineRule="auto"/>
        <w:jc w:val="both"/>
        <w:rPr>
          <w:rFonts w:ascii="Arial" w:hAnsi="Arial" w:cs="Arial"/>
          <w:sz w:val="24"/>
          <w:szCs w:val="24"/>
        </w:rPr>
      </w:pPr>
      <w:r w:rsidRPr="00670830">
        <w:rPr>
          <w:rFonts w:ascii="Arial" w:hAnsi="Arial" w:cs="Arial"/>
          <w:sz w:val="24"/>
          <w:szCs w:val="24"/>
        </w:rPr>
        <w:t xml:space="preserve">El análisis </w:t>
      </w:r>
      <w:proofErr w:type="spellStart"/>
      <w:r w:rsidRPr="00670830">
        <w:rPr>
          <w:rFonts w:ascii="Arial" w:hAnsi="Arial" w:cs="Arial"/>
          <w:sz w:val="24"/>
          <w:szCs w:val="24"/>
        </w:rPr>
        <w:t>bivariado</w:t>
      </w:r>
      <w:proofErr w:type="spellEnd"/>
      <w:r w:rsidRPr="00670830">
        <w:rPr>
          <w:rFonts w:ascii="Arial" w:hAnsi="Arial" w:cs="Arial"/>
          <w:sz w:val="24"/>
          <w:szCs w:val="24"/>
        </w:rPr>
        <w:t xml:space="preserve"> es una herramienta estadística cuyo objetivo es determinar la relación que existe entre dos variables. En particular, estamos interesados en medir el nivel de significancia entr</w:t>
      </w:r>
      <w:r w:rsidR="00CE3489" w:rsidRPr="00670830">
        <w:rPr>
          <w:rFonts w:ascii="Arial" w:hAnsi="Arial" w:cs="Arial"/>
          <w:sz w:val="24"/>
          <w:szCs w:val="24"/>
        </w:rPr>
        <w:t>e las variables independientes</w:t>
      </w:r>
      <w:r w:rsidRPr="00670830">
        <w:rPr>
          <w:rFonts w:ascii="Arial" w:hAnsi="Arial" w:cs="Arial"/>
          <w:sz w:val="24"/>
          <w:szCs w:val="24"/>
        </w:rPr>
        <w:t xml:space="preserve"> y la morosidad (variable respuesta).  </w:t>
      </w:r>
    </w:p>
    <w:p w:rsidR="007E3B62" w:rsidRPr="00670830" w:rsidRDefault="007E3B62" w:rsidP="00670830">
      <w:pPr>
        <w:spacing w:line="360" w:lineRule="auto"/>
        <w:jc w:val="both"/>
        <w:rPr>
          <w:rFonts w:ascii="Arial" w:hAnsi="Arial" w:cs="Arial"/>
          <w:sz w:val="24"/>
          <w:szCs w:val="24"/>
        </w:rPr>
      </w:pPr>
    </w:p>
    <w:p w:rsidR="007E3B62" w:rsidRPr="00670830" w:rsidRDefault="007E3B62" w:rsidP="00670830">
      <w:pPr>
        <w:spacing w:line="360" w:lineRule="auto"/>
        <w:rPr>
          <w:rFonts w:ascii="Arial" w:hAnsi="Arial" w:cs="Arial"/>
          <w:b/>
          <w:sz w:val="24"/>
          <w:szCs w:val="24"/>
          <w:u w:val="single"/>
        </w:rPr>
      </w:pPr>
      <w:r w:rsidRPr="00670830">
        <w:rPr>
          <w:rFonts w:ascii="Arial" w:hAnsi="Arial" w:cs="Arial"/>
          <w:b/>
          <w:sz w:val="24"/>
          <w:szCs w:val="24"/>
          <w:u w:val="single"/>
        </w:rPr>
        <w:t>Análisis de Correlación</w:t>
      </w:r>
    </w:p>
    <w:p w:rsidR="004108C8" w:rsidRPr="00670830" w:rsidRDefault="007E3B62" w:rsidP="00670830">
      <w:pPr>
        <w:spacing w:line="360" w:lineRule="auto"/>
        <w:jc w:val="both"/>
        <w:rPr>
          <w:rFonts w:ascii="Arial" w:hAnsi="Arial" w:cs="Arial"/>
          <w:sz w:val="24"/>
          <w:szCs w:val="24"/>
        </w:rPr>
      </w:pPr>
      <w:r w:rsidRPr="00670830">
        <w:rPr>
          <w:rFonts w:ascii="Arial" w:hAnsi="Arial" w:cs="Arial"/>
          <w:sz w:val="24"/>
          <w:szCs w:val="24"/>
        </w:rPr>
        <w:t>El análisis de correlación es una prueba que se realiza entre cada par de variables del modelo a fin de determinar si existe una relación significativa entre ellas. Se aplica la prueba de Pearson con distintos niveles de significancia y deberán eliminarse las variables correlacionadas puesto que sólo una de ellas es suficiente para explicar la variable respuesta (morosidad).</w:t>
      </w:r>
    </w:p>
    <w:p w:rsidR="00E404FC" w:rsidRPr="00670830" w:rsidRDefault="00E404FC" w:rsidP="00670830">
      <w:pPr>
        <w:spacing w:line="360" w:lineRule="auto"/>
        <w:jc w:val="both"/>
        <w:rPr>
          <w:rFonts w:ascii="Arial" w:hAnsi="Arial" w:cs="Arial"/>
          <w:sz w:val="24"/>
          <w:szCs w:val="24"/>
        </w:rPr>
      </w:pPr>
      <w:r w:rsidRPr="00670830">
        <w:rPr>
          <w:rFonts w:ascii="Arial" w:hAnsi="Arial" w:cs="Arial"/>
          <w:sz w:val="24"/>
          <w:szCs w:val="24"/>
        </w:rPr>
        <w:t xml:space="preserve">Se puede utilizar la </w:t>
      </w:r>
      <w:r w:rsidR="00CE3489" w:rsidRPr="00670830">
        <w:rPr>
          <w:rFonts w:ascii="Arial" w:hAnsi="Arial" w:cs="Arial"/>
          <w:sz w:val="24"/>
          <w:szCs w:val="24"/>
        </w:rPr>
        <w:t>siguiente tabla como referencia:</w:t>
      </w:r>
    </w:p>
    <w:p w:rsidR="00CE3489" w:rsidRPr="00670830" w:rsidRDefault="00CE3489" w:rsidP="00670830">
      <w:pPr>
        <w:spacing w:line="360" w:lineRule="auto"/>
        <w:jc w:val="both"/>
        <w:rPr>
          <w:rFonts w:ascii="Arial" w:hAnsi="Arial" w:cs="Arial"/>
          <w:sz w:val="24"/>
          <w:szCs w:val="24"/>
        </w:rPr>
      </w:pPr>
    </w:p>
    <w:p w:rsidR="00E404FC" w:rsidRPr="00670830" w:rsidRDefault="00E404FC" w:rsidP="00670830">
      <w:pPr>
        <w:spacing w:line="360" w:lineRule="auto"/>
        <w:jc w:val="center"/>
        <w:rPr>
          <w:rFonts w:ascii="Arial" w:hAnsi="Arial" w:cs="Arial"/>
          <w:sz w:val="24"/>
          <w:szCs w:val="24"/>
        </w:rPr>
      </w:pPr>
      <w:r w:rsidRPr="00670830">
        <w:rPr>
          <w:rFonts w:ascii="Arial" w:hAnsi="Arial" w:cs="Arial"/>
          <w:noProof/>
          <w:sz w:val="24"/>
          <w:szCs w:val="24"/>
          <w:lang w:eastAsia="es-MX"/>
        </w:rPr>
        <w:drawing>
          <wp:inline distT="0" distB="0" distL="0" distR="0" wp14:anchorId="707EEBEB" wp14:editId="502D8DCE">
            <wp:extent cx="2570205" cy="2259959"/>
            <wp:effectExtent l="0" t="0" r="1905" b="7620"/>
            <wp:docPr id="537" name="Imagen 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570436" cy="2260162"/>
                    </a:xfrm>
                    <a:prstGeom prst="rect">
                      <a:avLst/>
                    </a:prstGeom>
                    <a:noFill/>
                    <a:ln>
                      <a:noFill/>
                    </a:ln>
                  </pic:spPr>
                </pic:pic>
              </a:graphicData>
            </a:graphic>
          </wp:inline>
        </w:drawing>
      </w:r>
    </w:p>
    <w:p w:rsidR="005F6D00" w:rsidRPr="00670830" w:rsidRDefault="005F6D00" w:rsidP="00670830">
      <w:pPr>
        <w:spacing w:line="360" w:lineRule="auto"/>
        <w:rPr>
          <w:rFonts w:ascii="Arial" w:hAnsi="Arial" w:cs="Arial"/>
          <w:b/>
          <w:sz w:val="24"/>
          <w:szCs w:val="24"/>
          <w:u w:val="single"/>
        </w:rPr>
      </w:pPr>
    </w:p>
    <w:p w:rsidR="00E404FC" w:rsidRPr="00670830" w:rsidRDefault="00E404FC" w:rsidP="00670830">
      <w:pPr>
        <w:spacing w:line="360" w:lineRule="auto"/>
        <w:rPr>
          <w:rFonts w:ascii="Arial" w:hAnsi="Arial" w:cs="Arial"/>
          <w:b/>
          <w:sz w:val="24"/>
          <w:szCs w:val="24"/>
          <w:u w:val="single"/>
        </w:rPr>
      </w:pPr>
      <w:r w:rsidRPr="00670830">
        <w:rPr>
          <w:rFonts w:ascii="Arial" w:hAnsi="Arial" w:cs="Arial"/>
          <w:b/>
          <w:sz w:val="24"/>
          <w:szCs w:val="24"/>
          <w:u w:val="single"/>
        </w:rPr>
        <w:t>Estimación del Modelo</w:t>
      </w:r>
    </w:p>
    <w:p w:rsidR="00CE3489" w:rsidRPr="00670830" w:rsidRDefault="00E404FC" w:rsidP="00670830">
      <w:pPr>
        <w:spacing w:line="360" w:lineRule="auto"/>
        <w:jc w:val="both"/>
        <w:rPr>
          <w:rFonts w:ascii="Arial" w:hAnsi="Arial" w:cs="Arial"/>
          <w:sz w:val="24"/>
          <w:szCs w:val="24"/>
        </w:rPr>
      </w:pPr>
      <w:r w:rsidRPr="00670830">
        <w:rPr>
          <w:rFonts w:ascii="Arial" w:hAnsi="Arial" w:cs="Arial"/>
          <w:sz w:val="24"/>
          <w:szCs w:val="24"/>
        </w:rPr>
        <w:t xml:space="preserve">Una vez que la base está categorizada y </w:t>
      </w:r>
      <w:r w:rsidR="005677FE" w:rsidRPr="00670830">
        <w:rPr>
          <w:rFonts w:ascii="Arial" w:hAnsi="Arial" w:cs="Arial"/>
          <w:sz w:val="24"/>
          <w:szCs w:val="24"/>
        </w:rPr>
        <w:t>libre de correlación, se procede</w:t>
      </w:r>
      <w:r w:rsidRPr="00670830">
        <w:rPr>
          <w:rFonts w:ascii="Arial" w:hAnsi="Arial" w:cs="Arial"/>
          <w:sz w:val="24"/>
          <w:szCs w:val="24"/>
        </w:rPr>
        <w:t xml:space="preserve"> a calcular una regresión logística a fin de encontrar los estimadores que mejo</w:t>
      </w:r>
      <w:r w:rsidR="00670830">
        <w:rPr>
          <w:rFonts w:ascii="Arial" w:hAnsi="Arial" w:cs="Arial"/>
          <w:sz w:val="24"/>
          <w:szCs w:val="24"/>
        </w:rPr>
        <w:t xml:space="preserve">r se ajusten a nuestro modelo. </w:t>
      </w:r>
    </w:p>
    <w:p w:rsidR="00CE3489" w:rsidRPr="00670830" w:rsidRDefault="00CE3489" w:rsidP="00670830">
      <w:pPr>
        <w:spacing w:line="360" w:lineRule="auto"/>
        <w:rPr>
          <w:rFonts w:ascii="Arial" w:hAnsi="Arial" w:cs="Arial"/>
          <w:b/>
          <w:sz w:val="24"/>
          <w:szCs w:val="24"/>
          <w:u w:val="single"/>
        </w:rPr>
      </w:pPr>
      <w:r w:rsidRPr="00670830">
        <w:rPr>
          <w:rFonts w:ascii="Arial" w:hAnsi="Arial" w:cs="Arial"/>
          <w:b/>
          <w:sz w:val="24"/>
          <w:szCs w:val="24"/>
          <w:u w:val="single"/>
        </w:rPr>
        <w:t>Regresión Logística</w:t>
      </w:r>
    </w:p>
    <w:p w:rsidR="002C500A" w:rsidRPr="00670830" w:rsidRDefault="002C500A" w:rsidP="00670830">
      <w:pPr>
        <w:spacing w:line="360" w:lineRule="auto"/>
        <w:jc w:val="both"/>
        <w:rPr>
          <w:rFonts w:ascii="Arial" w:hAnsi="Arial" w:cs="Arial"/>
          <w:sz w:val="24"/>
          <w:szCs w:val="24"/>
        </w:rPr>
      </w:pPr>
      <w:r w:rsidRPr="00670830">
        <w:rPr>
          <w:rFonts w:ascii="Arial" w:hAnsi="Arial" w:cs="Arial"/>
          <w:sz w:val="24"/>
          <w:szCs w:val="24"/>
        </w:rPr>
        <w:t xml:space="preserve">En estadística, la regresión logística es un tipo de análisis de regresión utilizado para predecir el resultado de una variable categórica (una variable que puede adoptar un número limitado de categorías) en función de las variables independientes o </w:t>
      </w:r>
      <w:proofErr w:type="spellStart"/>
      <w:r w:rsidRPr="00670830">
        <w:rPr>
          <w:rFonts w:ascii="Arial" w:hAnsi="Arial" w:cs="Arial"/>
          <w:sz w:val="24"/>
          <w:szCs w:val="24"/>
        </w:rPr>
        <w:t>predictoras</w:t>
      </w:r>
      <w:proofErr w:type="spellEnd"/>
      <w:r w:rsidRPr="00670830">
        <w:rPr>
          <w:rFonts w:ascii="Arial" w:hAnsi="Arial" w:cs="Arial"/>
          <w:sz w:val="24"/>
          <w:szCs w:val="24"/>
        </w:rPr>
        <w:t xml:space="preserve">. </w:t>
      </w:r>
    </w:p>
    <w:p w:rsidR="002C500A" w:rsidRPr="00670830" w:rsidRDefault="002C500A" w:rsidP="00670830">
      <w:pPr>
        <w:spacing w:line="360" w:lineRule="auto"/>
        <w:jc w:val="both"/>
        <w:rPr>
          <w:rFonts w:ascii="Arial" w:hAnsi="Arial" w:cs="Arial"/>
          <w:sz w:val="24"/>
          <w:szCs w:val="24"/>
        </w:rPr>
      </w:pPr>
      <w:r w:rsidRPr="00670830">
        <w:rPr>
          <w:rFonts w:ascii="Arial" w:hAnsi="Arial" w:cs="Arial"/>
          <w:sz w:val="24"/>
          <w:szCs w:val="24"/>
        </w:rPr>
        <w:t xml:space="preserve">Es útil para modelar la probabilidad de un evento ocurriendo como función de otros factores. El análisis de regresión logística se enmarca en el conjunto de Modelos Lineales Generalizados (GLM por sus siglas en inglés) que usa como función de enlace la función </w:t>
      </w:r>
      <w:proofErr w:type="spellStart"/>
      <w:r w:rsidRPr="00670830">
        <w:rPr>
          <w:rFonts w:ascii="Arial" w:hAnsi="Arial" w:cs="Arial"/>
          <w:sz w:val="24"/>
          <w:szCs w:val="24"/>
        </w:rPr>
        <w:t>logit</w:t>
      </w:r>
      <w:proofErr w:type="spellEnd"/>
      <w:r w:rsidRPr="00670830">
        <w:rPr>
          <w:rFonts w:ascii="Arial" w:hAnsi="Arial" w:cs="Arial"/>
          <w:sz w:val="24"/>
          <w:szCs w:val="24"/>
        </w:rPr>
        <w:t xml:space="preserve">. </w:t>
      </w:r>
    </w:p>
    <w:p w:rsidR="00CE3489" w:rsidRPr="00670830" w:rsidRDefault="002C500A" w:rsidP="00670830">
      <w:pPr>
        <w:spacing w:line="360" w:lineRule="auto"/>
        <w:jc w:val="both"/>
        <w:rPr>
          <w:rFonts w:ascii="Arial" w:hAnsi="Arial" w:cs="Arial"/>
          <w:sz w:val="24"/>
          <w:szCs w:val="24"/>
        </w:rPr>
      </w:pPr>
      <w:r w:rsidRPr="00670830">
        <w:rPr>
          <w:rFonts w:ascii="Arial" w:hAnsi="Arial" w:cs="Arial"/>
          <w:sz w:val="24"/>
          <w:szCs w:val="24"/>
        </w:rPr>
        <w:t xml:space="preserve">La regresión logística es usada extensamente en las ciencias médicas y sociales. Otros nombres para regresión logística usados en varias áreas de aplicación incluyen modelo logístico, modelo </w:t>
      </w:r>
      <w:proofErr w:type="spellStart"/>
      <w:r w:rsidRPr="00670830">
        <w:rPr>
          <w:rFonts w:ascii="Arial" w:hAnsi="Arial" w:cs="Arial"/>
          <w:sz w:val="24"/>
          <w:szCs w:val="24"/>
        </w:rPr>
        <w:t>logit</w:t>
      </w:r>
      <w:proofErr w:type="spellEnd"/>
      <w:r w:rsidRPr="00670830">
        <w:rPr>
          <w:rFonts w:ascii="Arial" w:hAnsi="Arial" w:cs="Arial"/>
          <w:sz w:val="24"/>
          <w:szCs w:val="24"/>
        </w:rPr>
        <w:t>, y clasificador de máxima entropía.</w:t>
      </w:r>
    </w:p>
    <w:p w:rsidR="00C14280" w:rsidRPr="00670830" w:rsidRDefault="00C14280" w:rsidP="00670830">
      <w:pPr>
        <w:spacing w:line="360" w:lineRule="auto"/>
        <w:rPr>
          <w:rFonts w:ascii="Arial" w:hAnsi="Arial" w:cs="Arial"/>
          <w:b/>
          <w:sz w:val="24"/>
          <w:szCs w:val="24"/>
          <w:u w:val="single"/>
        </w:rPr>
      </w:pPr>
    </w:p>
    <w:p w:rsidR="002C500A" w:rsidRPr="00670830" w:rsidRDefault="002C500A" w:rsidP="00670830">
      <w:pPr>
        <w:spacing w:line="360" w:lineRule="auto"/>
        <w:rPr>
          <w:rFonts w:ascii="Arial" w:hAnsi="Arial" w:cs="Arial"/>
          <w:sz w:val="24"/>
          <w:szCs w:val="24"/>
        </w:rPr>
      </w:pPr>
      <m:oMathPara>
        <m:oMath>
          <m:r>
            <w:rPr>
              <w:rFonts w:ascii="Cambria Math" w:hAnsi="Cambria Math" w:cs="Arial"/>
              <w:sz w:val="24"/>
              <w:szCs w:val="24"/>
            </w:rPr>
            <m:t>logit</m:t>
          </m:r>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i</m:t>
                  </m:r>
                </m:sub>
              </m:sSub>
            </m:e>
          </m:d>
          <m:r>
            <w:rPr>
              <w:rFonts w:ascii="Cambria Math" w:hAnsi="Cambria Math" w:cs="Arial"/>
              <w:sz w:val="24"/>
              <w:szCs w:val="24"/>
            </w:rPr>
            <m:t>=ln</m:t>
          </m:r>
          <m:d>
            <m:dPr>
              <m:ctrlPr>
                <w:rPr>
                  <w:rFonts w:ascii="Cambria Math" w:hAnsi="Cambria Math" w:cs="Arial"/>
                  <w:i/>
                  <w:sz w:val="24"/>
                  <w:szCs w:val="24"/>
                </w:rPr>
              </m:ctrlPr>
            </m:dPr>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i</m:t>
                      </m:r>
                    </m:sub>
                  </m:sSub>
                </m:num>
                <m:den>
                  <m:r>
                    <w:rPr>
                      <w:rFonts w:ascii="Cambria Math" w:hAnsi="Cambria Math" w:cs="Arial"/>
                      <w:sz w:val="24"/>
                      <w:szCs w:val="24"/>
                    </w:rPr>
                    <m:t>1-</m:t>
                  </m:r>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i</m:t>
                      </m:r>
                    </m:sub>
                  </m:sSub>
                </m:den>
              </m:f>
            </m:e>
          </m:d>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β</m:t>
              </m:r>
            </m:e>
            <m:sub>
              <m:r>
                <w:rPr>
                  <w:rFonts w:ascii="Cambria Math" w:hAnsi="Cambria Math" w:cs="Arial"/>
                  <w:sz w:val="24"/>
                  <w:szCs w:val="24"/>
                </w:rPr>
                <m:t>0</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β</m:t>
              </m:r>
            </m:e>
            <m:sub>
              <m:r>
                <w:rPr>
                  <w:rFonts w:ascii="Cambria Math" w:hAnsi="Cambria Math" w:cs="Arial"/>
                  <w:sz w:val="24"/>
                  <w:szCs w:val="24"/>
                </w:rPr>
                <m:t>1</m:t>
              </m:r>
            </m:sub>
          </m:sSub>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β</m:t>
              </m:r>
            </m:e>
            <m:sub>
              <m:r>
                <w:rPr>
                  <w:rFonts w:ascii="Cambria Math" w:hAnsi="Cambria Math" w:cs="Arial"/>
                  <w:sz w:val="24"/>
                  <w:szCs w:val="24"/>
                </w:rPr>
                <m:t>2</m:t>
              </m:r>
            </m:sub>
          </m:sSub>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β</m:t>
              </m:r>
            </m:e>
            <m:sub>
              <m:r>
                <w:rPr>
                  <w:rFonts w:ascii="Cambria Math" w:hAnsi="Cambria Math" w:cs="Arial"/>
                  <w:sz w:val="24"/>
                  <w:szCs w:val="24"/>
                </w:rPr>
                <m:t>k</m:t>
              </m:r>
            </m:sub>
          </m:sSub>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k</m:t>
              </m:r>
            </m:sub>
          </m:sSub>
        </m:oMath>
      </m:oMathPara>
    </w:p>
    <w:p w:rsidR="002C500A" w:rsidRPr="00670830" w:rsidRDefault="002C500A" w:rsidP="00670830">
      <w:pPr>
        <w:spacing w:line="360" w:lineRule="auto"/>
        <w:rPr>
          <w:rFonts w:ascii="Arial" w:hAnsi="Arial" w:cs="Arial"/>
          <w:sz w:val="24"/>
          <w:szCs w:val="24"/>
        </w:rPr>
      </w:pPr>
    </w:p>
    <w:p w:rsidR="00C14280" w:rsidRPr="00670830" w:rsidRDefault="002C500A" w:rsidP="00670830">
      <w:pPr>
        <w:spacing w:line="360" w:lineRule="auto"/>
        <w:rPr>
          <w:rFonts w:ascii="Arial" w:hAnsi="Arial" w:cs="Arial"/>
          <w:sz w:val="24"/>
          <w:szCs w:val="24"/>
        </w:rPr>
      </w:pPr>
      <w:r w:rsidRPr="00670830">
        <w:rPr>
          <w:rFonts w:ascii="Arial" w:hAnsi="Arial" w:cs="Arial"/>
          <w:sz w:val="24"/>
          <w:szCs w:val="24"/>
        </w:rPr>
        <w:t>La probabilidad de que ocurra el evento i está dado por:</w:t>
      </w:r>
    </w:p>
    <w:p w:rsidR="002C500A" w:rsidRPr="00670830" w:rsidRDefault="002C500A" w:rsidP="00670830">
      <w:pPr>
        <w:spacing w:line="360" w:lineRule="auto"/>
        <w:rPr>
          <w:rFonts w:ascii="Arial" w:hAnsi="Arial" w:cs="Arial"/>
          <w:sz w:val="24"/>
          <w:szCs w:val="24"/>
        </w:rPr>
      </w:pPr>
    </w:p>
    <w:p w:rsidR="006B1049" w:rsidRPr="00670830" w:rsidRDefault="00AC26BD" w:rsidP="00670830">
      <w:pPr>
        <w:spacing w:line="360" w:lineRule="auto"/>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i</m:t>
              </m:r>
            </m:sub>
          </m:sSub>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1+</m:t>
              </m:r>
              <m:sSup>
                <m:sSupPr>
                  <m:ctrlPr>
                    <w:rPr>
                      <w:rFonts w:ascii="Cambria Math" w:hAnsi="Cambria Math" w:cs="Arial"/>
                      <w:i/>
                      <w:sz w:val="24"/>
                      <w:szCs w:val="24"/>
                    </w:rPr>
                  </m:ctrlPr>
                </m:sSupPr>
                <m:e>
                  <m:r>
                    <w:rPr>
                      <w:rFonts w:ascii="Cambria Math" w:hAnsi="Cambria Math" w:cs="Arial"/>
                      <w:sz w:val="24"/>
                      <w:szCs w:val="24"/>
                    </w:rPr>
                    <m:t>e</m:t>
                  </m:r>
                </m:e>
                <m:sup>
                  <m:r>
                    <w:rPr>
                      <w:rFonts w:ascii="Cambria Math" w:hAnsi="Cambria Math" w:cs="Arial"/>
                      <w:sz w:val="24"/>
                      <w:szCs w:val="24"/>
                    </w:rPr>
                    <m:t>-</m:t>
                  </m:r>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β</m:t>
                          </m:r>
                        </m:e>
                        <m:sub>
                          <m:r>
                            <w:rPr>
                              <w:rFonts w:ascii="Cambria Math" w:hAnsi="Cambria Math" w:cs="Arial"/>
                              <w:sz w:val="24"/>
                              <w:szCs w:val="24"/>
                            </w:rPr>
                            <m:t>0</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β</m:t>
                          </m:r>
                        </m:e>
                        <m:sub>
                          <m:r>
                            <w:rPr>
                              <w:rFonts w:ascii="Cambria Math" w:hAnsi="Cambria Math" w:cs="Arial"/>
                              <w:sz w:val="24"/>
                              <w:szCs w:val="24"/>
                            </w:rPr>
                            <m:t>1</m:t>
                          </m:r>
                        </m:sub>
                      </m:sSub>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β</m:t>
                          </m:r>
                        </m:e>
                        <m:sub>
                          <m:r>
                            <w:rPr>
                              <w:rFonts w:ascii="Cambria Math" w:hAnsi="Cambria Math" w:cs="Arial"/>
                              <w:sz w:val="24"/>
                              <w:szCs w:val="24"/>
                            </w:rPr>
                            <m:t>2</m:t>
                          </m:r>
                        </m:sub>
                      </m:sSub>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β</m:t>
                          </m:r>
                        </m:e>
                        <m:sub>
                          <m:r>
                            <w:rPr>
                              <w:rFonts w:ascii="Cambria Math" w:hAnsi="Cambria Math" w:cs="Arial"/>
                              <w:sz w:val="24"/>
                              <w:szCs w:val="24"/>
                            </w:rPr>
                            <m:t>k</m:t>
                          </m:r>
                        </m:sub>
                      </m:sSub>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k</m:t>
                          </m:r>
                        </m:sub>
                      </m:sSub>
                    </m:e>
                  </m:d>
                </m:sup>
              </m:sSup>
            </m:den>
          </m:f>
        </m:oMath>
      </m:oMathPara>
    </w:p>
    <w:p w:rsidR="00237E3D" w:rsidRPr="00670830" w:rsidRDefault="00237E3D" w:rsidP="00670830">
      <w:pPr>
        <w:spacing w:line="360" w:lineRule="auto"/>
        <w:rPr>
          <w:rFonts w:ascii="Arial" w:hAnsi="Arial" w:cs="Arial"/>
          <w:b/>
          <w:sz w:val="24"/>
          <w:szCs w:val="24"/>
          <w:u w:val="single"/>
        </w:rPr>
      </w:pPr>
    </w:p>
    <w:p w:rsidR="00E404FC" w:rsidRPr="00670830" w:rsidRDefault="00E404FC" w:rsidP="00670830">
      <w:pPr>
        <w:spacing w:line="360" w:lineRule="auto"/>
        <w:rPr>
          <w:rFonts w:ascii="Arial" w:hAnsi="Arial" w:cs="Arial"/>
          <w:b/>
          <w:sz w:val="24"/>
          <w:szCs w:val="24"/>
          <w:u w:val="single"/>
        </w:rPr>
      </w:pPr>
      <w:r w:rsidRPr="00670830">
        <w:rPr>
          <w:rFonts w:ascii="Arial" w:hAnsi="Arial" w:cs="Arial"/>
          <w:b/>
          <w:sz w:val="24"/>
          <w:szCs w:val="24"/>
          <w:u w:val="single"/>
        </w:rPr>
        <w:t>Tabla de Desempeño</w:t>
      </w:r>
    </w:p>
    <w:p w:rsidR="00E404FC" w:rsidRPr="00670830" w:rsidRDefault="00E404FC" w:rsidP="00670830">
      <w:pPr>
        <w:spacing w:line="360" w:lineRule="auto"/>
        <w:jc w:val="both"/>
        <w:rPr>
          <w:rFonts w:ascii="Arial" w:hAnsi="Arial" w:cs="Arial"/>
          <w:b/>
          <w:sz w:val="24"/>
          <w:szCs w:val="24"/>
          <w:u w:val="single"/>
        </w:rPr>
      </w:pPr>
      <w:r w:rsidRPr="00670830">
        <w:rPr>
          <w:rFonts w:ascii="Arial" w:hAnsi="Arial" w:cs="Arial"/>
          <w:sz w:val="24"/>
          <w:szCs w:val="24"/>
        </w:rPr>
        <w:t>La tabla de desempeño contiene la información necesaria para determinar si el modelo es predictivo y ordena a las cuentas por nivel de riesgo. La información que debemos analizar en esta tabla es la siguiente:</w:t>
      </w:r>
    </w:p>
    <w:p w:rsidR="00E404FC" w:rsidRPr="00670830" w:rsidRDefault="00E404FC" w:rsidP="00670830">
      <w:pPr>
        <w:pStyle w:val="Prrafodelista"/>
        <w:numPr>
          <w:ilvl w:val="0"/>
          <w:numId w:val="43"/>
        </w:numPr>
        <w:spacing w:line="360" w:lineRule="auto"/>
        <w:jc w:val="both"/>
        <w:rPr>
          <w:rFonts w:ascii="Arial" w:hAnsi="Arial" w:cs="Arial"/>
          <w:b/>
          <w:sz w:val="24"/>
          <w:szCs w:val="24"/>
          <w:u w:val="single"/>
        </w:rPr>
      </w:pPr>
      <w:r w:rsidRPr="00670830">
        <w:rPr>
          <w:rFonts w:ascii="Arial" w:hAnsi="Arial" w:cs="Arial"/>
          <w:b/>
          <w:sz w:val="24"/>
          <w:szCs w:val="24"/>
        </w:rPr>
        <w:t>Estadístico KS:</w:t>
      </w:r>
      <w:r w:rsidRPr="00670830">
        <w:rPr>
          <w:rFonts w:ascii="Arial" w:hAnsi="Arial" w:cs="Arial"/>
          <w:sz w:val="24"/>
          <w:szCs w:val="24"/>
        </w:rPr>
        <w:t xml:space="preserve"> mide la  máxima diferencia en el porcentaje acumulado de distribución de cuentas buenas y malas. Típicamente, los valores aceptables del KS de un modelo deben ser de al menos 20%.</w:t>
      </w:r>
    </w:p>
    <w:p w:rsidR="00E404FC" w:rsidRPr="00670830" w:rsidRDefault="00E404FC" w:rsidP="00670830">
      <w:pPr>
        <w:pStyle w:val="Prrafodelista"/>
        <w:spacing w:line="360" w:lineRule="auto"/>
        <w:jc w:val="both"/>
        <w:rPr>
          <w:rFonts w:ascii="Arial" w:hAnsi="Arial" w:cs="Arial"/>
          <w:b/>
          <w:sz w:val="24"/>
          <w:szCs w:val="24"/>
          <w:u w:val="single"/>
        </w:rPr>
      </w:pPr>
    </w:p>
    <w:p w:rsidR="00E404FC" w:rsidRPr="00670830" w:rsidRDefault="00E404FC" w:rsidP="00670830">
      <w:pPr>
        <w:pStyle w:val="Prrafodelista"/>
        <w:numPr>
          <w:ilvl w:val="0"/>
          <w:numId w:val="43"/>
        </w:numPr>
        <w:spacing w:line="360" w:lineRule="auto"/>
        <w:jc w:val="both"/>
        <w:rPr>
          <w:rFonts w:ascii="Arial" w:hAnsi="Arial" w:cs="Arial"/>
          <w:b/>
          <w:sz w:val="24"/>
          <w:szCs w:val="24"/>
          <w:u w:val="single"/>
        </w:rPr>
      </w:pPr>
      <w:r w:rsidRPr="00670830">
        <w:rPr>
          <w:rFonts w:ascii="Arial" w:hAnsi="Arial" w:cs="Arial"/>
          <w:b/>
          <w:sz w:val="24"/>
          <w:szCs w:val="24"/>
        </w:rPr>
        <w:t>Valor de Información:</w:t>
      </w:r>
      <w:r w:rsidRPr="00670830">
        <w:rPr>
          <w:rFonts w:ascii="Arial" w:hAnsi="Arial" w:cs="Arial"/>
          <w:sz w:val="24"/>
          <w:szCs w:val="24"/>
        </w:rPr>
        <w:t xml:space="preserve"> es un indicador que determina el nivel de explicación que tiene cada variable del modelo sobre la variable respuesta.</w:t>
      </w:r>
    </w:p>
    <w:p w:rsidR="00E404FC" w:rsidRPr="00670830" w:rsidRDefault="00E404FC" w:rsidP="00670830">
      <w:pPr>
        <w:pStyle w:val="Prrafodelista"/>
        <w:spacing w:line="360" w:lineRule="auto"/>
        <w:jc w:val="both"/>
        <w:rPr>
          <w:rFonts w:ascii="Arial" w:hAnsi="Arial" w:cs="Arial"/>
          <w:b/>
          <w:sz w:val="24"/>
          <w:szCs w:val="24"/>
          <w:u w:val="single"/>
        </w:rPr>
      </w:pPr>
    </w:p>
    <w:p w:rsidR="00E404FC" w:rsidRPr="00670830" w:rsidRDefault="00E404FC" w:rsidP="00670830">
      <w:pPr>
        <w:pStyle w:val="Prrafodelista"/>
        <w:numPr>
          <w:ilvl w:val="0"/>
          <w:numId w:val="43"/>
        </w:numPr>
        <w:spacing w:line="360" w:lineRule="auto"/>
        <w:jc w:val="both"/>
        <w:rPr>
          <w:rFonts w:ascii="Arial" w:hAnsi="Arial" w:cs="Arial"/>
          <w:b/>
          <w:sz w:val="24"/>
          <w:szCs w:val="24"/>
          <w:u w:val="single"/>
        </w:rPr>
      </w:pPr>
      <w:r w:rsidRPr="00670830">
        <w:rPr>
          <w:rFonts w:ascii="Arial" w:hAnsi="Arial" w:cs="Arial"/>
          <w:b/>
          <w:sz w:val="24"/>
          <w:szCs w:val="24"/>
        </w:rPr>
        <w:t xml:space="preserve">Coeficiente de </w:t>
      </w:r>
      <w:proofErr w:type="spellStart"/>
      <w:r w:rsidRPr="00670830">
        <w:rPr>
          <w:rFonts w:ascii="Arial" w:hAnsi="Arial" w:cs="Arial"/>
          <w:b/>
          <w:sz w:val="24"/>
          <w:szCs w:val="24"/>
        </w:rPr>
        <w:t>Gini</w:t>
      </w:r>
      <w:proofErr w:type="spellEnd"/>
      <w:r w:rsidRPr="00670830">
        <w:rPr>
          <w:rFonts w:ascii="Arial" w:hAnsi="Arial" w:cs="Arial"/>
          <w:b/>
          <w:sz w:val="24"/>
          <w:szCs w:val="24"/>
        </w:rPr>
        <w:t>:</w:t>
      </w:r>
      <w:r w:rsidRPr="00670830">
        <w:rPr>
          <w:rFonts w:ascii="Arial" w:hAnsi="Arial" w:cs="Arial"/>
          <w:sz w:val="24"/>
          <w:szCs w:val="24"/>
        </w:rPr>
        <w:t xml:space="preserve"> Es el área que se forma entre la curva de los </w:t>
      </w:r>
      <w:proofErr w:type="spellStart"/>
      <w:r w:rsidRPr="00670830">
        <w:rPr>
          <w:rFonts w:ascii="Arial" w:hAnsi="Arial" w:cs="Arial"/>
          <w:sz w:val="24"/>
          <w:szCs w:val="24"/>
        </w:rPr>
        <w:t>odds</w:t>
      </w:r>
      <w:proofErr w:type="spellEnd"/>
      <w:r w:rsidRPr="00670830">
        <w:rPr>
          <w:rFonts w:ascii="Arial" w:hAnsi="Arial" w:cs="Arial"/>
          <w:sz w:val="24"/>
          <w:szCs w:val="24"/>
        </w:rPr>
        <w:t xml:space="preserve"> que tiene el modelo y la línea de los </w:t>
      </w:r>
      <w:proofErr w:type="spellStart"/>
      <w:r w:rsidRPr="00670830">
        <w:rPr>
          <w:rFonts w:ascii="Arial" w:hAnsi="Arial" w:cs="Arial"/>
          <w:sz w:val="24"/>
          <w:szCs w:val="24"/>
        </w:rPr>
        <w:t>odds</w:t>
      </w:r>
      <w:proofErr w:type="spellEnd"/>
      <w:r w:rsidRPr="00670830">
        <w:rPr>
          <w:rFonts w:ascii="Arial" w:hAnsi="Arial" w:cs="Arial"/>
          <w:sz w:val="24"/>
          <w:szCs w:val="24"/>
        </w:rPr>
        <w:t xml:space="preserve"> aleatorios (donde la probabilidad de ser bueno es exactamente igual a la probabilidad de ser malo). El valor que resulta se encuentra entre 0 y 1, y entre más se acerque a 1 más predictivo es el modelo.</w:t>
      </w:r>
    </w:p>
    <w:p w:rsidR="00E404FC" w:rsidRPr="00670830" w:rsidRDefault="00E404FC" w:rsidP="00670830">
      <w:pPr>
        <w:pStyle w:val="Prrafodelista"/>
        <w:spacing w:line="360" w:lineRule="auto"/>
        <w:jc w:val="both"/>
        <w:rPr>
          <w:rFonts w:ascii="Arial" w:hAnsi="Arial" w:cs="Arial"/>
          <w:b/>
          <w:sz w:val="24"/>
          <w:szCs w:val="24"/>
          <w:u w:val="single"/>
        </w:rPr>
      </w:pPr>
    </w:p>
    <w:p w:rsidR="005F6D00" w:rsidRPr="00670830" w:rsidRDefault="00E404FC" w:rsidP="00670830">
      <w:pPr>
        <w:pStyle w:val="Prrafodelista"/>
        <w:numPr>
          <w:ilvl w:val="0"/>
          <w:numId w:val="43"/>
        </w:numPr>
        <w:spacing w:line="360" w:lineRule="auto"/>
        <w:jc w:val="both"/>
        <w:rPr>
          <w:rFonts w:ascii="Arial" w:hAnsi="Arial" w:cs="Arial"/>
          <w:b/>
          <w:sz w:val="24"/>
          <w:szCs w:val="24"/>
          <w:u w:val="single"/>
        </w:rPr>
      </w:pPr>
      <w:r w:rsidRPr="00670830">
        <w:rPr>
          <w:rFonts w:ascii="Arial" w:hAnsi="Arial" w:cs="Arial"/>
          <w:b/>
          <w:sz w:val="24"/>
          <w:szCs w:val="24"/>
        </w:rPr>
        <w:t xml:space="preserve">Ordenamiento monótono de los </w:t>
      </w:r>
      <w:proofErr w:type="spellStart"/>
      <w:r w:rsidRPr="00670830">
        <w:rPr>
          <w:rFonts w:ascii="Arial" w:hAnsi="Arial" w:cs="Arial"/>
          <w:b/>
          <w:sz w:val="24"/>
          <w:szCs w:val="24"/>
        </w:rPr>
        <w:t>odds</w:t>
      </w:r>
      <w:proofErr w:type="spellEnd"/>
      <w:r w:rsidRPr="00670830">
        <w:rPr>
          <w:rFonts w:ascii="Arial" w:hAnsi="Arial" w:cs="Arial"/>
          <w:b/>
          <w:sz w:val="24"/>
          <w:szCs w:val="24"/>
        </w:rPr>
        <w:t xml:space="preserve"> y de la tasa de malos:</w:t>
      </w:r>
      <w:r w:rsidRPr="00670830">
        <w:rPr>
          <w:rFonts w:ascii="Arial" w:hAnsi="Arial" w:cs="Arial"/>
          <w:sz w:val="24"/>
          <w:szCs w:val="24"/>
        </w:rPr>
        <w:t xml:space="preserve"> Dentro de la tabla de desempeño debe observarse que a mayor puntaje menor riesgo: de una forma </w:t>
      </w:r>
      <w:proofErr w:type="spellStart"/>
      <w:r w:rsidRPr="00670830">
        <w:rPr>
          <w:rFonts w:ascii="Arial" w:hAnsi="Arial" w:cs="Arial"/>
          <w:sz w:val="24"/>
          <w:szCs w:val="24"/>
        </w:rPr>
        <w:t>monotónica</w:t>
      </w:r>
      <w:proofErr w:type="spellEnd"/>
      <w:r w:rsidRPr="00670830">
        <w:rPr>
          <w:rFonts w:ascii="Arial" w:hAnsi="Arial" w:cs="Arial"/>
          <w:sz w:val="24"/>
          <w:szCs w:val="24"/>
        </w:rPr>
        <w:t xml:space="preserve"> decreciente para la tasa de malos y </w:t>
      </w:r>
      <w:proofErr w:type="spellStart"/>
      <w:r w:rsidRPr="00670830">
        <w:rPr>
          <w:rFonts w:ascii="Arial" w:hAnsi="Arial" w:cs="Arial"/>
          <w:sz w:val="24"/>
          <w:szCs w:val="24"/>
        </w:rPr>
        <w:t>monotónica</w:t>
      </w:r>
      <w:proofErr w:type="spellEnd"/>
      <w:r w:rsidRPr="00670830">
        <w:rPr>
          <w:rFonts w:ascii="Arial" w:hAnsi="Arial" w:cs="Arial"/>
          <w:sz w:val="24"/>
          <w:szCs w:val="24"/>
        </w:rPr>
        <w:t xml:space="preserve"> creciente para los </w:t>
      </w:r>
      <w:proofErr w:type="spellStart"/>
      <w:r w:rsidRPr="00670830">
        <w:rPr>
          <w:rFonts w:ascii="Arial" w:hAnsi="Arial" w:cs="Arial"/>
          <w:sz w:val="24"/>
          <w:szCs w:val="24"/>
        </w:rPr>
        <w:t>odds</w:t>
      </w:r>
      <w:proofErr w:type="spellEnd"/>
      <w:r w:rsidRPr="00670830">
        <w:rPr>
          <w:rFonts w:ascii="Arial" w:hAnsi="Arial" w:cs="Arial"/>
          <w:sz w:val="24"/>
          <w:szCs w:val="24"/>
        </w:rPr>
        <w:t xml:space="preserve"> (número de clientes buenos por cada cliente malo).</w:t>
      </w:r>
    </w:p>
    <w:p w:rsidR="00237E3D" w:rsidRPr="00670830" w:rsidRDefault="00237E3D" w:rsidP="00670830">
      <w:pPr>
        <w:pStyle w:val="Prrafodelista"/>
        <w:spacing w:line="360" w:lineRule="auto"/>
        <w:rPr>
          <w:rFonts w:ascii="Arial" w:hAnsi="Arial" w:cs="Arial"/>
          <w:b/>
          <w:sz w:val="24"/>
          <w:szCs w:val="24"/>
          <w:u w:val="single"/>
        </w:rPr>
      </w:pPr>
    </w:p>
    <w:p w:rsidR="00237E3D" w:rsidRPr="00670830" w:rsidRDefault="00237E3D" w:rsidP="00670830">
      <w:pPr>
        <w:pStyle w:val="Prrafodelista"/>
        <w:spacing w:line="360" w:lineRule="auto"/>
        <w:jc w:val="both"/>
        <w:rPr>
          <w:rFonts w:ascii="Arial" w:hAnsi="Arial" w:cs="Arial"/>
          <w:b/>
          <w:sz w:val="24"/>
          <w:szCs w:val="24"/>
          <w:u w:val="single"/>
        </w:rPr>
      </w:pPr>
    </w:p>
    <w:p w:rsidR="00E404FC" w:rsidRPr="00670830" w:rsidRDefault="00E404FC" w:rsidP="00670830">
      <w:pPr>
        <w:spacing w:line="360" w:lineRule="auto"/>
        <w:rPr>
          <w:rFonts w:ascii="Arial" w:hAnsi="Arial" w:cs="Arial"/>
          <w:b/>
          <w:sz w:val="24"/>
          <w:szCs w:val="24"/>
          <w:u w:val="single"/>
        </w:rPr>
      </w:pPr>
      <w:r w:rsidRPr="00670830">
        <w:rPr>
          <w:rFonts w:ascii="Arial" w:hAnsi="Arial" w:cs="Arial"/>
          <w:b/>
          <w:sz w:val="24"/>
          <w:szCs w:val="24"/>
          <w:u w:val="single"/>
        </w:rPr>
        <w:t>Validación del Modelo</w:t>
      </w:r>
    </w:p>
    <w:p w:rsidR="00E404FC" w:rsidRPr="00670830" w:rsidRDefault="00E404FC" w:rsidP="00670830">
      <w:pPr>
        <w:spacing w:line="360" w:lineRule="auto"/>
        <w:jc w:val="both"/>
        <w:rPr>
          <w:rFonts w:ascii="Arial" w:hAnsi="Arial" w:cs="Arial"/>
          <w:sz w:val="24"/>
          <w:szCs w:val="24"/>
        </w:rPr>
      </w:pPr>
      <w:r w:rsidRPr="00670830">
        <w:rPr>
          <w:rFonts w:ascii="Arial" w:hAnsi="Arial" w:cs="Arial"/>
          <w:sz w:val="24"/>
          <w:szCs w:val="24"/>
        </w:rPr>
        <w:t xml:space="preserve">La eficiencia del modelo se corrobora utilizando la muestra de validación. Con las muestras de desarrollo y validación se realiza un comparativo de las estadísticas KS, Valor de Información e Índice de </w:t>
      </w:r>
      <w:proofErr w:type="spellStart"/>
      <w:r w:rsidRPr="00670830">
        <w:rPr>
          <w:rFonts w:ascii="Arial" w:hAnsi="Arial" w:cs="Arial"/>
          <w:sz w:val="24"/>
          <w:szCs w:val="24"/>
        </w:rPr>
        <w:t>Gini</w:t>
      </w:r>
      <w:proofErr w:type="spellEnd"/>
      <w:r w:rsidRPr="00670830">
        <w:rPr>
          <w:rFonts w:ascii="Arial" w:hAnsi="Arial" w:cs="Arial"/>
          <w:sz w:val="24"/>
          <w:szCs w:val="24"/>
        </w:rPr>
        <w:t>, con el fin de validar la capacidad que tiene el modelo para separar las cuentas buenas de las malas.</w:t>
      </w:r>
    </w:p>
    <w:p w:rsidR="00E404FC" w:rsidRPr="00670830" w:rsidRDefault="00E404FC" w:rsidP="00670830">
      <w:pPr>
        <w:spacing w:line="360" w:lineRule="auto"/>
        <w:jc w:val="both"/>
        <w:rPr>
          <w:rFonts w:ascii="Arial" w:hAnsi="Arial" w:cs="Arial"/>
          <w:sz w:val="24"/>
          <w:szCs w:val="24"/>
        </w:rPr>
      </w:pPr>
      <w:r w:rsidRPr="00670830">
        <w:rPr>
          <w:rFonts w:ascii="Arial" w:hAnsi="Arial" w:cs="Arial"/>
          <w:sz w:val="24"/>
          <w:szCs w:val="24"/>
        </w:rPr>
        <w:t>Cabe recordar que al contar con una población pequeña para el modelo preliminar, es posible que se requiera un tipo de validación distinto al propuesto anteriormente (75%-25%).</w:t>
      </w:r>
    </w:p>
    <w:p w:rsidR="00237E3D" w:rsidRPr="00670830" w:rsidRDefault="00237E3D" w:rsidP="00670830">
      <w:pPr>
        <w:spacing w:line="360" w:lineRule="auto"/>
        <w:jc w:val="both"/>
        <w:rPr>
          <w:rFonts w:ascii="Arial" w:hAnsi="Arial" w:cs="Arial"/>
          <w:sz w:val="24"/>
          <w:szCs w:val="24"/>
        </w:rPr>
      </w:pPr>
    </w:p>
    <w:p w:rsidR="00237E3D" w:rsidRPr="00670830" w:rsidRDefault="00101236" w:rsidP="00670830">
      <w:pPr>
        <w:pStyle w:val="Ttulo4"/>
        <w:tabs>
          <w:tab w:val="center" w:pos="4419"/>
        </w:tabs>
        <w:spacing w:before="100" w:beforeAutospacing="1" w:after="100" w:afterAutospacing="1" w:line="360" w:lineRule="auto"/>
        <w:jc w:val="both"/>
        <w:rPr>
          <w:rFonts w:ascii="Arial" w:eastAsia="Arial Unicode MS" w:hAnsi="Arial" w:cs="Arial"/>
          <w:i w:val="0"/>
          <w:color w:val="auto"/>
          <w:sz w:val="24"/>
          <w:szCs w:val="24"/>
          <w:lang w:val="en-US"/>
        </w:rPr>
      </w:pPr>
      <w:r w:rsidRPr="00670830">
        <w:rPr>
          <w:rFonts w:ascii="Arial" w:eastAsia="Arial Unicode MS" w:hAnsi="Arial" w:cs="Arial"/>
          <w:i w:val="0"/>
          <w:color w:val="auto"/>
          <w:sz w:val="24"/>
          <w:szCs w:val="24"/>
          <w:lang w:val="en-US"/>
        </w:rPr>
        <w:t xml:space="preserve">3.3.1.3. </w:t>
      </w:r>
      <w:proofErr w:type="spellStart"/>
      <w:r w:rsidRPr="00670830">
        <w:rPr>
          <w:rFonts w:ascii="Arial" w:eastAsia="Arial Unicode MS" w:hAnsi="Arial" w:cs="Arial"/>
          <w:i w:val="0"/>
          <w:color w:val="auto"/>
          <w:sz w:val="24"/>
          <w:szCs w:val="24"/>
          <w:lang w:val="en-US"/>
        </w:rPr>
        <w:t>Riesgo</w:t>
      </w:r>
      <w:proofErr w:type="spellEnd"/>
      <w:r w:rsidRPr="00670830">
        <w:rPr>
          <w:rFonts w:ascii="Arial" w:eastAsia="Arial Unicode MS" w:hAnsi="Arial" w:cs="Arial"/>
          <w:i w:val="0"/>
          <w:color w:val="auto"/>
          <w:sz w:val="24"/>
          <w:szCs w:val="24"/>
          <w:lang w:val="en-US"/>
        </w:rPr>
        <w:t xml:space="preserve"> de </w:t>
      </w:r>
      <w:proofErr w:type="spellStart"/>
      <w:r w:rsidRPr="00670830">
        <w:rPr>
          <w:rFonts w:ascii="Arial" w:eastAsia="Arial Unicode MS" w:hAnsi="Arial" w:cs="Arial"/>
          <w:i w:val="0"/>
          <w:color w:val="auto"/>
          <w:sz w:val="24"/>
          <w:szCs w:val="24"/>
          <w:lang w:val="en-US"/>
        </w:rPr>
        <w:t>liquidez</w:t>
      </w:r>
      <w:proofErr w:type="spellEnd"/>
    </w:p>
    <w:p w:rsidR="006B33CA" w:rsidRPr="00670830" w:rsidRDefault="007F3B74" w:rsidP="00670830">
      <w:pPr>
        <w:spacing w:before="100" w:beforeAutospacing="1" w:after="100" w:afterAutospacing="1" w:line="360" w:lineRule="auto"/>
        <w:ind w:left="708"/>
        <w:rPr>
          <w:rFonts w:ascii="Arial" w:eastAsia="Arial Unicode MS" w:hAnsi="Arial" w:cs="Arial"/>
          <w:i/>
          <w:sz w:val="24"/>
          <w:szCs w:val="24"/>
          <w:lang w:val="en-US"/>
        </w:rPr>
      </w:pPr>
      <w:r w:rsidRPr="00670830">
        <w:rPr>
          <w:rFonts w:ascii="Arial" w:eastAsia="Arial Unicode MS" w:hAnsi="Arial" w:cs="Arial"/>
          <w:i/>
          <w:sz w:val="24"/>
          <w:szCs w:val="24"/>
          <w:lang w:val="en-US"/>
        </w:rPr>
        <w:t xml:space="preserve">ALM should recognize we manage risk to make money! We are NOT risk minimizers. </w:t>
      </w:r>
    </w:p>
    <w:p w:rsidR="00237E3D" w:rsidRPr="00670830" w:rsidRDefault="007F3B74" w:rsidP="00670830">
      <w:pPr>
        <w:pStyle w:val="Prrafodelista"/>
        <w:numPr>
          <w:ilvl w:val="3"/>
          <w:numId w:val="14"/>
        </w:numPr>
        <w:spacing w:before="100" w:beforeAutospacing="1" w:after="100" w:afterAutospacing="1" w:line="360" w:lineRule="auto"/>
        <w:rPr>
          <w:rFonts w:ascii="Arial" w:eastAsia="Arial Unicode MS" w:hAnsi="Arial" w:cs="Arial"/>
          <w:i/>
          <w:sz w:val="24"/>
          <w:szCs w:val="24"/>
          <w:lang w:val="en-US"/>
        </w:rPr>
      </w:pPr>
      <w:r w:rsidRPr="00670830">
        <w:rPr>
          <w:rFonts w:ascii="Arial" w:eastAsia="Arial Unicode MS" w:hAnsi="Arial" w:cs="Arial"/>
          <w:i/>
          <w:sz w:val="24"/>
          <w:szCs w:val="24"/>
          <w:lang w:val="en-US"/>
        </w:rPr>
        <w:t xml:space="preserve">David Koch, </w:t>
      </w:r>
      <w:proofErr w:type="spellStart"/>
      <w:r w:rsidRPr="00670830">
        <w:rPr>
          <w:rFonts w:ascii="Arial" w:eastAsia="Arial Unicode MS" w:hAnsi="Arial" w:cs="Arial"/>
          <w:i/>
          <w:sz w:val="24"/>
          <w:szCs w:val="24"/>
          <w:lang w:val="en-US"/>
        </w:rPr>
        <w:t>Farin</w:t>
      </w:r>
      <w:proofErr w:type="spellEnd"/>
      <w:r w:rsidRPr="00670830">
        <w:rPr>
          <w:rFonts w:ascii="Arial" w:eastAsia="Arial Unicode MS" w:hAnsi="Arial" w:cs="Arial"/>
          <w:i/>
          <w:sz w:val="24"/>
          <w:szCs w:val="24"/>
          <w:lang w:val="en-US"/>
        </w:rPr>
        <w:t xml:space="preserve"> and Associates</w:t>
      </w:r>
    </w:p>
    <w:p w:rsidR="00237E3D" w:rsidRPr="00670830" w:rsidRDefault="00237E3D" w:rsidP="00670830">
      <w:pPr>
        <w:spacing w:before="100" w:beforeAutospacing="1" w:after="100" w:afterAutospacing="1" w:line="360" w:lineRule="auto"/>
        <w:jc w:val="both"/>
        <w:rPr>
          <w:rFonts w:ascii="Arial" w:eastAsia="Arial Unicode MS" w:hAnsi="Arial" w:cs="Arial"/>
          <w:sz w:val="24"/>
          <w:szCs w:val="24"/>
        </w:rPr>
      </w:pPr>
    </w:p>
    <w:p w:rsidR="00C14280" w:rsidRPr="00670830" w:rsidRDefault="0010123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Se refiere a las pérdidas que puede sufrir una institución al requerir una mayor cantidad de recursos para financiar sus activos a un costo posiblemente inaceptable. </w:t>
      </w:r>
    </w:p>
    <w:p w:rsidR="008A32BB" w:rsidRPr="00670830" w:rsidRDefault="0010123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bancos son muy sensibles a las variaciones en la tasa de interés; y el manejo de los activos y pasivos (</w:t>
      </w:r>
      <w:proofErr w:type="spellStart"/>
      <w:r w:rsidRPr="00670830">
        <w:rPr>
          <w:rFonts w:ascii="Arial" w:eastAsia="Arial Unicode MS" w:hAnsi="Arial" w:cs="Arial"/>
          <w:sz w:val="24"/>
          <w:szCs w:val="24"/>
        </w:rPr>
        <w:t>Asset-Liability</w:t>
      </w:r>
      <w:proofErr w:type="spellEnd"/>
      <w:r w:rsidRPr="00670830">
        <w:rPr>
          <w:rFonts w:ascii="Arial" w:eastAsia="Arial Unicode MS" w:hAnsi="Arial" w:cs="Arial"/>
          <w:sz w:val="24"/>
          <w:szCs w:val="24"/>
        </w:rPr>
        <w:t xml:space="preserve"> Management) se convierte en una de las ramas de la administración de riesgos que cubre este aspecto. El riesgo de liquidez se refiere también a la imposibilidad de transformar en </w:t>
      </w:r>
      <w:r w:rsidR="0049623C" w:rsidRPr="00670830">
        <w:rPr>
          <w:rFonts w:ascii="Arial" w:eastAsia="Arial Unicode MS" w:hAnsi="Arial" w:cs="Arial"/>
          <w:sz w:val="24"/>
          <w:szCs w:val="24"/>
        </w:rPr>
        <w:t>efectivo un activo o cartera de inversión</w:t>
      </w:r>
      <w:r w:rsidRPr="00670830">
        <w:rPr>
          <w:rFonts w:ascii="Arial" w:eastAsia="Arial Unicode MS" w:hAnsi="Arial" w:cs="Arial"/>
          <w:sz w:val="24"/>
          <w:szCs w:val="24"/>
        </w:rPr>
        <w:t xml:space="preserve"> (imposibilidad de vender un activo en el mercado). Este riesgo se presenta en situaciones de crisis</w:t>
      </w:r>
      <w:r w:rsidR="00C27662" w:rsidRPr="00670830">
        <w:rPr>
          <w:rFonts w:ascii="Arial" w:eastAsia="Arial Unicode MS" w:hAnsi="Arial" w:cs="Arial"/>
          <w:sz w:val="24"/>
          <w:szCs w:val="24"/>
        </w:rPr>
        <w:t>, cuando en los mercados hay únicamente vendedores. [De Lara, 2002]</w:t>
      </w:r>
    </w:p>
    <w:p w:rsidR="00666B34" w:rsidRPr="00670830" w:rsidRDefault="00C14280"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El término manejo o gestión de los activos o pasivos (ALM) se refiere </w:t>
      </w:r>
      <w:r w:rsidR="007F3B74" w:rsidRPr="00670830">
        <w:rPr>
          <w:rFonts w:ascii="Arial" w:eastAsia="Arial Unicode MS" w:hAnsi="Arial" w:cs="Arial"/>
          <w:sz w:val="24"/>
          <w:szCs w:val="24"/>
        </w:rPr>
        <w:t>al</w:t>
      </w:r>
      <w:r w:rsidRPr="00670830">
        <w:rPr>
          <w:rFonts w:ascii="Arial" w:eastAsia="Arial Unicode MS" w:hAnsi="Arial" w:cs="Arial"/>
          <w:sz w:val="24"/>
          <w:szCs w:val="24"/>
        </w:rPr>
        <w:t xml:space="preserve"> proceso de adquirir y colocar recursos para maximizar en ingreso por interés neto </w:t>
      </w:r>
      <w:r w:rsidR="007F3B74" w:rsidRPr="00670830">
        <w:rPr>
          <w:rFonts w:ascii="Arial" w:eastAsia="Arial Unicode MS" w:hAnsi="Arial" w:cs="Arial"/>
          <w:sz w:val="24"/>
          <w:szCs w:val="24"/>
        </w:rPr>
        <w:t>y como consecuencia rentabilidad y el valor de un banco o institución financiera, cuidando siempre, los riesgos financieros y contracciones en los mercados.</w:t>
      </w:r>
    </w:p>
    <w:p w:rsidR="007F3B74" w:rsidRPr="00670830" w:rsidRDefault="007F3B7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Las principales áreas de responsabilidad del proceso de ALM:</w:t>
      </w:r>
    </w:p>
    <w:p w:rsidR="007F3B74" w:rsidRPr="00670830" w:rsidRDefault="007F3B74" w:rsidP="00670830">
      <w:pPr>
        <w:pStyle w:val="Prrafodelista"/>
        <w:numPr>
          <w:ilvl w:val="3"/>
          <w:numId w:val="14"/>
        </w:numPr>
        <w:spacing w:before="100" w:beforeAutospacing="1" w:after="100" w:afterAutospacing="1" w:line="360" w:lineRule="auto"/>
        <w:ind w:left="1134" w:hanging="567"/>
        <w:jc w:val="both"/>
        <w:rPr>
          <w:rFonts w:ascii="Arial" w:eastAsia="Arial Unicode MS" w:hAnsi="Arial" w:cs="Arial"/>
          <w:sz w:val="24"/>
          <w:szCs w:val="24"/>
        </w:rPr>
      </w:pPr>
      <w:r w:rsidRPr="00670830">
        <w:rPr>
          <w:rFonts w:ascii="Arial" w:eastAsia="Arial Unicode MS" w:hAnsi="Arial" w:cs="Arial"/>
          <w:sz w:val="24"/>
          <w:szCs w:val="24"/>
        </w:rPr>
        <w:t>Ingreso por intereses neto</w:t>
      </w:r>
    </w:p>
    <w:p w:rsidR="007F3B74" w:rsidRPr="00670830" w:rsidRDefault="007F3B74" w:rsidP="00670830">
      <w:pPr>
        <w:pStyle w:val="Prrafodelista"/>
        <w:spacing w:before="100" w:beforeAutospacing="1" w:after="100" w:afterAutospacing="1" w:line="360" w:lineRule="auto"/>
        <w:ind w:left="1134"/>
        <w:jc w:val="both"/>
        <w:rPr>
          <w:rFonts w:ascii="Arial" w:eastAsia="Arial Unicode MS" w:hAnsi="Arial" w:cs="Arial"/>
          <w:sz w:val="24"/>
          <w:szCs w:val="24"/>
        </w:rPr>
      </w:pPr>
    </w:p>
    <w:p w:rsidR="007F3B74" w:rsidRPr="00670830" w:rsidRDefault="007F3B74" w:rsidP="00670830">
      <w:pPr>
        <w:pStyle w:val="Prrafodelista"/>
        <w:numPr>
          <w:ilvl w:val="3"/>
          <w:numId w:val="14"/>
        </w:numPr>
        <w:spacing w:before="100" w:beforeAutospacing="1" w:after="100" w:afterAutospacing="1" w:line="360" w:lineRule="auto"/>
        <w:ind w:left="1134" w:hanging="567"/>
        <w:jc w:val="both"/>
        <w:rPr>
          <w:rFonts w:ascii="Arial" w:eastAsia="Arial Unicode MS" w:hAnsi="Arial" w:cs="Arial"/>
          <w:sz w:val="24"/>
          <w:szCs w:val="24"/>
        </w:rPr>
      </w:pPr>
      <w:r w:rsidRPr="00670830">
        <w:rPr>
          <w:rFonts w:ascii="Arial" w:eastAsia="Arial Unicode MS" w:hAnsi="Arial" w:cs="Arial"/>
          <w:sz w:val="24"/>
          <w:szCs w:val="24"/>
        </w:rPr>
        <w:t>La estructura del balance general:</w:t>
      </w:r>
    </w:p>
    <w:p w:rsidR="007F3B74" w:rsidRPr="00670830" w:rsidRDefault="007F3B74" w:rsidP="00670830">
      <w:pPr>
        <w:pStyle w:val="Prrafodelista"/>
        <w:spacing w:before="100" w:beforeAutospacing="1" w:after="100" w:afterAutospacing="1" w:line="360" w:lineRule="auto"/>
        <w:ind w:left="1134"/>
        <w:jc w:val="both"/>
        <w:rPr>
          <w:rFonts w:ascii="Arial" w:eastAsia="Arial Unicode MS" w:hAnsi="Arial" w:cs="Arial"/>
          <w:sz w:val="24"/>
          <w:szCs w:val="24"/>
        </w:rPr>
      </w:pPr>
    </w:p>
    <w:p w:rsidR="007F3B74" w:rsidRPr="00670830" w:rsidRDefault="007F3B74" w:rsidP="00670830">
      <w:pPr>
        <w:pStyle w:val="Prrafodelista"/>
        <w:numPr>
          <w:ilvl w:val="4"/>
          <w:numId w:val="14"/>
        </w:numPr>
        <w:spacing w:before="100" w:beforeAutospacing="1" w:after="100" w:afterAutospacing="1" w:line="360" w:lineRule="auto"/>
        <w:ind w:left="1701" w:hanging="284"/>
        <w:jc w:val="both"/>
        <w:rPr>
          <w:rFonts w:ascii="Arial" w:eastAsia="Arial Unicode MS" w:hAnsi="Arial" w:cs="Arial"/>
          <w:sz w:val="24"/>
          <w:szCs w:val="24"/>
        </w:rPr>
      </w:pPr>
      <w:r w:rsidRPr="00670830">
        <w:rPr>
          <w:rFonts w:ascii="Arial" w:eastAsia="Arial Unicode MS" w:hAnsi="Arial" w:cs="Arial"/>
          <w:sz w:val="24"/>
          <w:szCs w:val="24"/>
        </w:rPr>
        <w:t>mezcla de activos y pasivos,</w:t>
      </w:r>
    </w:p>
    <w:p w:rsidR="007F3B74" w:rsidRPr="00670830" w:rsidRDefault="007F3B74" w:rsidP="00670830">
      <w:pPr>
        <w:pStyle w:val="Prrafodelista"/>
        <w:numPr>
          <w:ilvl w:val="4"/>
          <w:numId w:val="14"/>
        </w:numPr>
        <w:spacing w:before="100" w:beforeAutospacing="1" w:after="100" w:afterAutospacing="1" w:line="360" w:lineRule="auto"/>
        <w:ind w:left="1701" w:hanging="284"/>
        <w:jc w:val="both"/>
        <w:rPr>
          <w:rFonts w:ascii="Arial" w:eastAsia="Arial Unicode MS" w:hAnsi="Arial" w:cs="Arial"/>
          <w:sz w:val="24"/>
          <w:szCs w:val="24"/>
        </w:rPr>
      </w:pPr>
      <w:r w:rsidRPr="00670830">
        <w:rPr>
          <w:rFonts w:ascii="Arial" w:eastAsia="Arial Unicode MS" w:hAnsi="Arial" w:cs="Arial"/>
          <w:sz w:val="24"/>
          <w:szCs w:val="24"/>
        </w:rPr>
        <w:t>la tarificación de los depósitos y los créditos,</w:t>
      </w:r>
    </w:p>
    <w:p w:rsidR="007F3B74" w:rsidRPr="00670830" w:rsidRDefault="0049623C" w:rsidP="00670830">
      <w:pPr>
        <w:pStyle w:val="Prrafodelista"/>
        <w:numPr>
          <w:ilvl w:val="4"/>
          <w:numId w:val="14"/>
        </w:numPr>
        <w:spacing w:before="100" w:beforeAutospacing="1" w:after="100" w:afterAutospacing="1" w:line="360" w:lineRule="auto"/>
        <w:ind w:left="1701" w:hanging="284"/>
        <w:jc w:val="both"/>
        <w:rPr>
          <w:rFonts w:ascii="Arial" w:eastAsia="Arial Unicode MS" w:hAnsi="Arial" w:cs="Arial"/>
          <w:sz w:val="24"/>
          <w:szCs w:val="24"/>
        </w:rPr>
      </w:pPr>
      <w:r w:rsidRPr="00670830">
        <w:rPr>
          <w:rFonts w:ascii="Arial" w:eastAsia="Arial Unicode MS" w:hAnsi="Arial" w:cs="Arial"/>
          <w:sz w:val="24"/>
          <w:szCs w:val="24"/>
        </w:rPr>
        <w:t>manejo de la</w:t>
      </w:r>
      <w:r w:rsidR="007F3B74" w:rsidRPr="00670830">
        <w:rPr>
          <w:rFonts w:ascii="Arial" w:eastAsia="Arial Unicode MS" w:hAnsi="Arial" w:cs="Arial"/>
          <w:sz w:val="24"/>
          <w:szCs w:val="24"/>
        </w:rPr>
        <w:t>s</w:t>
      </w:r>
      <w:r w:rsidRPr="00670830">
        <w:rPr>
          <w:rFonts w:ascii="Arial" w:eastAsia="Arial Unicode MS" w:hAnsi="Arial" w:cs="Arial"/>
          <w:sz w:val="24"/>
          <w:szCs w:val="24"/>
        </w:rPr>
        <w:t xml:space="preserve"> carteras</w:t>
      </w:r>
      <w:r w:rsidR="007F3B74" w:rsidRPr="00670830">
        <w:rPr>
          <w:rFonts w:ascii="Arial" w:eastAsia="Arial Unicode MS" w:hAnsi="Arial" w:cs="Arial"/>
          <w:sz w:val="24"/>
          <w:szCs w:val="24"/>
        </w:rPr>
        <w:t xml:space="preserve"> de inversión,</w:t>
      </w:r>
    </w:p>
    <w:p w:rsidR="007F3B74" w:rsidRPr="00670830" w:rsidRDefault="007F3B74" w:rsidP="00670830">
      <w:pPr>
        <w:pStyle w:val="Prrafodelista"/>
        <w:numPr>
          <w:ilvl w:val="4"/>
          <w:numId w:val="14"/>
        </w:numPr>
        <w:spacing w:before="100" w:beforeAutospacing="1" w:after="100" w:afterAutospacing="1" w:line="360" w:lineRule="auto"/>
        <w:ind w:left="1701" w:hanging="284"/>
        <w:jc w:val="both"/>
        <w:rPr>
          <w:rFonts w:ascii="Arial" w:eastAsia="Arial Unicode MS" w:hAnsi="Arial" w:cs="Arial"/>
          <w:sz w:val="24"/>
          <w:szCs w:val="24"/>
        </w:rPr>
      </w:pPr>
      <w:r w:rsidRPr="00670830">
        <w:rPr>
          <w:rFonts w:ascii="Arial" w:eastAsia="Arial Unicode MS" w:hAnsi="Arial" w:cs="Arial"/>
          <w:sz w:val="24"/>
          <w:szCs w:val="24"/>
        </w:rPr>
        <w:t>utilización del capital</w:t>
      </w:r>
    </w:p>
    <w:p w:rsidR="007F3B74" w:rsidRPr="00670830" w:rsidRDefault="007F3B74" w:rsidP="00670830">
      <w:pPr>
        <w:pStyle w:val="Prrafodelista"/>
        <w:spacing w:before="100" w:beforeAutospacing="1" w:after="100" w:afterAutospacing="1" w:line="360" w:lineRule="auto"/>
        <w:ind w:left="1701"/>
        <w:jc w:val="both"/>
        <w:rPr>
          <w:rFonts w:ascii="Arial" w:eastAsia="Arial Unicode MS" w:hAnsi="Arial" w:cs="Arial"/>
          <w:sz w:val="24"/>
          <w:szCs w:val="24"/>
        </w:rPr>
      </w:pPr>
    </w:p>
    <w:p w:rsidR="007F3B74" w:rsidRPr="00670830" w:rsidRDefault="007F3B74" w:rsidP="00670830">
      <w:pPr>
        <w:pStyle w:val="Prrafodelista"/>
        <w:numPr>
          <w:ilvl w:val="0"/>
          <w:numId w:val="49"/>
        </w:numPr>
        <w:spacing w:before="100" w:beforeAutospacing="1" w:after="100" w:afterAutospacing="1" w:line="360" w:lineRule="auto"/>
        <w:ind w:left="1134" w:hanging="567"/>
        <w:jc w:val="both"/>
        <w:rPr>
          <w:rFonts w:ascii="Arial" w:eastAsia="Arial Unicode MS" w:hAnsi="Arial" w:cs="Arial"/>
          <w:sz w:val="24"/>
          <w:szCs w:val="24"/>
        </w:rPr>
      </w:pPr>
      <w:r w:rsidRPr="00670830">
        <w:rPr>
          <w:rFonts w:ascii="Arial" w:eastAsia="Arial Unicode MS" w:hAnsi="Arial" w:cs="Arial"/>
          <w:sz w:val="24"/>
          <w:szCs w:val="24"/>
        </w:rPr>
        <w:t>Medición y gestión del riesgo:</w:t>
      </w:r>
    </w:p>
    <w:p w:rsidR="007F3B74" w:rsidRPr="00670830" w:rsidRDefault="007F3B74" w:rsidP="00670830">
      <w:pPr>
        <w:pStyle w:val="Prrafodelista"/>
        <w:spacing w:before="100" w:beforeAutospacing="1" w:after="100" w:afterAutospacing="1" w:line="360" w:lineRule="auto"/>
        <w:ind w:left="1134"/>
        <w:jc w:val="both"/>
        <w:rPr>
          <w:rFonts w:ascii="Arial" w:eastAsia="Arial Unicode MS" w:hAnsi="Arial" w:cs="Arial"/>
          <w:sz w:val="24"/>
          <w:szCs w:val="24"/>
        </w:rPr>
      </w:pPr>
    </w:p>
    <w:p w:rsidR="007F3B74" w:rsidRPr="00670830" w:rsidRDefault="007F3B74" w:rsidP="00670830">
      <w:pPr>
        <w:pStyle w:val="Prrafodelista"/>
        <w:numPr>
          <w:ilvl w:val="1"/>
          <w:numId w:val="49"/>
        </w:numPr>
        <w:spacing w:before="100" w:beforeAutospacing="1" w:after="100" w:afterAutospacing="1" w:line="360" w:lineRule="auto"/>
        <w:ind w:left="1701" w:hanging="283"/>
        <w:jc w:val="both"/>
        <w:rPr>
          <w:rFonts w:ascii="Arial" w:eastAsia="Arial Unicode MS" w:hAnsi="Arial" w:cs="Arial"/>
          <w:sz w:val="24"/>
          <w:szCs w:val="24"/>
        </w:rPr>
      </w:pPr>
      <w:r w:rsidRPr="00670830">
        <w:rPr>
          <w:rFonts w:ascii="Arial" w:eastAsia="Arial Unicode MS" w:hAnsi="Arial" w:cs="Arial"/>
          <w:sz w:val="24"/>
          <w:szCs w:val="24"/>
        </w:rPr>
        <w:t>Riesgo de tasa de interés</w:t>
      </w:r>
    </w:p>
    <w:p w:rsidR="007F3B74" w:rsidRPr="00670830" w:rsidRDefault="007F3B74" w:rsidP="00670830">
      <w:pPr>
        <w:pStyle w:val="Prrafodelista"/>
        <w:numPr>
          <w:ilvl w:val="1"/>
          <w:numId w:val="49"/>
        </w:numPr>
        <w:spacing w:before="100" w:beforeAutospacing="1" w:after="100" w:afterAutospacing="1" w:line="360" w:lineRule="auto"/>
        <w:ind w:left="1701" w:hanging="283"/>
        <w:jc w:val="both"/>
        <w:rPr>
          <w:rFonts w:ascii="Arial" w:eastAsia="Arial Unicode MS" w:hAnsi="Arial" w:cs="Arial"/>
          <w:sz w:val="24"/>
          <w:szCs w:val="24"/>
        </w:rPr>
      </w:pPr>
      <w:r w:rsidRPr="00670830">
        <w:rPr>
          <w:rFonts w:ascii="Arial" w:eastAsia="Arial Unicode MS" w:hAnsi="Arial" w:cs="Arial"/>
          <w:sz w:val="24"/>
          <w:szCs w:val="24"/>
        </w:rPr>
        <w:t>Riesgo de Liquidez</w:t>
      </w:r>
    </w:p>
    <w:p w:rsidR="007F3B74" w:rsidRPr="00670830" w:rsidRDefault="007F3B74" w:rsidP="00670830">
      <w:pPr>
        <w:pStyle w:val="Prrafodelista"/>
        <w:numPr>
          <w:ilvl w:val="1"/>
          <w:numId w:val="49"/>
        </w:numPr>
        <w:spacing w:before="100" w:beforeAutospacing="1" w:after="100" w:afterAutospacing="1" w:line="360" w:lineRule="auto"/>
        <w:ind w:left="1701" w:hanging="283"/>
        <w:jc w:val="both"/>
        <w:rPr>
          <w:rFonts w:ascii="Arial" w:eastAsia="Arial Unicode MS" w:hAnsi="Arial" w:cs="Arial"/>
          <w:sz w:val="24"/>
          <w:szCs w:val="24"/>
        </w:rPr>
      </w:pPr>
      <w:r w:rsidRPr="00670830">
        <w:rPr>
          <w:rFonts w:ascii="Arial" w:eastAsia="Arial Unicode MS" w:hAnsi="Arial" w:cs="Arial"/>
          <w:sz w:val="24"/>
          <w:szCs w:val="24"/>
        </w:rPr>
        <w:t>Capital</w:t>
      </w:r>
    </w:p>
    <w:p w:rsidR="00387B6A" w:rsidRPr="00670830" w:rsidRDefault="00387B6A" w:rsidP="00670830">
      <w:pPr>
        <w:pStyle w:val="Ttulo4"/>
        <w:tabs>
          <w:tab w:val="center" w:pos="4419"/>
        </w:tabs>
        <w:spacing w:before="100" w:beforeAutospacing="1" w:after="100" w:afterAutospacing="1" w:line="360" w:lineRule="auto"/>
        <w:jc w:val="both"/>
        <w:rPr>
          <w:rFonts w:ascii="Arial" w:eastAsia="Arial Unicode MS" w:hAnsi="Arial" w:cs="Arial"/>
          <w:i w:val="0"/>
          <w:color w:val="auto"/>
          <w:sz w:val="24"/>
          <w:szCs w:val="24"/>
        </w:rPr>
      </w:pPr>
    </w:p>
    <w:p w:rsidR="008A32BB" w:rsidRPr="00670830" w:rsidRDefault="008A32BB" w:rsidP="00670830">
      <w:pPr>
        <w:pStyle w:val="Ttulo4"/>
        <w:tabs>
          <w:tab w:val="center" w:pos="4419"/>
        </w:tabs>
        <w:spacing w:before="100" w:beforeAutospacing="1" w:after="100" w:afterAutospacing="1" w:line="360" w:lineRule="auto"/>
        <w:jc w:val="both"/>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3.3.1.4. Riesgo operativo</w:t>
      </w:r>
    </w:p>
    <w:p w:rsidR="00895562" w:rsidRPr="00670830" w:rsidRDefault="00895562" w:rsidP="00670830">
      <w:pPr>
        <w:spacing w:before="100" w:beforeAutospacing="1" w:after="100" w:afterAutospacing="1" w:line="360" w:lineRule="auto"/>
        <w:ind w:left="708"/>
        <w:rPr>
          <w:rFonts w:ascii="Arial" w:eastAsia="Arial Unicode MS" w:hAnsi="Arial" w:cs="Arial"/>
          <w:i/>
          <w:sz w:val="24"/>
          <w:szCs w:val="24"/>
          <w:lang w:val="en-US"/>
        </w:rPr>
      </w:pPr>
      <w:r w:rsidRPr="00670830">
        <w:rPr>
          <w:rFonts w:ascii="Arial" w:eastAsia="Arial Unicode MS" w:hAnsi="Arial" w:cs="Arial"/>
          <w:i/>
          <w:sz w:val="24"/>
          <w:szCs w:val="24"/>
          <w:lang w:val="en-US"/>
        </w:rPr>
        <w:t xml:space="preserve">Managing risk is not just about identifying, assessing, and monitoring all the things that could go wrong. It also </w:t>
      </w:r>
      <w:proofErr w:type="gramStart"/>
      <w:r w:rsidRPr="00670830">
        <w:rPr>
          <w:rFonts w:ascii="Arial" w:eastAsia="Arial Unicode MS" w:hAnsi="Arial" w:cs="Arial"/>
          <w:i/>
          <w:sz w:val="24"/>
          <w:szCs w:val="24"/>
          <w:lang w:val="en-US"/>
        </w:rPr>
        <w:t>is about understanding</w:t>
      </w:r>
      <w:proofErr w:type="gramEnd"/>
      <w:r w:rsidRPr="00670830">
        <w:rPr>
          <w:rFonts w:ascii="Arial" w:eastAsia="Arial Unicode MS" w:hAnsi="Arial" w:cs="Arial"/>
          <w:i/>
          <w:sz w:val="24"/>
          <w:szCs w:val="24"/>
          <w:lang w:val="en-US"/>
        </w:rPr>
        <w:t xml:space="preserve"> all the things that need to go right for a bank to achieve its mission and objective of safely and profitably serving its customers and community.</w:t>
      </w:r>
    </w:p>
    <w:p w:rsidR="00895562" w:rsidRPr="00670830" w:rsidRDefault="00895562" w:rsidP="00670830">
      <w:pPr>
        <w:pStyle w:val="Prrafodelista"/>
        <w:numPr>
          <w:ilvl w:val="3"/>
          <w:numId w:val="50"/>
        </w:numPr>
        <w:spacing w:before="100" w:beforeAutospacing="1" w:after="100" w:afterAutospacing="1" w:line="360" w:lineRule="auto"/>
        <w:ind w:left="2410" w:hanging="283"/>
        <w:rPr>
          <w:rFonts w:ascii="Arial" w:eastAsia="Arial Unicode MS" w:hAnsi="Arial" w:cs="Arial"/>
          <w:i/>
          <w:sz w:val="24"/>
          <w:szCs w:val="24"/>
          <w:lang w:val="en-US"/>
        </w:rPr>
      </w:pPr>
      <w:r w:rsidRPr="00670830">
        <w:rPr>
          <w:rFonts w:ascii="Arial" w:eastAsia="Arial Unicode MS" w:hAnsi="Arial" w:cs="Arial"/>
          <w:i/>
          <w:sz w:val="24"/>
          <w:szCs w:val="24"/>
          <w:lang w:val="en-US"/>
        </w:rPr>
        <w:t xml:space="preserve">Carolyn G. </w:t>
      </w:r>
      <w:proofErr w:type="spellStart"/>
      <w:r w:rsidRPr="00670830">
        <w:rPr>
          <w:rFonts w:ascii="Arial" w:eastAsia="Arial Unicode MS" w:hAnsi="Arial" w:cs="Arial"/>
          <w:i/>
          <w:sz w:val="24"/>
          <w:szCs w:val="24"/>
          <w:lang w:val="en-US"/>
        </w:rPr>
        <w:t>DuChene</w:t>
      </w:r>
      <w:proofErr w:type="spellEnd"/>
      <w:r w:rsidRPr="00670830">
        <w:rPr>
          <w:rFonts w:ascii="Arial" w:eastAsia="Arial Unicode MS" w:hAnsi="Arial" w:cs="Arial"/>
          <w:i/>
          <w:sz w:val="24"/>
          <w:szCs w:val="24"/>
          <w:lang w:val="en-US"/>
        </w:rPr>
        <w:t>, Deputy Comptroller Operational Risk</w:t>
      </w:r>
    </w:p>
    <w:p w:rsidR="00895562" w:rsidRPr="00670830" w:rsidRDefault="00895562" w:rsidP="00670830">
      <w:pPr>
        <w:pStyle w:val="Prrafodelista"/>
        <w:spacing w:before="100" w:beforeAutospacing="1" w:after="100" w:afterAutospacing="1" w:line="360" w:lineRule="auto"/>
        <w:ind w:left="2410"/>
        <w:rPr>
          <w:rFonts w:ascii="Arial" w:eastAsia="Arial Unicode MS" w:hAnsi="Arial" w:cs="Arial"/>
          <w:i/>
          <w:sz w:val="24"/>
          <w:szCs w:val="24"/>
          <w:lang w:val="en-US"/>
        </w:rPr>
      </w:pPr>
    </w:p>
    <w:p w:rsidR="007F3B74" w:rsidRPr="00670830" w:rsidRDefault="008A32BB"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Es un concepto muy amplio y </w:t>
      </w:r>
      <w:r w:rsidR="00895562" w:rsidRPr="00670830">
        <w:rPr>
          <w:rFonts w:ascii="Arial" w:eastAsia="Arial Unicode MS" w:hAnsi="Arial" w:cs="Arial"/>
          <w:sz w:val="24"/>
          <w:szCs w:val="24"/>
        </w:rPr>
        <w:t xml:space="preserve">se asocia con fallas </w:t>
      </w:r>
      <w:r w:rsidRPr="00670830">
        <w:rPr>
          <w:rFonts w:ascii="Arial" w:eastAsia="Arial Unicode MS" w:hAnsi="Arial" w:cs="Arial"/>
          <w:sz w:val="24"/>
          <w:szCs w:val="24"/>
        </w:rPr>
        <w:t xml:space="preserve">en los sistemas, procedimientos, en los modelos o en las personas que manejan dichos sistemas. </w:t>
      </w:r>
    </w:p>
    <w:p w:rsidR="008A32BB" w:rsidRPr="00670830" w:rsidRDefault="008A32BB"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También se relaciona con pérdidas por fraudes o por falta de capacitación de algún empleado en la organización. Asimismo, este tipo de riesgo se atribuye a las pérdidas en que puede incurrir una empresa o institución por la eventual renuncia de algún empleado o funcionario, quien durante el periodo en que laboró en dicha empresa concentró todo el conocimiento especializado en algún proceso clave. </w:t>
      </w:r>
    </w:p>
    <w:p w:rsidR="004460EC" w:rsidRPr="00670830" w:rsidRDefault="008A32BB" w:rsidP="00670830">
      <w:pPr>
        <w:spacing w:before="100" w:beforeAutospacing="1" w:after="100" w:afterAutospacing="1" w:line="360" w:lineRule="auto"/>
        <w:jc w:val="both"/>
        <w:rPr>
          <w:rFonts w:ascii="Arial" w:eastAsia="Arial Unicode MS" w:hAnsi="Arial" w:cs="Arial"/>
          <w:sz w:val="24"/>
          <w:szCs w:val="24"/>
          <w:lang w:val="en-US"/>
        </w:rPr>
      </w:pPr>
      <w:r w:rsidRPr="00670830">
        <w:rPr>
          <w:rFonts w:ascii="Arial" w:eastAsia="Arial Unicode MS" w:hAnsi="Arial" w:cs="Arial"/>
          <w:sz w:val="24"/>
          <w:szCs w:val="24"/>
        </w:rPr>
        <w:t xml:space="preserve">Este tipo de riesgo incluye el riesgo legal, el cual se refiere a la pérdida que se sufre en caso de que exista incumplimiento de una contraparte y no se pueda exigir, por la vía jurídica, cumplir con sus compromisos de pago. Se refiere a operaciones que tengan algún error de interpretación jurídica o alguna omisión en la documentación. </w:t>
      </w:r>
      <w:r w:rsidR="00666B34" w:rsidRPr="00670830">
        <w:rPr>
          <w:rFonts w:ascii="Arial" w:eastAsia="Arial Unicode MS" w:hAnsi="Arial" w:cs="Arial"/>
          <w:sz w:val="24"/>
          <w:szCs w:val="24"/>
          <w:lang w:val="en-US"/>
        </w:rPr>
        <w:t>[De Lara, 2002]</w:t>
      </w:r>
    </w:p>
    <w:p w:rsidR="00666B34" w:rsidRPr="00670830" w:rsidRDefault="00666B34" w:rsidP="00670830">
      <w:pPr>
        <w:spacing w:before="100" w:beforeAutospacing="1" w:after="100" w:afterAutospacing="1" w:line="360" w:lineRule="auto"/>
        <w:jc w:val="both"/>
        <w:rPr>
          <w:rFonts w:ascii="Arial" w:eastAsia="Arial Unicode MS" w:hAnsi="Arial" w:cs="Arial"/>
          <w:sz w:val="24"/>
          <w:szCs w:val="24"/>
          <w:lang w:val="en-US"/>
        </w:rPr>
      </w:pPr>
    </w:p>
    <w:p w:rsidR="009629C7" w:rsidRPr="00670830" w:rsidRDefault="009629C7" w:rsidP="00670830">
      <w:pPr>
        <w:pStyle w:val="Ttulo3"/>
        <w:spacing w:before="100" w:beforeAutospacing="1" w:after="100" w:afterAutospacing="1" w:line="360" w:lineRule="auto"/>
        <w:jc w:val="both"/>
        <w:rPr>
          <w:rFonts w:ascii="Arial" w:eastAsia="Arial Unicode MS" w:hAnsi="Arial" w:cs="Arial"/>
          <w:color w:val="auto"/>
          <w:sz w:val="24"/>
          <w:szCs w:val="24"/>
          <w:lang w:val="en-US"/>
        </w:rPr>
      </w:pPr>
      <w:bookmarkStart w:id="28" w:name="_Toc488230505"/>
      <w:r w:rsidRPr="00670830">
        <w:rPr>
          <w:rFonts w:ascii="Arial" w:eastAsia="Arial Unicode MS" w:hAnsi="Arial" w:cs="Arial"/>
          <w:color w:val="auto"/>
          <w:sz w:val="24"/>
          <w:szCs w:val="24"/>
          <w:lang w:val="en-US"/>
        </w:rPr>
        <w:t xml:space="preserve">3.3.2. </w:t>
      </w:r>
      <w:proofErr w:type="spellStart"/>
      <w:r w:rsidRPr="00670830">
        <w:rPr>
          <w:rFonts w:ascii="Arial" w:eastAsia="Arial Unicode MS" w:hAnsi="Arial" w:cs="Arial"/>
          <w:color w:val="auto"/>
          <w:sz w:val="24"/>
          <w:szCs w:val="24"/>
          <w:lang w:val="en-US"/>
        </w:rPr>
        <w:t>Administración</w:t>
      </w:r>
      <w:proofErr w:type="spellEnd"/>
      <w:r w:rsidRPr="00670830">
        <w:rPr>
          <w:rFonts w:ascii="Arial" w:eastAsia="Arial Unicode MS" w:hAnsi="Arial" w:cs="Arial"/>
          <w:color w:val="auto"/>
          <w:sz w:val="24"/>
          <w:szCs w:val="24"/>
          <w:lang w:val="en-US"/>
        </w:rPr>
        <w:t xml:space="preserve"> del </w:t>
      </w:r>
      <w:proofErr w:type="spellStart"/>
      <w:r w:rsidRPr="00670830">
        <w:rPr>
          <w:rFonts w:ascii="Arial" w:eastAsia="Arial Unicode MS" w:hAnsi="Arial" w:cs="Arial"/>
          <w:color w:val="auto"/>
          <w:sz w:val="24"/>
          <w:szCs w:val="24"/>
          <w:lang w:val="en-US"/>
        </w:rPr>
        <w:t>riesgo</w:t>
      </w:r>
      <w:bookmarkEnd w:id="28"/>
      <w:proofErr w:type="spellEnd"/>
    </w:p>
    <w:p w:rsidR="009629C7" w:rsidRPr="00670830" w:rsidRDefault="009629C7" w:rsidP="00670830">
      <w:pPr>
        <w:spacing w:before="100" w:beforeAutospacing="1" w:after="100" w:afterAutospacing="1" w:line="360" w:lineRule="auto"/>
        <w:ind w:left="708"/>
        <w:rPr>
          <w:rFonts w:ascii="Arial" w:eastAsia="Arial Unicode MS" w:hAnsi="Arial" w:cs="Arial"/>
          <w:i/>
          <w:sz w:val="24"/>
          <w:szCs w:val="24"/>
          <w:lang w:val="en-US"/>
        </w:rPr>
      </w:pPr>
      <w:r w:rsidRPr="00670830">
        <w:rPr>
          <w:rFonts w:ascii="Arial" w:eastAsia="Arial Unicode MS" w:hAnsi="Arial" w:cs="Arial"/>
          <w:i/>
          <w:sz w:val="24"/>
          <w:szCs w:val="24"/>
          <w:lang w:val="en-US"/>
        </w:rPr>
        <w:t>All of life is the management of risk, not its elimination.</w:t>
      </w:r>
    </w:p>
    <w:p w:rsidR="007C7EB3" w:rsidRPr="00670830" w:rsidRDefault="009629C7" w:rsidP="00670830">
      <w:pPr>
        <w:pStyle w:val="Prrafodelista"/>
        <w:numPr>
          <w:ilvl w:val="3"/>
          <w:numId w:val="14"/>
        </w:numPr>
        <w:spacing w:before="100" w:beforeAutospacing="1" w:after="100" w:afterAutospacing="1" w:line="360" w:lineRule="auto"/>
        <w:rPr>
          <w:rFonts w:ascii="Arial" w:eastAsia="Arial Unicode MS" w:hAnsi="Arial" w:cs="Arial"/>
          <w:i/>
          <w:sz w:val="24"/>
          <w:szCs w:val="24"/>
          <w:lang w:val="en-US"/>
        </w:rPr>
      </w:pPr>
      <w:r w:rsidRPr="00670830">
        <w:rPr>
          <w:rFonts w:ascii="Arial" w:eastAsia="Arial Unicode MS" w:hAnsi="Arial" w:cs="Arial"/>
          <w:i/>
          <w:sz w:val="24"/>
          <w:szCs w:val="24"/>
          <w:lang w:val="en-US"/>
        </w:rPr>
        <w:t xml:space="preserve">Walter </w:t>
      </w:r>
      <w:proofErr w:type="spellStart"/>
      <w:r w:rsidRPr="00670830">
        <w:rPr>
          <w:rFonts w:ascii="Arial" w:eastAsia="Arial Unicode MS" w:hAnsi="Arial" w:cs="Arial"/>
          <w:i/>
          <w:sz w:val="24"/>
          <w:szCs w:val="24"/>
          <w:lang w:val="en-US"/>
        </w:rPr>
        <w:t>Wriston</w:t>
      </w:r>
      <w:proofErr w:type="spellEnd"/>
      <w:r w:rsidRPr="00670830">
        <w:rPr>
          <w:rFonts w:ascii="Arial" w:eastAsia="Arial Unicode MS" w:hAnsi="Arial" w:cs="Arial"/>
          <w:i/>
          <w:sz w:val="24"/>
          <w:szCs w:val="24"/>
          <w:lang w:val="en-US"/>
        </w:rPr>
        <w:t>, former chairman of Citicorp</w:t>
      </w:r>
    </w:p>
    <w:p w:rsidR="001524A3" w:rsidRPr="00670830" w:rsidRDefault="001524A3" w:rsidP="00670830">
      <w:pPr>
        <w:pStyle w:val="Prrafodelista"/>
        <w:spacing w:before="100" w:beforeAutospacing="1" w:after="100" w:afterAutospacing="1" w:line="360" w:lineRule="auto"/>
        <w:ind w:left="2880"/>
        <w:rPr>
          <w:rFonts w:ascii="Arial" w:eastAsia="Arial Unicode MS" w:hAnsi="Arial" w:cs="Arial"/>
          <w:i/>
          <w:sz w:val="24"/>
          <w:szCs w:val="24"/>
          <w:lang w:val="en-US"/>
        </w:rPr>
      </w:pPr>
    </w:p>
    <w:p w:rsidR="00451D07" w:rsidRPr="00670830" w:rsidRDefault="000935A4" w:rsidP="00670830">
      <w:pPr>
        <w:tabs>
          <w:tab w:val="left" w:pos="223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Las empresas están en el negocio de la administración de riesgos. Las más aptas triunfan, las demás se quedan en el camino. Mientras algunas empresas</w:t>
      </w:r>
      <w:r w:rsidR="004A5834" w:rsidRPr="00670830">
        <w:rPr>
          <w:rFonts w:ascii="Arial" w:eastAsia="Arial Unicode MS" w:hAnsi="Arial" w:cs="Arial"/>
          <w:sz w:val="24"/>
          <w:szCs w:val="24"/>
        </w:rPr>
        <w:t xml:space="preserve"> aceptan los riesgos pasiva</w:t>
      </w:r>
      <w:r w:rsidR="00315406" w:rsidRPr="00670830">
        <w:rPr>
          <w:rFonts w:ascii="Arial" w:eastAsia="Arial Unicode MS" w:hAnsi="Arial" w:cs="Arial"/>
          <w:sz w:val="24"/>
          <w:szCs w:val="24"/>
        </w:rPr>
        <w:t>mente,</w:t>
      </w:r>
      <w:r w:rsidR="004A5834" w:rsidRPr="00670830">
        <w:rPr>
          <w:rFonts w:ascii="Arial" w:eastAsia="Arial Unicode MS" w:hAnsi="Arial" w:cs="Arial"/>
          <w:sz w:val="24"/>
          <w:szCs w:val="24"/>
        </w:rPr>
        <w:t xml:space="preserve"> otras, por el contrario, intentan crear una ventaja competitiva </w:t>
      </w:r>
      <w:r w:rsidR="008E06C5" w:rsidRPr="00670830">
        <w:rPr>
          <w:rFonts w:ascii="Arial" w:eastAsia="Arial Unicode MS" w:hAnsi="Arial" w:cs="Arial"/>
          <w:sz w:val="24"/>
          <w:szCs w:val="24"/>
        </w:rPr>
        <w:t>a partir de una mayor exposición a los mismos.</w:t>
      </w:r>
      <w:r w:rsidR="00315406" w:rsidRPr="00670830">
        <w:rPr>
          <w:rFonts w:ascii="Arial" w:eastAsia="Arial Unicode MS" w:hAnsi="Arial" w:cs="Arial"/>
          <w:sz w:val="24"/>
          <w:szCs w:val="24"/>
        </w:rPr>
        <w:t xml:space="preserve"> </w:t>
      </w:r>
    </w:p>
    <w:p w:rsidR="008E06C5" w:rsidRPr="00670830" w:rsidRDefault="008E06C5" w:rsidP="00670830">
      <w:pPr>
        <w:tabs>
          <w:tab w:val="left" w:pos="223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En ambos casos, los riesgos deberán ser monitoreados cuidadosamente dado el  potencial del daño que pudieran causar.</w:t>
      </w:r>
    </w:p>
    <w:p w:rsidR="008E06C5" w:rsidRPr="00670830" w:rsidRDefault="00931ECE" w:rsidP="00670830">
      <w:pPr>
        <w:tabs>
          <w:tab w:val="left" w:pos="223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objetivo de la administración de riesgos puede ex</w:t>
      </w:r>
      <w:r w:rsidR="00B54C02" w:rsidRPr="00670830">
        <w:rPr>
          <w:rFonts w:ascii="Arial" w:eastAsia="Arial Unicode MS" w:hAnsi="Arial" w:cs="Arial"/>
          <w:sz w:val="24"/>
          <w:szCs w:val="24"/>
        </w:rPr>
        <w:t>presarse en dos sentid</w:t>
      </w:r>
      <w:r w:rsidRPr="00670830">
        <w:rPr>
          <w:rFonts w:ascii="Arial" w:eastAsia="Arial Unicode MS" w:hAnsi="Arial" w:cs="Arial"/>
          <w:sz w:val="24"/>
          <w:szCs w:val="24"/>
        </w:rPr>
        <w:t>os</w:t>
      </w:r>
      <w:r w:rsidR="005677FE" w:rsidRPr="00670830">
        <w:rPr>
          <w:rFonts w:ascii="Arial" w:eastAsia="Arial Unicode MS" w:hAnsi="Arial" w:cs="Arial"/>
          <w:sz w:val="24"/>
          <w:szCs w:val="24"/>
        </w:rPr>
        <w:t>:</w:t>
      </w:r>
    </w:p>
    <w:p w:rsidR="008E06C5" w:rsidRPr="00670830" w:rsidRDefault="00813414" w:rsidP="00670830">
      <w:pPr>
        <w:pStyle w:val="Prrafodelista"/>
        <w:numPr>
          <w:ilvl w:val="0"/>
          <w:numId w:val="17"/>
        </w:numPr>
        <w:tabs>
          <w:tab w:val="left" w:pos="223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Asegurarse de que una institución o inversionista no sufra pérdidas económicas inaceptables (no tolerables).</w:t>
      </w:r>
    </w:p>
    <w:p w:rsidR="001524A3" w:rsidRPr="00670830" w:rsidRDefault="001524A3" w:rsidP="00670830">
      <w:pPr>
        <w:pStyle w:val="Prrafodelista"/>
        <w:tabs>
          <w:tab w:val="left" w:pos="2235"/>
        </w:tabs>
        <w:spacing w:before="100" w:beforeAutospacing="1" w:after="100" w:afterAutospacing="1" w:line="360" w:lineRule="auto"/>
        <w:jc w:val="both"/>
        <w:rPr>
          <w:rFonts w:ascii="Arial" w:eastAsia="Arial Unicode MS" w:hAnsi="Arial" w:cs="Arial"/>
          <w:sz w:val="24"/>
          <w:szCs w:val="24"/>
        </w:rPr>
      </w:pPr>
    </w:p>
    <w:p w:rsidR="00813414" w:rsidRPr="00670830" w:rsidRDefault="00813414" w:rsidP="00670830">
      <w:pPr>
        <w:pStyle w:val="Prrafodelista"/>
        <w:numPr>
          <w:ilvl w:val="0"/>
          <w:numId w:val="17"/>
        </w:numPr>
        <w:tabs>
          <w:tab w:val="left" w:pos="223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Mejorar el desempeño financiero de dicho agente económico, tomando en cuenta el rendimiento ajustado por riesgo.</w:t>
      </w:r>
    </w:p>
    <w:p w:rsidR="00813414" w:rsidRPr="00670830" w:rsidRDefault="00813414" w:rsidP="00670830">
      <w:pPr>
        <w:tabs>
          <w:tab w:val="left" w:pos="223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 anterior se logra entendiendo los riesgos que toma la institución, midiendo dichos riesgos, e</w:t>
      </w:r>
      <w:r w:rsidR="005677FE" w:rsidRPr="00670830">
        <w:rPr>
          <w:rFonts w:ascii="Arial" w:eastAsia="Arial Unicode MS" w:hAnsi="Arial" w:cs="Arial"/>
          <w:sz w:val="24"/>
          <w:szCs w:val="24"/>
        </w:rPr>
        <w:t xml:space="preserve">stableciendo controles y comunicando </w:t>
      </w:r>
      <w:r w:rsidRPr="00670830">
        <w:rPr>
          <w:rFonts w:ascii="Arial" w:eastAsia="Arial Unicode MS" w:hAnsi="Arial" w:cs="Arial"/>
          <w:sz w:val="24"/>
          <w:szCs w:val="24"/>
        </w:rPr>
        <w:t xml:space="preserve">a los órganos colegiados correspondientes (comité de riesgos o consejo de administración). </w:t>
      </w:r>
    </w:p>
    <w:p w:rsidR="00813414" w:rsidRPr="00670830" w:rsidRDefault="00813414" w:rsidP="00670830">
      <w:pPr>
        <w:tabs>
          <w:tab w:val="left" w:pos="223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El proceso de la administración de riesgos implica, en primer lugar, la identificación de riesgos, en segundo su cuantificación y control mediante el establecimiento de límites de tolerancia al riesgo y, finalmente, la modificación o </w:t>
      </w:r>
      <w:proofErr w:type="spellStart"/>
      <w:r w:rsidRPr="00670830">
        <w:rPr>
          <w:rFonts w:ascii="Arial" w:eastAsia="Arial Unicode MS" w:hAnsi="Arial" w:cs="Arial"/>
          <w:sz w:val="24"/>
          <w:szCs w:val="24"/>
        </w:rPr>
        <w:t>nulificación</w:t>
      </w:r>
      <w:proofErr w:type="spellEnd"/>
      <w:r w:rsidRPr="00670830">
        <w:rPr>
          <w:rFonts w:ascii="Arial" w:eastAsia="Arial Unicode MS" w:hAnsi="Arial" w:cs="Arial"/>
          <w:sz w:val="24"/>
          <w:szCs w:val="24"/>
        </w:rPr>
        <w:t xml:space="preserve"> de dichos riesgos a través de disminuir la exposición al riesgo o de instrumentar</w:t>
      </w:r>
      <w:r w:rsidR="004828CA" w:rsidRPr="00670830">
        <w:rPr>
          <w:rFonts w:ascii="Arial" w:eastAsia="Arial Unicode MS" w:hAnsi="Arial" w:cs="Arial"/>
          <w:sz w:val="24"/>
          <w:szCs w:val="24"/>
        </w:rPr>
        <w:t xml:space="preserve"> una cobertura. [De Lara, 2002]</w:t>
      </w:r>
    </w:p>
    <w:p w:rsidR="000C0796" w:rsidRPr="00670830" w:rsidRDefault="00541879" w:rsidP="00670830">
      <w:pPr>
        <w:pStyle w:val="Ttulo2"/>
        <w:spacing w:before="100" w:beforeAutospacing="1" w:after="100" w:afterAutospacing="1" w:line="360" w:lineRule="auto"/>
        <w:jc w:val="both"/>
        <w:rPr>
          <w:rFonts w:ascii="Arial" w:eastAsia="Arial Unicode MS" w:hAnsi="Arial" w:cs="Arial"/>
          <w:color w:val="auto"/>
          <w:sz w:val="24"/>
          <w:szCs w:val="24"/>
        </w:rPr>
      </w:pPr>
      <w:bookmarkStart w:id="29" w:name="_Toc488230506"/>
      <w:r w:rsidRPr="00670830">
        <w:rPr>
          <w:rFonts w:ascii="Arial" w:eastAsia="Arial Unicode MS" w:hAnsi="Arial" w:cs="Arial"/>
          <w:color w:val="auto"/>
          <w:sz w:val="24"/>
          <w:szCs w:val="24"/>
        </w:rPr>
        <w:t>3.4.  Valor en Riesgo (</w:t>
      </w:r>
      <w:proofErr w:type="spellStart"/>
      <w:r w:rsidRPr="00670830">
        <w:rPr>
          <w:rFonts w:ascii="Arial" w:eastAsia="Arial Unicode MS" w:hAnsi="Arial" w:cs="Arial"/>
          <w:color w:val="auto"/>
          <w:sz w:val="24"/>
          <w:szCs w:val="24"/>
        </w:rPr>
        <w:t>VaR</w:t>
      </w:r>
      <w:proofErr w:type="spellEnd"/>
      <w:r w:rsidRPr="00670830">
        <w:rPr>
          <w:rFonts w:ascii="Arial" w:eastAsia="Arial Unicode MS" w:hAnsi="Arial" w:cs="Arial"/>
          <w:color w:val="auto"/>
          <w:sz w:val="24"/>
          <w:szCs w:val="24"/>
        </w:rPr>
        <w:t>)</w:t>
      </w:r>
      <w:bookmarkEnd w:id="29"/>
    </w:p>
    <w:p w:rsidR="0066750B" w:rsidRPr="00670830" w:rsidRDefault="0066750B" w:rsidP="00670830">
      <w:pPr>
        <w:tabs>
          <w:tab w:val="left" w:pos="223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En 1952 Harry </w:t>
      </w:r>
      <w:proofErr w:type="spellStart"/>
      <w:r w:rsidRPr="00670830">
        <w:rPr>
          <w:rFonts w:ascii="Arial" w:eastAsia="Arial Unicode MS" w:hAnsi="Arial" w:cs="Arial"/>
          <w:sz w:val="24"/>
          <w:szCs w:val="24"/>
        </w:rPr>
        <w:t>Markovitz</w:t>
      </w:r>
      <w:proofErr w:type="spellEnd"/>
      <w:r w:rsidRPr="00670830">
        <w:rPr>
          <w:rFonts w:ascii="Arial" w:eastAsia="Arial Unicode MS" w:hAnsi="Arial" w:cs="Arial"/>
          <w:sz w:val="24"/>
          <w:szCs w:val="24"/>
        </w:rPr>
        <w:t xml:space="preserve"> propuso usar la variabilidad de los rendimientos de los activos financieros, como medida de riesgo. Así, la varianza de los rendimientos de los activos, se mantuvo como la medida de riesgo universalmente aceptada hasta finales de la década de los ochentas y principio de los noventas, cuando finalmente se hizo evidente que esta es más bien una medida de incertid</w:t>
      </w:r>
      <w:r w:rsidR="00F3095F" w:rsidRPr="00670830">
        <w:rPr>
          <w:rFonts w:ascii="Arial" w:eastAsia="Arial Unicode MS" w:hAnsi="Arial" w:cs="Arial"/>
          <w:sz w:val="24"/>
          <w:szCs w:val="24"/>
        </w:rPr>
        <w:t>umbre que de riesgo. C</w:t>
      </w:r>
      <w:r w:rsidRPr="00670830">
        <w:rPr>
          <w:rFonts w:ascii="Arial" w:eastAsia="Arial Unicode MS" w:hAnsi="Arial" w:cs="Arial"/>
          <w:sz w:val="24"/>
          <w:szCs w:val="24"/>
        </w:rPr>
        <w:t>on las grandes crisis financieras ocurridas precisamente en este periodo, se vio la necesidad de que la medida de riesgo, tenía que expresarse en términos de pérdidas potenciales, con una cierta probabilidad de ocurrencia.</w:t>
      </w:r>
    </w:p>
    <w:p w:rsidR="0066750B" w:rsidRPr="00670830" w:rsidRDefault="0066750B" w:rsidP="00670830">
      <w:pPr>
        <w:tabs>
          <w:tab w:val="left" w:pos="223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Actualmente, la medida más aceptada de riesgo es la que se conoce como el “Valor en Riesgo”. El </w:t>
      </w:r>
      <w:proofErr w:type="spellStart"/>
      <w:r w:rsidRPr="00670830">
        <w:rPr>
          <w:rFonts w:ascii="Arial" w:eastAsia="Arial Unicode MS" w:hAnsi="Arial" w:cs="Arial"/>
          <w:sz w:val="24"/>
          <w:szCs w:val="24"/>
        </w:rPr>
        <w:t>VaR</w:t>
      </w:r>
      <w:proofErr w:type="spellEnd"/>
      <w:r w:rsidRPr="00670830">
        <w:rPr>
          <w:rFonts w:ascii="Arial" w:eastAsia="Arial Unicode MS" w:hAnsi="Arial" w:cs="Arial"/>
          <w:sz w:val="24"/>
          <w:szCs w:val="24"/>
        </w:rPr>
        <w:t xml:space="preserve"> intenta dar una idea sobre la pérdida en que se puede incurrir en un cierto periodo de tiempo pero, al ser inciertas las pérdidas y ganancias, es necesario asociar probabilidades a las diferentes pérdidas potenciales.</w:t>
      </w:r>
    </w:p>
    <w:p w:rsidR="00F3095F" w:rsidRPr="00670830" w:rsidRDefault="00DC488B" w:rsidP="00670830">
      <w:pPr>
        <w:tabs>
          <w:tab w:val="left" w:pos="223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El Valor en Riesgo o </w:t>
      </w:r>
      <w:proofErr w:type="spellStart"/>
      <w:r w:rsidRPr="00670830">
        <w:rPr>
          <w:rFonts w:ascii="Arial" w:eastAsia="Arial Unicode MS" w:hAnsi="Arial" w:cs="Arial"/>
          <w:sz w:val="24"/>
          <w:szCs w:val="24"/>
        </w:rPr>
        <w:t>VaR</w:t>
      </w:r>
      <w:proofErr w:type="spellEnd"/>
      <w:r w:rsidRPr="00670830">
        <w:rPr>
          <w:rFonts w:ascii="Arial" w:eastAsia="Arial Unicode MS" w:hAnsi="Arial" w:cs="Arial"/>
          <w:sz w:val="24"/>
          <w:szCs w:val="24"/>
        </w:rPr>
        <w:t xml:space="preserve">, por sus siglas en inglés, se ha convertido en una de las herramientas más empleadas para la medición de riesgo por reguladores, instituciones y académicos. </w:t>
      </w:r>
    </w:p>
    <w:p w:rsidR="00F3095F" w:rsidRPr="00670830" w:rsidRDefault="00DC488B" w:rsidP="00670830">
      <w:pPr>
        <w:tabs>
          <w:tab w:val="left" w:pos="223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Esta popularidad tiene su origen a principios de los años 80’s cuando las principales firmas financieras de los países desarrollados empleaban el </w:t>
      </w:r>
      <w:proofErr w:type="spellStart"/>
      <w:r w:rsidRPr="00670830">
        <w:rPr>
          <w:rFonts w:ascii="Arial" w:eastAsia="Arial Unicode MS" w:hAnsi="Arial" w:cs="Arial"/>
          <w:sz w:val="24"/>
          <w:szCs w:val="24"/>
        </w:rPr>
        <w:t>VaR</w:t>
      </w:r>
      <w:proofErr w:type="spellEnd"/>
      <w:r w:rsidRPr="00670830">
        <w:rPr>
          <w:rFonts w:ascii="Arial" w:eastAsia="Arial Unicode MS" w:hAnsi="Arial" w:cs="Arial"/>
          <w:sz w:val="24"/>
          <w:szCs w:val="24"/>
        </w:rPr>
        <w:t xml:space="preserve"> como med</w:t>
      </w:r>
      <w:r w:rsidR="0049623C" w:rsidRPr="00670830">
        <w:rPr>
          <w:rFonts w:ascii="Arial" w:eastAsia="Arial Unicode MS" w:hAnsi="Arial" w:cs="Arial"/>
          <w:sz w:val="24"/>
          <w:szCs w:val="24"/>
        </w:rPr>
        <w:t>ida del riesgo de sus cartera</w:t>
      </w:r>
      <w:r w:rsidRPr="00670830">
        <w:rPr>
          <w:rFonts w:ascii="Arial" w:eastAsia="Arial Unicode MS" w:hAnsi="Arial" w:cs="Arial"/>
          <w:sz w:val="24"/>
          <w:szCs w:val="24"/>
        </w:rPr>
        <w:t xml:space="preserve">s. </w:t>
      </w:r>
    </w:p>
    <w:p w:rsidR="00DC488B" w:rsidRPr="00670830" w:rsidRDefault="00DC488B" w:rsidP="00670830">
      <w:pPr>
        <w:tabs>
          <w:tab w:val="left" w:pos="223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A mediados de los 90’s esta popularidad se potencializó por el interés de los reguladores en el </w:t>
      </w:r>
      <w:proofErr w:type="spellStart"/>
      <w:r w:rsidRPr="00670830">
        <w:rPr>
          <w:rFonts w:ascii="Arial" w:eastAsia="Arial Unicode MS" w:hAnsi="Arial" w:cs="Arial"/>
          <w:sz w:val="24"/>
          <w:szCs w:val="24"/>
        </w:rPr>
        <w:t>VaR</w:t>
      </w:r>
      <w:proofErr w:type="spellEnd"/>
      <w:r w:rsidRPr="00670830">
        <w:rPr>
          <w:rFonts w:ascii="Arial" w:eastAsia="Arial Unicode MS" w:hAnsi="Arial" w:cs="Arial"/>
          <w:sz w:val="24"/>
          <w:szCs w:val="24"/>
        </w:rPr>
        <w:t xml:space="preserve"> como medida de riesgo. En abril de 1995, el Comité de Basilea para la Supervisión Bancaria, propuso permitir a los bancos calcular sus requerimientos de capital para cubrir su riesgo de mercado por medio de sus propios modelos </w:t>
      </w:r>
      <w:proofErr w:type="spellStart"/>
      <w:r w:rsidRPr="00670830">
        <w:rPr>
          <w:rFonts w:ascii="Arial" w:eastAsia="Arial Unicode MS" w:hAnsi="Arial" w:cs="Arial"/>
          <w:sz w:val="24"/>
          <w:szCs w:val="24"/>
        </w:rPr>
        <w:t>VaR</w:t>
      </w:r>
      <w:proofErr w:type="spellEnd"/>
      <w:r w:rsidRPr="00670830">
        <w:rPr>
          <w:rFonts w:ascii="Arial" w:eastAsia="Arial Unicode MS" w:hAnsi="Arial" w:cs="Arial"/>
          <w:sz w:val="24"/>
          <w:szCs w:val="24"/>
        </w:rPr>
        <w:t xml:space="preserve">.  </w:t>
      </w:r>
    </w:p>
    <w:p w:rsidR="00DC488B" w:rsidRPr="00670830" w:rsidRDefault="00DC488B" w:rsidP="00670830">
      <w:pPr>
        <w:tabs>
          <w:tab w:val="left" w:pos="223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Una de las razones para esta gran reputación es la sencillez del concepto y, en especial, lo intuitivo de su interpretación al ser ésta la medida (estimación) de la máxima pérdida posible para un horizonte de tiempo y un nivel de significancia determinados, bajo circunstancias consideradas como “normales” en el mercado.</w:t>
      </w:r>
    </w:p>
    <w:p w:rsidR="004460EC" w:rsidRPr="00670830" w:rsidRDefault="004460EC" w:rsidP="00670830">
      <w:pPr>
        <w:tabs>
          <w:tab w:val="left" w:pos="223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Más formalmente, el </w:t>
      </w:r>
      <w:proofErr w:type="spellStart"/>
      <w:r w:rsidRPr="00670830">
        <w:rPr>
          <w:rFonts w:ascii="Arial" w:eastAsia="Arial Unicode MS" w:hAnsi="Arial" w:cs="Arial"/>
          <w:sz w:val="24"/>
          <w:szCs w:val="24"/>
        </w:rPr>
        <w:t>VaR</w:t>
      </w:r>
      <w:proofErr w:type="spellEnd"/>
      <w:r w:rsidRPr="00670830">
        <w:rPr>
          <w:rFonts w:ascii="Arial" w:eastAsia="Arial Unicode MS" w:hAnsi="Arial" w:cs="Arial"/>
          <w:sz w:val="24"/>
          <w:szCs w:val="24"/>
        </w:rPr>
        <w:t xml:space="preserve"> describe el </w:t>
      </w:r>
      <w:proofErr w:type="spellStart"/>
      <w:r w:rsidRPr="00670830">
        <w:rPr>
          <w:rFonts w:ascii="Arial" w:eastAsia="Arial Unicode MS" w:hAnsi="Arial" w:cs="Arial"/>
          <w:sz w:val="24"/>
          <w:szCs w:val="24"/>
        </w:rPr>
        <w:t>cuantil</w:t>
      </w:r>
      <w:proofErr w:type="spellEnd"/>
      <w:r w:rsidRPr="00670830">
        <w:rPr>
          <w:rFonts w:ascii="Arial" w:eastAsia="Arial Unicode MS" w:hAnsi="Arial" w:cs="Arial"/>
          <w:sz w:val="24"/>
          <w:szCs w:val="24"/>
        </w:rPr>
        <w:t xml:space="preserve"> de la distribución de ganancias y pérdidas proyectadas a lo largo de un horizonte de tiempo. Sí </w:t>
      </w:r>
      <w:r w:rsidRPr="00670830">
        <w:rPr>
          <w:rFonts w:ascii="Arial" w:eastAsia="Arial Unicode MS" w:hAnsi="Arial" w:cs="Arial"/>
          <w:b/>
          <w:i/>
          <w:sz w:val="24"/>
          <w:szCs w:val="24"/>
        </w:rPr>
        <w:t xml:space="preserve">c </w:t>
      </w:r>
      <w:r w:rsidRPr="00670830">
        <w:rPr>
          <w:rFonts w:ascii="Arial" w:eastAsia="Arial Unicode MS" w:hAnsi="Arial" w:cs="Arial"/>
          <w:sz w:val="24"/>
          <w:szCs w:val="24"/>
        </w:rPr>
        <w:t xml:space="preserve">es seleccionado como el nivel de confianza, el </w:t>
      </w:r>
      <w:proofErr w:type="spellStart"/>
      <w:r w:rsidRPr="00670830">
        <w:rPr>
          <w:rFonts w:ascii="Arial" w:eastAsia="Arial Unicode MS" w:hAnsi="Arial" w:cs="Arial"/>
          <w:sz w:val="24"/>
          <w:szCs w:val="24"/>
        </w:rPr>
        <w:t>VaR</w:t>
      </w:r>
      <w:proofErr w:type="spellEnd"/>
      <w:r w:rsidRPr="00670830">
        <w:rPr>
          <w:rFonts w:ascii="Arial" w:eastAsia="Arial Unicode MS" w:hAnsi="Arial" w:cs="Arial"/>
          <w:sz w:val="24"/>
          <w:szCs w:val="24"/>
        </w:rPr>
        <w:t xml:space="preserve"> corresponde a</w:t>
      </w:r>
      <w:r w:rsidR="007E189C" w:rsidRPr="00670830">
        <w:rPr>
          <w:rFonts w:ascii="Arial" w:eastAsia="Arial Unicode MS" w:hAnsi="Arial" w:cs="Arial"/>
          <w:sz w:val="24"/>
          <w:szCs w:val="24"/>
        </w:rPr>
        <w:t>l</w:t>
      </w:r>
      <w:r w:rsidRPr="00670830">
        <w:rPr>
          <w:rFonts w:ascii="Arial" w:eastAsia="Arial Unicode MS" w:hAnsi="Arial" w:cs="Arial"/>
          <w:sz w:val="24"/>
          <w:szCs w:val="24"/>
        </w:rPr>
        <w:t xml:space="preserve"> </w:t>
      </w:r>
      <w:r w:rsidRPr="00670830">
        <w:rPr>
          <w:rFonts w:ascii="Arial" w:eastAsia="Arial Unicode MS" w:hAnsi="Arial" w:cs="Arial"/>
          <w:b/>
          <w:i/>
          <w:sz w:val="24"/>
          <w:szCs w:val="24"/>
        </w:rPr>
        <w:t xml:space="preserve">1 – c </w:t>
      </w:r>
      <w:r w:rsidR="007E189C" w:rsidRPr="00670830">
        <w:rPr>
          <w:rFonts w:ascii="Arial" w:eastAsia="Arial Unicode MS" w:hAnsi="Arial" w:cs="Arial"/>
          <w:sz w:val="24"/>
          <w:szCs w:val="24"/>
        </w:rPr>
        <w:t>percentil de la distribución. Por convención esta pérdida máxima es expresada como un número positivo. [</w:t>
      </w:r>
      <w:proofErr w:type="spellStart"/>
      <w:r w:rsidR="007E189C" w:rsidRPr="00670830">
        <w:rPr>
          <w:rFonts w:ascii="Arial" w:eastAsia="Arial Unicode MS" w:hAnsi="Arial" w:cs="Arial"/>
          <w:sz w:val="24"/>
          <w:szCs w:val="24"/>
        </w:rPr>
        <w:t>Jorion</w:t>
      </w:r>
      <w:proofErr w:type="spellEnd"/>
      <w:r w:rsidR="007E189C" w:rsidRPr="00670830">
        <w:rPr>
          <w:rFonts w:ascii="Arial" w:eastAsia="Arial Unicode MS" w:hAnsi="Arial" w:cs="Arial"/>
          <w:sz w:val="24"/>
          <w:szCs w:val="24"/>
        </w:rPr>
        <w:t>, 2007]</w:t>
      </w:r>
    </w:p>
    <w:p w:rsidR="00E1293E" w:rsidRPr="00670830" w:rsidRDefault="00E1293E"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La medición del VAR requiere de fundamentos </w:t>
      </w:r>
      <w:r w:rsidR="005677FE" w:rsidRPr="00670830">
        <w:rPr>
          <w:rFonts w:ascii="Arial" w:eastAsia="Arial Unicode MS" w:hAnsi="Arial" w:cs="Arial"/>
          <w:sz w:val="24"/>
          <w:szCs w:val="24"/>
        </w:rPr>
        <w:t xml:space="preserve">estadísticos, </w:t>
      </w:r>
      <w:r w:rsidRPr="00670830">
        <w:rPr>
          <w:rFonts w:ascii="Arial" w:eastAsia="Arial Unicode MS" w:hAnsi="Arial" w:cs="Arial"/>
          <w:sz w:val="24"/>
          <w:szCs w:val="24"/>
        </w:rPr>
        <w:t>determina la cantidad máxima que es posible perder, dado un determinado nivel de confianza (por lo regular el estándar de la industria es considerar el 95% de confianza o el 99%) en un determinado periodo de tiempo.</w:t>
      </w:r>
    </w:p>
    <w:p w:rsidR="00E1293E" w:rsidRPr="00670830" w:rsidRDefault="00E1293E"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Normalmente los periodos usados para el cálculo del VAR son un día, 10 días o 1 año. Por ejemplo, un VAR 6 a un año quiere decir que existe el 5% de probabilidad de que se tenga una perdida mayor al 6% en ese periodo de tiempo.</w:t>
      </w:r>
    </w:p>
    <w:p w:rsidR="00E1293E" w:rsidRPr="00670830" w:rsidRDefault="00E1293E" w:rsidP="00670830">
      <w:pPr>
        <w:spacing w:before="100" w:beforeAutospacing="1" w:after="100" w:afterAutospacing="1" w:line="360" w:lineRule="auto"/>
        <w:jc w:val="both"/>
        <w:rPr>
          <w:rFonts w:ascii="Arial" w:eastAsia="Arial Unicode MS" w:hAnsi="Arial" w:cs="Arial"/>
          <w:sz w:val="24"/>
          <w:szCs w:val="24"/>
        </w:rPr>
      </w:pPr>
    </w:p>
    <w:p w:rsidR="00573448" w:rsidRPr="00670830" w:rsidRDefault="00573448" w:rsidP="00670830">
      <w:pPr>
        <w:pStyle w:val="Ttulo3"/>
        <w:spacing w:before="100" w:beforeAutospacing="1" w:after="100" w:afterAutospacing="1" w:line="360" w:lineRule="auto"/>
        <w:jc w:val="both"/>
        <w:rPr>
          <w:rFonts w:ascii="Arial" w:eastAsia="Arial Unicode MS" w:hAnsi="Arial" w:cs="Arial"/>
          <w:color w:val="auto"/>
          <w:sz w:val="24"/>
          <w:szCs w:val="24"/>
        </w:rPr>
      </w:pPr>
      <w:bookmarkStart w:id="30" w:name="_Toc488230507"/>
      <w:r w:rsidRPr="00670830">
        <w:rPr>
          <w:rFonts w:ascii="Arial" w:eastAsia="Arial Unicode MS" w:hAnsi="Arial" w:cs="Arial"/>
          <w:color w:val="auto"/>
          <w:sz w:val="24"/>
          <w:szCs w:val="24"/>
        </w:rPr>
        <w:t>3.4.1. Cálculo del Valor en Riesgo (</w:t>
      </w:r>
      <w:proofErr w:type="spellStart"/>
      <w:r w:rsidRPr="00670830">
        <w:rPr>
          <w:rFonts w:ascii="Arial" w:eastAsia="Arial Unicode MS" w:hAnsi="Arial" w:cs="Arial"/>
          <w:color w:val="auto"/>
          <w:sz w:val="24"/>
          <w:szCs w:val="24"/>
        </w:rPr>
        <w:t>VaR</w:t>
      </w:r>
      <w:proofErr w:type="spellEnd"/>
      <w:r w:rsidRPr="00670830">
        <w:rPr>
          <w:rFonts w:ascii="Arial" w:eastAsia="Arial Unicode MS" w:hAnsi="Arial" w:cs="Arial"/>
          <w:color w:val="auto"/>
          <w:sz w:val="24"/>
          <w:szCs w:val="24"/>
        </w:rPr>
        <w:t>)</w:t>
      </w:r>
      <w:bookmarkEnd w:id="30"/>
    </w:p>
    <w:p w:rsidR="00D24C8D" w:rsidRPr="00670830" w:rsidRDefault="00BF5CCD" w:rsidP="00670830">
      <w:pPr>
        <w:spacing w:before="100" w:beforeAutospacing="1" w:after="100" w:afterAutospacing="1" w:line="360" w:lineRule="auto"/>
        <w:rPr>
          <w:rFonts w:ascii="Arial" w:eastAsia="Arial Unicode MS" w:hAnsi="Arial" w:cs="Arial"/>
          <w:sz w:val="24"/>
          <w:szCs w:val="24"/>
        </w:rPr>
      </w:pPr>
      <w:r w:rsidRPr="00670830">
        <w:rPr>
          <w:rFonts w:ascii="Arial" w:eastAsia="Arial Unicode MS" w:hAnsi="Arial" w:cs="Arial"/>
          <w:sz w:val="24"/>
          <w:szCs w:val="24"/>
        </w:rPr>
        <w:t>El Valor en Riesgo (</w:t>
      </w:r>
      <w:proofErr w:type="spellStart"/>
      <w:r w:rsidRPr="00670830">
        <w:rPr>
          <w:rFonts w:ascii="Arial" w:eastAsia="Arial Unicode MS" w:hAnsi="Arial" w:cs="Arial"/>
          <w:sz w:val="24"/>
          <w:szCs w:val="24"/>
        </w:rPr>
        <w:t>VaR</w:t>
      </w:r>
      <w:proofErr w:type="spellEnd"/>
      <w:r w:rsidRPr="00670830">
        <w:rPr>
          <w:rFonts w:ascii="Arial" w:eastAsia="Arial Unicode MS" w:hAnsi="Arial" w:cs="Arial"/>
          <w:sz w:val="24"/>
          <w:szCs w:val="24"/>
        </w:rPr>
        <w:t>) se puede</w:t>
      </w:r>
      <w:r w:rsidR="00183E91" w:rsidRPr="00670830">
        <w:rPr>
          <w:rFonts w:ascii="Arial" w:eastAsia="Arial Unicode MS" w:hAnsi="Arial" w:cs="Arial"/>
          <w:sz w:val="24"/>
          <w:szCs w:val="24"/>
        </w:rPr>
        <w:t xml:space="preserve"> calcular mediante dos métodos:</w:t>
      </w:r>
    </w:p>
    <w:p w:rsidR="00BC2E3F" w:rsidRPr="00670830" w:rsidRDefault="00BC2E3F" w:rsidP="00670830">
      <w:pPr>
        <w:spacing w:before="100" w:beforeAutospacing="1" w:after="100" w:afterAutospacing="1" w:line="360" w:lineRule="auto"/>
        <w:rPr>
          <w:rFonts w:ascii="Arial" w:eastAsia="Arial Unicode MS" w:hAnsi="Arial" w:cs="Arial"/>
          <w:sz w:val="24"/>
          <w:szCs w:val="24"/>
        </w:rPr>
      </w:pPr>
    </w:p>
    <w:p w:rsidR="004C7847" w:rsidRPr="00670830" w:rsidRDefault="004C7847" w:rsidP="00670830">
      <w:pPr>
        <w:pStyle w:val="Ttulo4"/>
        <w:tabs>
          <w:tab w:val="center" w:pos="4419"/>
        </w:tabs>
        <w:spacing w:before="100" w:beforeAutospacing="1" w:after="100" w:afterAutospacing="1" w:line="360" w:lineRule="auto"/>
        <w:jc w:val="both"/>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3.4.1.1. Aproximación paramétrica</w:t>
      </w:r>
    </w:p>
    <w:p w:rsidR="00D24C8D" w:rsidRPr="00670830" w:rsidRDefault="00D24C8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Tienen como característica el supuesto de que los rendimientos de los activos se distribuyen de acuerdo con una curva de densidad de probabilidad, que generalmente es la normal y en el supuesto de linealidad en el valor de los activos. Bajo el supuesto de normalidad y de media de rendimientos igual a cero, el modelo paramétrico que determina el valor en riesgo de una posición es el siguiente:</w:t>
      </w:r>
    </w:p>
    <w:p w:rsidR="00D24C8D" w:rsidRPr="00670830" w:rsidRDefault="000D4D1A" w:rsidP="00670830">
      <w:pPr>
        <w:spacing w:before="100" w:beforeAutospacing="1" w:after="100" w:afterAutospacing="1" w:line="360" w:lineRule="auto"/>
        <w:jc w:val="both"/>
        <w:rPr>
          <w:rFonts w:ascii="Arial" w:eastAsia="Arial Unicode MS" w:hAnsi="Arial" w:cs="Arial"/>
          <w:sz w:val="24"/>
          <w:szCs w:val="24"/>
        </w:rPr>
      </w:pPr>
      <m:oMathPara>
        <m:oMath>
          <m:r>
            <w:rPr>
              <w:rFonts w:ascii="Cambria Math" w:eastAsia="Arial Unicode MS" w:hAnsi="Cambria Math" w:cs="Arial"/>
              <w:sz w:val="24"/>
              <w:szCs w:val="24"/>
            </w:rPr>
            <m:t>VaR=F*S* σ*t</m:t>
          </m:r>
        </m:oMath>
      </m:oMathPara>
    </w:p>
    <w:p w:rsidR="00D24C8D" w:rsidRPr="00670830" w:rsidRDefault="000D4D1A" w:rsidP="00670830">
      <w:pPr>
        <w:spacing w:before="100" w:beforeAutospacing="1" w:after="100" w:afterAutospacing="1" w:line="360" w:lineRule="auto"/>
        <w:jc w:val="both"/>
        <w:rPr>
          <w:rFonts w:ascii="Arial" w:eastAsia="Arial Unicode MS" w:hAnsi="Arial" w:cs="Arial"/>
          <w:sz w:val="24"/>
          <w:szCs w:val="24"/>
        </w:rPr>
      </w:pPr>
      <w:proofErr w:type="spellStart"/>
      <w:r w:rsidRPr="00670830">
        <w:rPr>
          <w:rFonts w:ascii="Arial" w:eastAsia="Arial Unicode MS" w:hAnsi="Arial" w:cs="Arial"/>
          <w:sz w:val="24"/>
          <w:szCs w:val="24"/>
        </w:rPr>
        <w:t>Donde</w:t>
      </w:r>
      <w:proofErr w:type="spellEnd"/>
      <w:r w:rsidRPr="00670830">
        <w:rPr>
          <w:rFonts w:ascii="Arial" w:eastAsia="Arial Unicode MS" w:hAnsi="Arial" w:cs="Arial"/>
          <w:sz w:val="24"/>
          <w:szCs w:val="24"/>
        </w:rPr>
        <w:t>:</w:t>
      </w:r>
    </w:p>
    <w:p w:rsidR="00D24C8D" w:rsidRPr="00670830" w:rsidRDefault="00D24C8D" w:rsidP="00670830">
      <w:pPr>
        <w:spacing w:before="100" w:beforeAutospacing="1" w:after="100" w:afterAutospacing="1" w:line="360" w:lineRule="auto"/>
        <w:ind w:left="851"/>
        <w:jc w:val="both"/>
        <w:rPr>
          <w:rFonts w:ascii="Arial" w:eastAsia="Arial Unicode MS" w:hAnsi="Arial" w:cs="Arial"/>
          <w:i/>
          <w:sz w:val="24"/>
          <w:szCs w:val="24"/>
        </w:rPr>
      </w:pPr>
      <w:r w:rsidRPr="00670830">
        <w:rPr>
          <w:rFonts w:ascii="Arial" w:eastAsia="Arial Unicode MS" w:hAnsi="Arial" w:cs="Arial"/>
          <w:i/>
          <w:sz w:val="24"/>
          <w:szCs w:val="24"/>
        </w:rPr>
        <w:t>F= Factor que determina el nivel de confianza del cálculo.</w:t>
      </w:r>
    </w:p>
    <w:p w:rsidR="00D24C8D" w:rsidRPr="00670830" w:rsidRDefault="00D24C8D" w:rsidP="00670830">
      <w:pPr>
        <w:spacing w:before="100" w:beforeAutospacing="1" w:after="100" w:afterAutospacing="1" w:line="360" w:lineRule="auto"/>
        <w:ind w:left="851"/>
        <w:jc w:val="both"/>
        <w:rPr>
          <w:rFonts w:ascii="Arial" w:eastAsia="Arial Unicode MS" w:hAnsi="Arial" w:cs="Arial"/>
          <w:i/>
          <w:sz w:val="24"/>
          <w:szCs w:val="24"/>
        </w:rPr>
      </w:pPr>
      <w:r w:rsidRPr="00670830">
        <w:rPr>
          <w:rFonts w:ascii="Arial" w:eastAsia="Arial Unicode MS" w:hAnsi="Arial" w:cs="Arial"/>
          <w:i/>
          <w:sz w:val="24"/>
          <w:szCs w:val="24"/>
        </w:rPr>
        <w:t>S= Monto total de la inversión.</w:t>
      </w:r>
    </w:p>
    <w:p w:rsidR="00D24C8D" w:rsidRPr="00670830" w:rsidRDefault="00D24C8D" w:rsidP="00670830">
      <w:pPr>
        <w:spacing w:before="100" w:beforeAutospacing="1" w:after="100" w:afterAutospacing="1" w:line="360" w:lineRule="auto"/>
        <w:ind w:left="851"/>
        <w:jc w:val="both"/>
        <w:rPr>
          <w:rFonts w:ascii="Arial" w:eastAsia="Arial Unicode MS" w:hAnsi="Arial" w:cs="Arial"/>
          <w:i/>
          <w:sz w:val="24"/>
          <w:szCs w:val="24"/>
        </w:rPr>
      </w:pPr>
      <w:r w:rsidRPr="00670830">
        <w:rPr>
          <w:rFonts w:ascii="Arial" w:eastAsia="Arial Unicode MS" w:hAnsi="Arial" w:cs="Arial"/>
          <w:i/>
          <w:sz w:val="24"/>
          <w:szCs w:val="24"/>
        </w:rPr>
        <w:t>σ = Desviación estándar de los rendimientos del activo.</w:t>
      </w:r>
    </w:p>
    <w:p w:rsidR="00F8751B" w:rsidRPr="00670830" w:rsidRDefault="00D24C8D" w:rsidP="00670830">
      <w:pPr>
        <w:spacing w:before="100" w:beforeAutospacing="1" w:after="100" w:afterAutospacing="1" w:line="360" w:lineRule="auto"/>
        <w:ind w:left="851"/>
        <w:jc w:val="both"/>
        <w:rPr>
          <w:rFonts w:ascii="Arial" w:eastAsia="Arial Unicode MS" w:hAnsi="Arial" w:cs="Arial"/>
          <w:i/>
          <w:sz w:val="24"/>
          <w:szCs w:val="24"/>
        </w:rPr>
      </w:pPr>
      <w:r w:rsidRPr="00670830">
        <w:rPr>
          <w:rFonts w:ascii="Arial" w:eastAsia="Arial Unicode MS" w:hAnsi="Arial" w:cs="Arial"/>
          <w:i/>
          <w:sz w:val="24"/>
          <w:szCs w:val="24"/>
        </w:rPr>
        <w:t>t= Horizonte de tiempo</w:t>
      </w:r>
    </w:p>
    <w:p w:rsidR="00F8751B" w:rsidRPr="00670830" w:rsidRDefault="00F8751B" w:rsidP="00670830">
      <w:pPr>
        <w:spacing w:before="100" w:beforeAutospacing="1" w:after="100" w:afterAutospacing="1" w:line="360" w:lineRule="auto"/>
        <w:ind w:left="851"/>
        <w:jc w:val="both"/>
        <w:rPr>
          <w:rFonts w:ascii="Arial" w:eastAsia="Arial Unicode MS" w:hAnsi="Arial" w:cs="Arial"/>
          <w:i/>
          <w:sz w:val="24"/>
          <w:szCs w:val="24"/>
        </w:rPr>
      </w:pPr>
    </w:p>
    <w:p w:rsidR="00D24C8D" w:rsidRPr="00670830" w:rsidRDefault="00D24C8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Sin embargo, en la práctica se ha observado que la mayoría de los activos no necesariamente siguen un comportamiento aleatorio que se puede aproximar bien por una distribución normal y por lo tanto los resultados que se obtienen al medir el riesgo suponien</w:t>
      </w:r>
      <w:r w:rsidR="00746E29" w:rsidRPr="00670830">
        <w:rPr>
          <w:rFonts w:ascii="Arial" w:eastAsia="Arial Unicode MS" w:hAnsi="Arial" w:cs="Arial"/>
          <w:sz w:val="24"/>
          <w:szCs w:val="24"/>
        </w:rPr>
        <w:t xml:space="preserve">do normalidad, </w:t>
      </w:r>
      <w:r w:rsidRPr="00670830">
        <w:rPr>
          <w:rFonts w:ascii="Arial" w:eastAsia="Arial Unicode MS" w:hAnsi="Arial" w:cs="Arial"/>
          <w:sz w:val="24"/>
          <w:szCs w:val="24"/>
        </w:rPr>
        <w:t>generalmente subestiman el nivel real de riesgo de una cartera.</w:t>
      </w:r>
    </w:p>
    <w:p w:rsidR="000157AA" w:rsidRPr="00670830" w:rsidRDefault="00D24C8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[http://www.banxico.org.mx/sistema-financiero/material-educativo/intermedio/riesgos/%7BA5059B92-176D-0BB6-2958-7257E2799FAD%7D.pdf</w:t>
      </w:r>
      <w:r w:rsidR="000157AA" w:rsidRPr="00670830">
        <w:rPr>
          <w:rFonts w:ascii="Arial" w:eastAsia="Arial Unicode MS" w:hAnsi="Arial" w:cs="Arial"/>
          <w:sz w:val="24"/>
          <w:szCs w:val="24"/>
        </w:rPr>
        <w:t>]</w:t>
      </w:r>
    </w:p>
    <w:p w:rsidR="00BB3862" w:rsidRPr="00670830" w:rsidRDefault="00BB3862" w:rsidP="00670830">
      <w:pPr>
        <w:spacing w:before="100" w:beforeAutospacing="1" w:after="100" w:afterAutospacing="1" w:line="360" w:lineRule="auto"/>
        <w:jc w:val="both"/>
        <w:rPr>
          <w:rFonts w:ascii="Arial" w:eastAsia="Arial Unicode MS" w:hAnsi="Arial" w:cs="Arial"/>
          <w:sz w:val="24"/>
          <w:szCs w:val="24"/>
        </w:rPr>
      </w:pPr>
    </w:p>
    <w:p w:rsidR="004C7847" w:rsidRPr="00670830" w:rsidRDefault="004C7847" w:rsidP="00670830">
      <w:pPr>
        <w:pStyle w:val="Ttulo5"/>
        <w:spacing w:before="100" w:beforeAutospacing="1" w:after="100" w:afterAutospacing="1" w:line="360" w:lineRule="auto"/>
        <w:rPr>
          <w:rFonts w:ascii="Arial" w:eastAsia="Arial Unicode MS" w:hAnsi="Arial" w:cs="Arial"/>
          <w:b/>
          <w:color w:val="auto"/>
          <w:sz w:val="24"/>
          <w:szCs w:val="24"/>
        </w:rPr>
      </w:pPr>
      <w:r w:rsidRPr="00670830">
        <w:rPr>
          <w:rFonts w:ascii="Arial" w:eastAsia="Arial Unicode MS" w:hAnsi="Arial" w:cs="Arial"/>
          <w:b/>
          <w:color w:val="auto"/>
          <w:sz w:val="24"/>
          <w:szCs w:val="24"/>
        </w:rPr>
        <w:t>3.4.1.1.1. Método Delta – Normal</w:t>
      </w:r>
    </w:p>
    <w:p w:rsidR="00C747B8" w:rsidRPr="00670830" w:rsidRDefault="00C747B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Cuando se asume que los factores de riesgo se distribuyen normalmente y las posiciones pueden ser representadas por el cambio en sus exposiciones, el cálculo del </w:t>
      </w:r>
      <w:proofErr w:type="spellStart"/>
      <w:r w:rsidRPr="00670830">
        <w:rPr>
          <w:rFonts w:ascii="Arial" w:eastAsia="Arial Unicode MS" w:hAnsi="Arial" w:cs="Arial"/>
          <w:sz w:val="24"/>
          <w:szCs w:val="24"/>
        </w:rPr>
        <w:t>VaR</w:t>
      </w:r>
      <w:proofErr w:type="spellEnd"/>
      <w:r w:rsidRPr="00670830">
        <w:rPr>
          <w:rFonts w:ascii="Arial" w:eastAsia="Arial Unicode MS" w:hAnsi="Arial" w:cs="Arial"/>
          <w:sz w:val="24"/>
          <w:szCs w:val="24"/>
        </w:rPr>
        <w:t xml:space="preserve"> se simplifica bastante.</w:t>
      </w:r>
    </w:p>
    <w:p w:rsidR="00E2282C" w:rsidRPr="00670830" w:rsidRDefault="00C747B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Si tenemos </w:t>
      </w:r>
      <w:r w:rsidRPr="00670830">
        <w:rPr>
          <w:rFonts w:ascii="Arial" w:eastAsia="Arial Unicode MS" w:hAnsi="Arial" w:cs="Arial"/>
          <w:i/>
          <w:sz w:val="24"/>
          <w:szCs w:val="24"/>
        </w:rPr>
        <w:t>N</w:t>
      </w:r>
      <w:r w:rsidRPr="00670830">
        <w:rPr>
          <w:rFonts w:ascii="Arial" w:eastAsia="Arial Unicode MS" w:hAnsi="Arial" w:cs="Arial"/>
          <w:sz w:val="24"/>
          <w:szCs w:val="24"/>
        </w:rPr>
        <w:t xml:space="preserve"> factores de riesgo, el retorno esperado de</w:t>
      </w:r>
      <w:r w:rsidR="0049623C" w:rsidRPr="00670830">
        <w:rPr>
          <w:rFonts w:ascii="Arial" w:eastAsia="Arial Unicode MS" w:hAnsi="Arial" w:cs="Arial"/>
          <w:sz w:val="24"/>
          <w:szCs w:val="24"/>
        </w:rPr>
        <w:t xml:space="preserve"> </w:t>
      </w:r>
      <w:r w:rsidRPr="00670830">
        <w:rPr>
          <w:rFonts w:ascii="Arial" w:eastAsia="Arial Unicode MS" w:hAnsi="Arial" w:cs="Arial"/>
          <w:sz w:val="24"/>
          <w:szCs w:val="24"/>
        </w:rPr>
        <w:t>l</w:t>
      </w:r>
      <w:r w:rsidR="0049623C" w:rsidRPr="00670830">
        <w:rPr>
          <w:rFonts w:ascii="Arial" w:eastAsia="Arial Unicode MS" w:hAnsi="Arial" w:cs="Arial"/>
          <w:sz w:val="24"/>
          <w:szCs w:val="24"/>
        </w:rPr>
        <w:t>a cartera</w:t>
      </w:r>
      <w:r w:rsidRPr="00670830">
        <w:rPr>
          <w:rFonts w:ascii="Arial" w:eastAsia="Arial Unicode MS" w:hAnsi="Arial" w:cs="Arial"/>
          <w:sz w:val="24"/>
          <w:szCs w:val="24"/>
        </w:rPr>
        <w:t xml:space="preserve"> está dado por:</w:t>
      </w:r>
    </w:p>
    <w:p w:rsidR="00C747B8" w:rsidRPr="00670830" w:rsidRDefault="00AC26BD" w:rsidP="00670830">
      <w:pPr>
        <w:spacing w:before="100" w:beforeAutospacing="1" w:after="100" w:afterAutospacing="1" w:line="360" w:lineRule="auto"/>
        <w:jc w:val="both"/>
        <w:rPr>
          <w:rFonts w:ascii="Arial" w:eastAsia="Arial Unicode MS" w:hAnsi="Arial" w:cs="Arial"/>
          <w:sz w:val="24"/>
          <w:szCs w:val="24"/>
        </w:rPr>
      </w:pPr>
      <m:oMathPara>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p,t+1</m:t>
              </m:r>
            </m:sub>
          </m:sSub>
          <m:r>
            <w:rPr>
              <w:rFonts w:ascii="Cambria Math" w:eastAsia="Arial Unicode MS" w:hAnsi="Cambria Math" w:cs="Arial"/>
              <w:sz w:val="24"/>
              <w:szCs w:val="24"/>
            </w:rPr>
            <m:t>=</m:t>
          </m:r>
          <m:nary>
            <m:naryPr>
              <m:chr m:val="∑"/>
              <m:limLoc m:val="undOvr"/>
              <m:ctrlPr>
                <w:rPr>
                  <w:rFonts w:ascii="Cambria Math" w:eastAsia="Arial Unicode MS" w:hAnsi="Cambria Math" w:cs="Arial"/>
                  <w:i/>
                  <w:sz w:val="24"/>
                  <w:szCs w:val="24"/>
                </w:rPr>
              </m:ctrlPr>
            </m:naryPr>
            <m:sub>
              <m:r>
                <w:rPr>
                  <w:rFonts w:ascii="Cambria Math" w:eastAsia="Arial Unicode MS" w:hAnsi="Cambria Math" w:cs="Arial"/>
                  <w:sz w:val="24"/>
                  <w:szCs w:val="24"/>
                </w:rPr>
                <m:t>i=1</m:t>
              </m:r>
            </m:sub>
            <m:sup>
              <m:r>
                <w:rPr>
                  <w:rFonts w:ascii="Cambria Math" w:eastAsia="Arial Unicode MS" w:hAnsi="Cambria Math" w:cs="Arial"/>
                  <w:sz w:val="24"/>
                  <w:szCs w:val="24"/>
                </w:rPr>
                <m:t>N</m:t>
              </m:r>
            </m:sup>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w</m:t>
                  </m:r>
                </m:e>
                <m:sub>
                  <m:r>
                    <w:rPr>
                      <w:rFonts w:ascii="Cambria Math" w:eastAsia="Arial Unicode MS" w:hAnsi="Cambria Math" w:cs="Arial"/>
                      <w:sz w:val="24"/>
                      <w:szCs w:val="24"/>
                    </w:rPr>
                    <m:t>i,t</m:t>
                  </m:r>
                </m:sub>
              </m:sSub>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i,t+1</m:t>
                  </m:r>
                </m:sub>
              </m:sSub>
            </m:e>
          </m:nary>
        </m:oMath>
      </m:oMathPara>
    </w:p>
    <w:p w:rsidR="005B7B08" w:rsidRPr="00670830" w:rsidRDefault="005B7B0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En donde los pesos </w:t>
      </w:r>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w</m:t>
            </m:r>
          </m:e>
          <m:sub>
            <m:r>
              <w:rPr>
                <w:rFonts w:ascii="Cambria Math" w:eastAsia="Arial Unicode MS" w:hAnsi="Cambria Math" w:cs="Arial"/>
                <w:sz w:val="24"/>
                <w:szCs w:val="24"/>
              </w:rPr>
              <m:t>i,t</m:t>
            </m:r>
          </m:sub>
        </m:sSub>
      </m:oMath>
      <w:r w:rsidRPr="00670830">
        <w:rPr>
          <w:rFonts w:ascii="Arial" w:eastAsia="Arial Unicode MS" w:hAnsi="Arial" w:cs="Arial"/>
          <w:sz w:val="24"/>
          <w:szCs w:val="24"/>
        </w:rPr>
        <w:t xml:space="preserve"> están indexados al tiempo para ind</w:t>
      </w:r>
      <w:proofErr w:type="spellStart"/>
      <w:r w:rsidR="0049623C" w:rsidRPr="00670830">
        <w:rPr>
          <w:rFonts w:ascii="Arial" w:eastAsia="Arial Unicode MS" w:hAnsi="Arial" w:cs="Arial"/>
          <w:sz w:val="24"/>
          <w:szCs w:val="24"/>
        </w:rPr>
        <w:t>icar</w:t>
      </w:r>
      <w:proofErr w:type="spellEnd"/>
      <w:r w:rsidR="0049623C" w:rsidRPr="00670830">
        <w:rPr>
          <w:rFonts w:ascii="Arial" w:eastAsia="Arial Unicode MS" w:hAnsi="Arial" w:cs="Arial"/>
          <w:sz w:val="24"/>
          <w:szCs w:val="24"/>
        </w:rPr>
        <w:t xml:space="preserve"> que se trata de la cartera</w:t>
      </w:r>
      <w:r w:rsidRPr="00670830">
        <w:rPr>
          <w:rFonts w:ascii="Arial" w:eastAsia="Arial Unicode MS" w:hAnsi="Arial" w:cs="Arial"/>
          <w:sz w:val="24"/>
          <w:szCs w:val="24"/>
        </w:rPr>
        <w:t xml:space="preserve"> actual.</w:t>
      </w:r>
    </w:p>
    <w:p w:rsidR="005B7B08" w:rsidRPr="00670830" w:rsidRDefault="005B7B0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Utilizando connotación de mat</w:t>
      </w:r>
      <w:r w:rsidR="0049623C" w:rsidRPr="00670830">
        <w:rPr>
          <w:rFonts w:ascii="Arial" w:eastAsia="Arial Unicode MS" w:hAnsi="Arial" w:cs="Arial"/>
          <w:sz w:val="24"/>
          <w:szCs w:val="24"/>
        </w:rPr>
        <w:t>rices la varianza de la cartera</w:t>
      </w:r>
      <w:r w:rsidRPr="00670830">
        <w:rPr>
          <w:rFonts w:ascii="Arial" w:eastAsia="Arial Unicode MS" w:hAnsi="Arial" w:cs="Arial"/>
          <w:sz w:val="24"/>
          <w:szCs w:val="24"/>
        </w:rPr>
        <w:t xml:space="preserve"> está dada por:</w:t>
      </w:r>
    </w:p>
    <w:p w:rsidR="005B7B08" w:rsidRPr="00670830" w:rsidRDefault="00AC26BD" w:rsidP="00670830">
      <w:pPr>
        <w:spacing w:before="100" w:beforeAutospacing="1" w:after="100" w:afterAutospacing="1" w:line="360" w:lineRule="auto"/>
        <w:jc w:val="center"/>
        <w:rPr>
          <w:rFonts w:ascii="Arial" w:eastAsia="Arial Unicode MS" w:hAnsi="Arial" w:cs="Arial"/>
          <w:sz w:val="24"/>
          <w:szCs w:val="24"/>
        </w:rPr>
      </w:pPr>
      <m:oMathPara>
        <m:oMath>
          <m:sSup>
            <m:sSupPr>
              <m:ctrlPr>
                <w:rPr>
                  <w:rFonts w:ascii="Cambria Math" w:eastAsia="Arial Unicode MS" w:hAnsi="Cambria Math" w:cs="Arial"/>
                  <w:i/>
                  <w:sz w:val="24"/>
                  <w:szCs w:val="24"/>
                </w:rPr>
              </m:ctrlPr>
            </m:sSupPr>
            <m:e>
              <m:r>
                <w:rPr>
                  <w:rFonts w:ascii="Cambria Math" w:eastAsia="Arial Unicode MS" w:hAnsi="Cambria Math" w:cs="Arial"/>
                  <w:sz w:val="24"/>
                  <w:szCs w:val="24"/>
                </w:rPr>
                <m:t>σ</m:t>
              </m:r>
            </m:e>
            <m:sup>
              <m:r>
                <w:rPr>
                  <w:rFonts w:ascii="Cambria Math" w:eastAsia="Arial Unicode MS" w:hAnsi="Cambria Math" w:cs="Arial"/>
                  <w:sz w:val="24"/>
                  <w:szCs w:val="24"/>
                </w:rPr>
                <m:t>2</m:t>
              </m:r>
            </m:sup>
          </m:sSup>
          <m:d>
            <m:dPr>
              <m:ctrlPr>
                <w:rPr>
                  <w:rFonts w:ascii="Cambria Math" w:eastAsia="Arial Unicode MS" w:hAnsi="Cambria Math" w:cs="Arial"/>
                  <w:i/>
                  <w:sz w:val="24"/>
                  <w:szCs w:val="24"/>
                </w:rPr>
              </m:ctrlPr>
            </m:dPr>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p,t+1</m:t>
                  </m:r>
                </m:sub>
              </m:sSub>
            </m:e>
          </m:d>
          <m:r>
            <w:rPr>
              <w:rFonts w:ascii="Cambria Math" w:eastAsia="Arial Unicode MS" w:hAnsi="Cambria Math" w:cs="Arial"/>
              <w:sz w:val="24"/>
              <w:szCs w:val="24"/>
            </w:rPr>
            <m:t>=</m:t>
          </m:r>
          <m:sSubSup>
            <m:sSubSupPr>
              <m:ctrlPr>
                <w:rPr>
                  <w:rFonts w:ascii="Cambria Math" w:eastAsia="Arial Unicode MS" w:hAnsi="Cambria Math" w:cs="Arial"/>
                  <w:i/>
                  <w:sz w:val="24"/>
                  <w:szCs w:val="24"/>
                </w:rPr>
              </m:ctrlPr>
            </m:sSubSupPr>
            <m:e>
              <m:r>
                <w:rPr>
                  <w:rFonts w:ascii="Cambria Math" w:eastAsia="Arial Unicode MS" w:hAnsi="Cambria Math" w:cs="Arial"/>
                  <w:sz w:val="24"/>
                  <w:szCs w:val="24"/>
                </w:rPr>
                <m:t>w</m:t>
              </m:r>
            </m:e>
            <m:sub>
              <m:r>
                <w:rPr>
                  <w:rFonts w:ascii="Cambria Math" w:eastAsia="Arial Unicode MS" w:hAnsi="Cambria Math" w:cs="Arial"/>
                  <w:sz w:val="24"/>
                  <w:szCs w:val="24"/>
                </w:rPr>
                <m:t>t</m:t>
              </m:r>
            </m:sub>
            <m:sup>
              <m:r>
                <w:rPr>
                  <w:rFonts w:ascii="Cambria Math" w:eastAsia="Arial Unicode MS" w:hAnsi="Cambria Math" w:cs="Arial"/>
                  <w:sz w:val="24"/>
                  <w:szCs w:val="24"/>
                </w:rPr>
                <m:t>'</m:t>
              </m:r>
            </m:sup>
          </m:sSubSup>
          <m:nary>
            <m:naryPr>
              <m:chr m:val="∑"/>
              <m:limLoc m:val="subSup"/>
              <m:supHide m:val="1"/>
              <m:ctrlPr>
                <w:rPr>
                  <w:rFonts w:ascii="Cambria Math" w:eastAsia="Arial Unicode MS" w:hAnsi="Cambria Math" w:cs="Arial"/>
                  <w:i/>
                  <w:sz w:val="24"/>
                  <w:szCs w:val="24"/>
                </w:rPr>
              </m:ctrlPr>
            </m:naryPr>
            <m:sub>
              <m:r>
                <w:rPr>
                  <w:rFonts w:ascii="Cambria Math" w:eastAsia="Arial Unicode MS" w:hAnsi="Cambria Math" w:cs="Arial"/>
                  <w:sz w:val="24"/>
                  <w:szCs w:val="24"/>
                </w:rPr>
                <m:t>t+1</m:t>
              </m:r>
            </m:sub>
            <m:sup/>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w</m:t>
                  </m:r>
                </m:e>
                <m:sub>
                  <m:r>
                    <w:rPr>
                      <w:rFonts w:ascii="Cambria Math" w:eastAsia="Arial Unicode MS" w:hAnsi="Cambria Math" w:cs="Arial"/>
                      <w:sz w:val="24"/>
                      <w:szCs w:val="24"/>
                    </w:rPr>
                    <m:t>t</m:t>
                  </m:r>
                </m:sub>
              </m:sSub>
            </m:e>
          </m:nary>
        </m:oMath>
      </m:oMathPara>
    </w:p>
    <w:p w:rsidR="004C7847" w:rsidRPr="00670830" w:rsidRDefault="005B7B08" w:rsidP="00670830">
      <w:pPr>
        <w:spacing w:before="100" w:beforeAutospacing="1" w:after="100" w:afterAutospacing="1" w:line="360" w:lineRule="auto"/>
        <w:rPr>
          <w:rFonts w:ascii="Arial" w:eastAsia="Arial Unicode MS" w:hAnsi="Arial" w:cs="Arial"/>
          <w:sz w:val="24"/>
          <w:szCs w:val="24"/>
        </w:rPr>
      </w:pPr>
      <w:r w:rsidRPr="00670830">
        <w:rPr>
          <w:rFonts w:ascii="Arial" w:eastAsia="Arial Unicode MS" w:hAnsi="Arial" w:cs="Arial"/>
          <w:sz w:val="24"/>
          <w:szCs w:val="24"/>
        </w:rPr>
        <w:t xml:space="preserve">Donde </w:t>
      </w:r>
      <m:oMath>
        <m:sSub>
          <m:sSubPr>
            <m:ctrlPr>
              <w:rPr>
                <w:rFonts w:ascii="Cambria Math" w:eastAsia="Arial Unicode MS" w:hAnsi="Cambria Math" w:cs="Arial"/>
                <w:i/>
                <w:sz w:val="24"/>
                <w:szCs w:val="24"/>
              </w:rPr>
            </m:ctrlPr>
          </m:sSubPr>
          <m:e>
            <m:r>
              <m:rPr>
                <m:sty m:val="p"/>
              </m:rPr>
              <w:rPr>
                <w:rFonts w:ascii="Cambria Math" w:eastAsia="Arial Unicode MS" w:hAnsi="Cambria Math" w:cs="Arial"/>
                <w:sz w:val="24"/>
                <w:szCs w:val="24"/>
              </w:rPr>
              <m:t>Σ</m:t>
            </m:r>
          </m:e>
          <m:sub>
            <m:r>
              <w:rPr>
                <w:rFonts w:ascii="Cambria Math" w:eastAsia="Arial Unicode MS" w:hAnsi="Cambria Math" w:cs="Arial"/>
                <w:sz w:val="24"/>
                <w:szCs w:val="24"/>
              </w:rPr>
              <m:t>t+1</m:t>
            </m:r>
          </m:sub>
        </m:sSub>
      </m:oMath>
      <w:r w:rsidR="00D87F1A" w:rsidRPr="00670830">
        <w:rPr>
          <w:rFonts w:ascii="Arial" w:eastAsia="Arial Unicode MS" w:hAnsi="Arial" w:cs="Arial"/>
          <w:sz w:val="24"/>
          <w:szCs w:val="24"/>
        </w:rPr>
        <w:t xml:space="preserve"> es la matriz de covarianzas  pronosticada por el horizonte de tiempo determinado.</w:t>
      </w:r>
    </w:p>
    <w:p w:rsidR="00396BD5" w:rsidRPr="00670830" w:rsidRDefault="00D87F1A" w:rsidP="00670830">
      <w:pPr>
        <w:spacing w:before="100" w:beforeAutospacing="1" w:after="100" w:afterAutospacing="1" w:line="360" w:lineRule="auto"/>
        <w:rPr>
          <w:rFonts w:ascii="Arial" w:eastAsia="Arial Unicode MS" w:hAnsi="Arial" w:cs="Arial"/>
          <w:sz w:val="24"/>
          <w:szCs w:val="24"/>
        </w:rPr>
      </w:pPr>
      <w:r w:rsidRPr="00670830">
        <w:rPr>
          <w:rFonts w:ascii="Arial" w:eastAsia="Arial Unicode MS" w:hAnsi="Arial" w:cs="Arial"/>
          <w:sz w:val="24"/>
          <w:szCs w:val="24"/>
        </w:rPr>
        <w:t xml:space="preserve">El </w:t>
      </w:r>
      <w:proofErr w:type="spellStart"/>
      <w:r w:rsidR="0049623C" w:rsidRPr="00670830">
        <w:rPr>
          <w:rFonts w:ascii="Arial" w:eastAsia="Arial Unicode MS" w:hAnsi="Arial" w:cs="Arial"/>
          <w:sz w:val="24"/>
          <w:szCs w:val="24"/>
        </w:rPr>
        <w:t>VaR</w:t>
      </w:r>
      <w:proofErr w:type="spellEnd"/>
      <w:r w:rsidR="0049623C" w:rsidRPr="00670830">
        <w:rPr>
          <w:rFonts w:ascii="Arial" w:eastAsia="Arial Unicode MS" w:hAnsi="Arial" w:cs="Arial"/>
          <w:sz w:val="24"/>
          <w:szCs w:val="24"/>
        </w:rPr>
        <w:t xml:space="preserve"> de la cartera</w:t>
      </w:r>
      <w:r w:rsidR="00BB3862" w:rsidRPr="00670830">
        <w:rPr>
          <w:rFonts w:ascii="Arial" w:eastAsia="Arial Unicode MS" w:hAnsi="Arial" w:cs="Arial"/>
          <w:sz w:val="24"/>
          <w:szCs w:val="24"/>
        </w:rPr>
        <w:t xml:space="preserve"> es entonces:</w:t>
      </w:r>
    </w:p>
    <w:p w:rsidR="00D87F1A" w:rsidRPr="00670830" w:rsidRDefault="00D87F1A" w:rsidP="00670830">
      <w:pPr>
        <w:spacing w:before="100" w:beforeAutospacing="1" w:after="100" w:afterAutospacing="1" w:line="360" w:lineRule="auto"/>
        <w:rPr>
          <w:rFonts w:ascii="Arial" w:eastAsia="Arial Unicode MS" w:hAnsi="Arial" w:cs="Arial"/>
          <w:sz w:val="24"/>
          <w:szCs w:val="24"/>
        </w:rPr>
      </w:pPr>
      <m:oMathPara>
        <m:oMath>
          <m:r>
            <w:rPr>
              <w:rFonts w:ascii="Cambria Math" w:eastAsia="Arial Unicode MS" w:hAnsi="Cambria Math" w:cs="Arial"/>
              <w:sz w:val="24"/>
              <w:szCs w:val="24"/>
            </w:rPr>
            <m:t>VaR=α</m:t>
          </m:r>
          <m:rad>
            <m:radPr>
              <m:degHide m:val="1"/>
              <m:ctrlPr>
                <w:rPr>
                  <w:rFonts w:ascii="Cambria Math" w:eastAsia="Arial Unicode MS" w:hAnsi="Cambria Math" w:cs="Arial"/>
                  <w:i/>
                  <w:sz w:val="24"/>
                  <w:szCs w:val="24"/>
                </w:rPr>
              </m:ctrlPr>
            </m:radPr>
            <m:deg/>
            <m:e>
              <m:sSubSup>
                <m:sSubSupPr>
                  <m:ctrlPr>
                    <w:rPr>
                      <w:rFonts w:ascii="Cambria Math" w:eastAsia="Arial Unicode MS" w:hAnsi="Cambria Math" w:cs="Arial"/>
                      <w:i/>
                      <w:sz w:val="24"/>
                      <w:szCs w:val="24"/>
                    </w:rPr>
                  </m:ctrlPr>
                </m:sSubSupPr>
                <m:e>
                  <m:r>
                    <w:rPr>
                      <w:rFonts w:ascii="Cambria Math" w:eastAsia="Arial Unicode MS" w:hAnsi="Cambria Math" w:cs="Arial"/>
                      <w:sz w:val="24"/>
                      <w:szCs w:val="24"/>
                    </w:rPr>
                    <m:t>x</m:t>
                  </m:r>
                </m:e>
                <m:sub>
                  <m:r>
                    <w:rPr>
                      <w:rFonts w:ascii="Cambria Math" w:eastAsia="Arial Unicode MS" w:hAnsi="Cambria Math" w:cs="Arial"/>
                      <w:sz w:val="24"/>
                      <w:szCs w:val="24"/>
                    </w:rPr>
                    <m:t>t</m:t>
                  </m:r>
                </m:sub>
                <m:sup>
                  <m:r>
                    <w:rPr>
                      <w:rFonts w:ascii="Cambria Math" w:eastAsia="Arial Unicode MS" w:hAnsi="Cambria Math" w:cs="Arial"/>
                      <w:sz w:val="24"/>
                      <w:szCs w:val="24"/>
                    </w:rPr>
                    <m:t>'</m:t>
                  </m:r>
                </m:sup>
              </m:sSubSup>
              <m:sSub>
                <m:sSubPr>
                  <m:ctrlPr>
                    <w:rPr>
                      <w:rFonts w:ascii="Cambria Math" w:eastAsia="Arial Unicode MS" w:hAnsi="Cambria Math" w:cs="Arial"/>
                      <w:i/>
                      <w:sz w:val="24"/>
                      <w:szCs w:val="24"/>
                    </w:rPr>
                  </m:ctrlPr>
                </m:sSubPr>
                <m:e>
                  <m:r>
                    <m:rPr>
                      <m:sty m:val="p"/>
                    </m:rPr>
                    <w:rPr>
                      <w:rFonts w:ascii="Cambria Math" w:eastAsia="Arial Unicode MS" w:hAnsi="Cambria Math" w:cs="Arial"/>
                      <w:sz w:val="24"/>
                      <w:szCs w:val="24"/>
                    </w:rPr>
                    <m:t>Σ</m:t>
                  </m:r>
                </m:e>
                <m:sub>
                  <m:r>
                    <w:rPr>
                      <w:rFonts w:ascii="Cambria Math" w:eastAsia="Arial Unicode MS" w:hAnsi="Cambria Math" w:cs="Arial"/>
                      <w:sz w:val="24"/>
                      <w:szCs w:val="24"/>
                    </w:rPr>
                    <m:t>t+1</m:t>
                  </m:r>
                </m:sub>
              </m:sSub>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x</m:t>
                  </m:r>
                </m:e>
                <m:sub>
                  <m:r>
                    <w:rPr>
                      <w:rFonts w:ascii="Cambria Math" w:eastAsia="Arial Unicode MS" w:hAnsi="Cambria Math" w:cs="Arial"/>
                      <w:sz w:val="24"/>
                      <w:szCs w:val="24"/>
                    </w:rPr>
                    <m:t>t</m:t>
                  </m:r>
                </m:sub>
              </m:sSub>
            </m:e>
          </m:rad>
          <m:r>
            <w:rPr>
              <w:rFonts w:ascii="Cambria Math" w:eastAsia="Arial Unicode MS" w:hAnsi="Cambria Math" w:cs="Arial"/>
              <w:sz w:val="24"/>
              <w:szCs w:val="24"/>
            </w:rPr>
            <m:t>=αW</m:t>
          </m:r>
          <m:rad>
            <m:radPr>
              <m:degHide m:val="1"/>
              <m:ctrlPr>
                <w:rPr>
                  <w:rFonts w:ascii="Cambria Math" w:eastAsia="Arial Unicode MS" w:hAnsi="Cambria Math" w:cs="Arial"/>
                  <w:i/>
                  <w:sz w:val="24"/>
                  <w:szCs w:val="24"/>
                </w:rPr>
              </m:ctrlPr>
            </m:radPr>
            <m:deg/>
            <m:e>
              <m:sSubSup>
                <m:sSubSupPr>
                  <m:ctrlPr>
                    <w:rPr>
                      <w:rFonts w:ascii="Cambria Math" w:eastAsia="Arial Unicode MS" w:hAnsi="Cambria Math" w:cs="Arial"/>
                      <w:i/>
                      <w:sz w:val="24"/>
                      <w:szCs w:val="24"/>
                    </w:rPr>
                  </m:ctrlPr>
                </m:sSubSupPr>
                <m:e>
                  <m:r>
                    <w:rPr>
                      <w:rFonts w:ascii="Cambria Math" w:eastAsia="Arial Unicode MS" w:hAnsi="Cambria Math" w:cs="Arial"/>
                      <w:sz w:val="24"/>
                      <w:szCs w:val="24"/>
                    </w:rPr>
                    <m:t>w</m:t>
                  </m:r>
                </m:e>
                <m:sub>
                  <m:r>
                    <w:rPr>
                      <w:rFonts w:ascii="Cambria Math" w:eastAsia="Arial Unicode MS" w:hAnsi="Cambria Math" w:cs="Arial"/>
                      <w:sz w:val="24"/>
                      <w:szCs w:val="24"/>
                    </w:rPr>
                    <m:t>t</m:t>
                  </m:r>
                </m:sub>
                <m:sup>
                  <m:r>
                    <w:rPr>
                      <w:rFonts w:ascii="Cambria Math" w:eastAsia="Arial Unicode MS" w:hAnsi="Cambria Math" w:cs="Arial"/>
                      <w:sz w:val="24"/>
                      <w:szCs w:val="24"/>
                    </w:rPr>
                    <m:t>'</m:t>
                  </m:r>
                </m:sup>
              </m:sSubSup>
              <m:sSub>
                <m:sSubPr>
                  <m:ctrlPr>
                    <w:rPr>
                      <w:rFonts w:ascii="Cambria Math" w:eastAsia="Arial Unicode MS" w:hAnsi="Cambria Math" w:cs="Arial"/>
                      <w:i/>
                      <w:sz w:val="24"/>
                      <w:szCs w:val="24"/>
                    </w:rPr>
                  </m:ctrlPr>
                </m:sSubPr>
                <m:e>
                  <m:r>
                    <m:rPr>
                      <m:sty m:val="p"/>
                    </m:rPr>
                    <w:rPr>
                      <w:rFonts w:ascii="Cambria Math" w:eastAsia="Arial Unicode MS" w:hAnsi="Cambria Math" w:cs="Arial"/>
                      <w:sz w:val="24"/>
                      <w:szCs w:val="24"/>
                    </w:rPr>
                    <m:t>Σ</m:t>
                  </m:r>
                </m:e>
                <m:sub>
                  <m:r>
                    <w:rPr>
                      <w:rFonts w:ascii="Cambria Math" w:eastAsia="Arial Unicode MS" w:hAnsi="Cambria Math" w:cs="Arial"/>
                      <w:sz w:val="24"/>
                      <w:szCs w:val="24"/>
                    </w:rPr>
                    <m:t>t+1</m:t>
                  </m:r>
                </m:sub>
              </m:sSub>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w</m:t>
                  </m:r>
                </m:e>
                <m:sub>
                  <m:r>
                    <w:rPr>
                      <w:rFonts w:ascii="Cambria Math" w:eastAsia="Arial Unicode MS" w:hAnsi="Cambria Math" w:cs="Arial"/>
                      <w:sz w:val="24"/>
                      <w:szCs w:val="24"/>
                    </w:rPr>
                    <m:t>t</m:t>
                  </m:r>
                </m:sub>
              </m:sSub>
            </m:e>
          </m:rad>
        </m:oMath>
      </m:oMathPara>
    </w:p>
    <w:p w:rsidR="00071EC1" w:rsidRPr="00670830" w:rsidRDefault="00D87F1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Donde </w:t>
      </w:r>
      <m:oMath>
        <m:r>
          <w:rPr>
            <w:rFonts w:ascii="Cambria Math" w:eastAsia="Arial Unicode MS" w:hAnsi="Cambria Math" w:cs="Arial"/>
            <w:sz w:val="24"/>
            <w:szCs w:val="24"/>
          </w:rPr>
          <m:t>α</m:t>
        </m:r>
      </m:oMath>
      <w:r w:rsidRPr="00670830">
        <w:rPr>
          <w:rFonts w:ascii="Arial" w:eastAsia="Arial Unicode MS" w:hAnsi="Arial" w:cs="Arial"/>
          <w:sz w:val="24"/>
          <w:szCs w:val="24"/>
        </w:rPr>
        <w:t xml:space="preserve"> es el complemento al nivel de confianza dado de una distribución normal o de alguna otra distribución paramétrica.</w:t>
      </w:r>
      <w:r w:rsidR="001329CA" w:rsidRPr="00670830">
        <w:rPr>
          <w:rFonts w:ascii="Arial" w:eastAsia="Arial Unicode MS" w:hAnsi="Arial" w:cs="Arial"/>
          <w:sz w:val="24"/>
          <w:szCs w:val="24"/>
        </w:rPr>
        <w:t xml:space="preserve"> [</w:t>
      </w:r>
      <w:proofErr w:type="spellStart"/>
      <w:r w:rsidR="001329CA" w:rsidRPr="00670830">
        <w:rPr>
          <w:rFonts w:ascii="Arial" w:eastAsia="Arial Unicode MS" w:hAnsi="Arial" w:cs="Arial"/>
          <w:sz w:val="24"/>
          <w:szCs w:val="24"/>
        </w:rPr>
        <w:t>Jorion</w:t>
      </w:r>
      <w:proofErr w:type="spellEnd"/>
      <w:r w:rsidR="001329CA" w:rsidRPr="00670830">
        <w:rPr>
          <w:rFonts w:ascii="Arial" w:eastAsia="Arial Unicode MS" w:hAnsi="Arial" w:cs="Arial"/>
          <w:sz w:val="24"/>
          <w:szCs w:val="24"/>
        </w:rPr>
        <w:t>, 2007]</w:t>
      </w:r>
    </w:p>
    <w:p w:rsidR="004C7847" w:rsidRPr="00670830" w:rsidRDefault="004C7847" w:rsidP="00670830">
      <w:pPr>
        <w:pStyle w:val="Ttulo4"/>
        <w:tabs>
          <w:tab w:val="center" w:pos="4419"/>
        </w:tabs>
        <w:spacing w:before="100" w:beforeAutospacing="1" w:after="100" w:afterAutospacing="1" w:line="360" w:lineRule="auto"/>
        <w:jc w:val="both"/>
        <w:rPr>
          <w:rFonts w:ascii="Arial" w:eastAsia="Arial Unicode MS" w:hAnsi="Arial" w:cs="Arial"/>
          <w:i w:val="0"/>
          <w:color w:val="auto"/>
          <w:sz w:val="24"/>
          <w:szCs w:val="24"/>
        </w:rPr>
      </w:pPr>
      <w:r w:rsidRPr="00670830">
        <w:rPr>
          <w:rFonts w:ascii="Arial" w:eastAsia="Arial Unicode MS" w:hAnsi="Arial" w:cs="Arial"/>
          <w:i w:val="0"/>
          <w:color w:val="auto"/>
          <w:sz w:val="24"/>
          <w:szCs w:val="24"/>
        </w:rPr>
        <w:t>3.4.1.2. Aproximación no paramétrica</w:t>
      </w:r>
    </w:p>
    <w:p w:rsidR="00E2282C" w:rsidRPr="00670830" w:rsidRDefault="001B261B"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Consiste en utilizar una serie histórica de precios de l</w:t>
      </w:r>
      <w:r w:rsidR="0049623C" w:rsidRPr="00670830">
        <w:rPr>
          <w:rFonts w:ascii="Arial" w:eastAsia="Arial Unicode MS" w:hAnsi="Arial" w:cs="Arial"/>
          <w:sz w:val="24"/>
          <w:szCs w:val="24"/>
        </w:rPr>
        <w:t>a posición de riesgo (cartera</w:t>
      </w:r>
      <w:r w:rsidRPr="00670830">
        <w:rPr>
          <w:rFonts w:ascii="Arial" w:eastAsia="Arial Unicode MS" w:hAnsi="Arial" w:cs="Arial"/>
          <w:sz w:val="24"/>
          <w:szCs w:val="24"/>
        </w:rPr>
        <w:t>)</w:t>
      </w:r>
      <w:r w:rsidR="001B18F9" w:rsidRPr="00670830">
        <w:rPr>
          <w:rFonts w:ascii="Arial" w:eastAsia="Arial Unicode MS" w:hAnsi="Arial" w:cs="Arial"/>
          <w:sz w:val="24"/>
          <w:szCs w:val="24"/>
        </w:rPr>
        <w:t xml:space="preserve"> para construir una serie de tiempo de precios y/o rendimientos simulados o hipotéticos, con el supuesto de que</w:t>
      </w:r>
      <w:r w:rsidR="0049623C" w:rsidRPr="00670830">
        <w:rPr>
          <w:rFonts w:ascii="Arial" w:eastAsia="Arial Unicode MS" w:hAnsi="Arial" w:cs="Arial"/>
          <w:sz w:val="24"/>
          <w:szCs w:val="24"/>
        </w:rPr>
        <w:t xml:space="preserve"> se ha conservado la cartera</w:t>
      </w:r>
      <w:r w:rsidR="001B18F9" w:rsidRPr="00670830">
        <w:rPr>
          <w:rFonts w:ascii="Arial" w:eastAsia="Arial Unicode MS" w:hAnsi="Arial" w:cs="Arial"/>
          <w:sz w:val="24"/>
          <w:szCs w:val="24"/>
        </w:rPr>
        <w:t xml:space="preserve"> durante el período de tiempo de la serie histórica.</w:t>
      </w:r>
    </w:p>
    <w:p w:rsidR="00F3095F" w:rsidRPr="00670830" w:rsidRDefault="001B18F9"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Para aplicar esta metodología se deben identificar primero los componente</w:t>
      </w:r>
      <w:r w:rsidR="0049623C" w:rsidRPr="00670830">
        <w:rPr>
          <w:rFonts w:ascii="Arial" w:eastAsia="Arial Unicode MS" w:hAnsi="Arial" w:cs="Arial"/>
          <w:sz w:val="24"/>
          <w:szCs w:val="24"/>
        </w:rPr>
        <w:t>s de los activos de la cartera</w:t>
      </w:r>
      <w:r w:rsidRPr="00670830">
        <w:rPr>
          <w:rFonts w:ascii="Arial" w:eastAsia="Arial Unicode MS" w:hAnsi="Arial" w:cs="Arial"/>
          <w:sz w:val="24"/>
          <w:szCs w:val="24"/>
        </w:rPr>
        <w:t xml:space="preserve"> y reunir los datos de los precios diarios históricos considerando un periodo que oscila entre los 250 y 500 datos. </w:t>
      </w:r>
    </w:p>
    <w:p w:rsidR="001B18F9" w:rsidRPr="00670830" w:rsidRDefault="001B18F9"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A partir del histograma de frecuencias de los rendimientos simulados se calcula el </w:t>
      </w:r>
      <w:proofErr w:type="spellStart"/>
      <w:r w:rsidRPr="00670830">
        <w:rPr>
          <w:rFonts w:ascii="Arial" w:eastAsia="Arial Unicode MS" w:hAnsi="Arial" w:cs="Arial"/>
          <w:sz w:val="24"/>
          <w:szCs w:val="24"/>
        </w:rPr>
        <w:t>cuantil</w:t>
      </w:r>
      <w:proofErr w:type="spellEnd"/>
      <w:r w:rsidRPr="00670830">
        <w:rPr>
          <w:rFonts w:ascii="Arial" w:eastAsia="Arial Unicode MS" w:hAnsi="Arial" w:cs="Arial"/>
          <w:sz w:val="24"/>
          <w:szCs w:val="24"/>
        </w:rPr>
        <w:t xml:space="preserve"> correspondiente de dicho histograma (primer percentil si el nivel de confianza es de 99%).</w:t>
      </w:r>
    </w:p>
    <w:p w:rsidR="007B6D21" w:rsidRPr="00670830" w:rsidRDefault="001B18F9" w:rsidP="00670830">
      <w:pPr>
        <w:spacing w:before="100" w:beforeAutospacing="1" w:after="100" w:afterAutospacing="1" w:line="360" w:lineRule="auto"/>
        <w:rPr>
          <w:rFonts w:ascii="Arial" w:eastAsia="Arial Unicode MS" w:hAnsi="Arial" w:cs="Arial"/>
          <w:sz w:val="24"/>
          <w:szCs w:val="24"/>
        </w:rPr>
      </w:pPr>
      <w:r w:rsidRPr="00670830">
        <w:rPr>
          <w:rFonts w:ascii="Arial" w:eastAsia="Arial Unicode MS" w:hAnsi="Arial" w:cs="Arial"/>
          <w:sz w:val="24"/>
          <w:szCs w:val="24"/>
        </w:rPr>
        <w:t>[De Lara, 2002]</w:t>
      </w:r>
    </w:p>
    <w:p w:rsidR="007F3623" w:rsidRPr="00670830" w:rsidRDefault="007F3623" w:rsidP="00670830">
      <w:pPr>
        <w:spacing w:before="100" w:beforeAutospacing="1" w:after="100" w:afterAutospacing="1" w:line="360" w:lineRule="auto"/>
        <w:rPr>
          <w:rFonts w:ascii="Arial" w:eastAsia="Arial Unicode MS" w:hAnsi="Arial" w:cs="Arial"/>
          <w:sz w:val="24"/>
          <w:szCs w:val="24"/>
        </w:rPr>
      </w:pPr>
    </w:p>
    <w:p w:rsidR="004C7847" w:rsidRPr="00670830" w:rsidRDefault="004C7847" w:rsidP="00670830">
      <w:pPr>
        <w:pStyle w:val="Ttulo5"/>
        <w:spacing w:before="100" w:beforeAutospacing="1" w:after="100" w:afterAutospacing="1" w:line="360" w:lineRule="auto"/>
        <w:rPr>
          <w:rFonts w:ascii="Arial" w:eastAsia="Arial Unicode MS" w:hAnsi="Arial" w:cs="Arial"/>
          <w:b/>
          <w:color w:val="auto"/>
          <w:sz w:val="24"/>
          <w:szCs w:val="24"/>
        </w:rPr>
      </w:pPr>
      <w:r w:rsidRPr="00670830">
        <w:rPr>
          <w:rFonts w:ascii="Arial" w:eastAsia="Arial Unicode MS" w:hAnsi="Arial" w:cs="Arial"/>
          <w:b/>
          <w:color w:val="auto"/>
          <w:sz w:val="24"/>
          <w:szCs w:val="24"/>
        </w:rPr>
        <w:t>3.4.1.2.1. Método de simulación histórica</w:t>
      </w:r>
    </w:p>
    <w:p w:rsidR="00483FA9" w:rsidRPr="00670830" w:rsidRDefault="0005347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La aproximación por simulación histórica es un método no paramétrico en el que no se asume una distribución especifica de los factores de riesgo. Consiste en “regresar en el tiempo” </w:t>
      </w:r>
      <w:r w:rsidR="00483FA9" w:rsidRPr="00670830">
        <w:rPr>
          <w:rFonts w:ascii="Arial" w:eastAsia="Arial Unicode MS" w:hAnsi="Arial" w:cs="Arial"/>
          <w:sz w:val="24"/>
          <w:szCs w:val="24"/>
        </w:rPr>
        <w:t>y considerar los movimientos históricos en las posiciones actuales.</w:t>
      </w:r>
    </w:p>
    <w:p w:rsidR="00483FA9" w:rsidRPr="00670830" w:rsidRDefault="0073101F"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En el caso más simple, este método </w:t>
      </w:r>
      <w:r w:rsidR="00302968" w:rsidRPr="00670830">
        <w:rPr>
          <w:rFonts w:ascii="Arial" w:eastAsia="Arial Unicode MS" w:hAnsi="Arial" w:cs="Arial"/>
          <w:sz w:val="24"/>
          <w:szCs w:val="24"/>
        </w:rPr>
        <w:t>aplica la distribución de los pesos actuales sobre una serie histórica de los retornos de los activos.</w:t>
      </w:r>
    </w:p>
    <w:p w:rsidR="00377868" w:rsidRPr="00670830" w:rsidRDefault="00AC26BD" w:rsidP="00670830">
      <w:pPr>
        <w:spacing w:before="100" w:beforeAutospacing="1" w:after="100" w:afterAutospacing="1" w:line="360" w:lineRule="auto"/>
        <w:jc w:val="both"/>
        <w:rPr>
          <w:rFonts w:ascii="Arial" w:eastAsia="Arial Unicode MS" w:hAnsi="Arial" w:cs="Arial"/>
          <w:sz w:val="24"/>
          <w:szCs w:val="24"/>
        </w:rPr>
      </w:pPr>
      <m:oMathPara>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p,k</m:t>
              </m:r>
            </m:sub>
          </m:sSub>
          <m:r>
            <w:rPr>
              <w:rFonts w:ascii="Cambria Math" w:eastAsia="Arial Unicode MS" w:hAnsi="Cambria Math" w:cs="Arial"/>
              <w:sz w:val="24"/>
              <w:szCs w:val="24"/>
            </w:rPr>
            <m:t>=</m:t>
          </m:r>
          <m:nary>
            <m:naryPr>
              <m:chr m:val="∑"/>
              <m:limLoc m:val="undOvr"/>
              <m:ctrlPr>
                <w:rPr>
                  <w:rFonts w:ascii="Cambria Math" w:eastAsia="Arial Unicode MS" w:hAnsi="Cambria Math" w:cs="Arial"/>
                  <w:i/>
                  <w:sz w:val="24"/>
                  <w:szCs w:val="24"/>
                </w:rPr>
              </m:ctrlPr>
            </m:naryPr>
            <m:sub>
              <m:r>
                <w:rPr>
                  <w:rFonts w:ascii="Cambria Math" w:eastAsia="Arial Unicode MS" w:hAnsi="Cambria Math" w:cs="Arial"/>
                  <w:sz w:val="24"/>
                  <w:szCs w:val="24"/>
                </w:rPr>
                <m:t>i=1</m:t>
              </m:r>
            </m:sub>
            <m:sup>
              <m:r>
                <w:rPr>
                  <w:rFonts w:ascii="Cambria Math" w:eastAsia="Arial Unicode MS" w:hAnsi="Cambria Math" w:cs="Arial"/>
                  <w:sz w:val="24"/>
                  <w:szCs w:val="24"/>
                </w:rPr>
                <m:t>n</m:t>
              </m:r>
            </m:sup>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w</m:t>
                  </m:r>
                </m:e>
                <m:sub>
                  <m:r>
                    <w:rPr>
                      <w:rFonts w:ascii="Cambria Math" w:eastAsia="Arial Unicode MS" w:hAnsi="Cambria Math" w:cs="Arial"/>
                      <w:sz w:val="24"/>
                      <w:szCs w:val="24"/>
                    </w:rPr>
                    <m:t>i,t</m:t>
                  </m:r>
                </m:sub>
              </m:sSub>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i,k</m:t>
                  </m:r>
                </m:sub>
              </m:sSub>
            </m:e>
          </m:nary>
        </m:oMath>
      </m:oMathPara>
    </w:p>
    <w:p w:rsidR="00483FA9" w:rsidRPr="00670830" w:rsidRDefault="0037786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Donde </w:t>
      </w:r>
      <m:oMath>
        <m:r>
          <w:rPr>
            <w:rFonts w:ascii="Cambria Math" w:eastAsia="Arial Unicode MS" w:hAnsi="Cambria Math" w:cs="Arial"/>
            <w:sz w:val="24"/>
            <w:szCs w:val="24"/>
          </w:rPr>
          <m:t>k=1,…, t</m:t>
        </m:r>
      </m:oMath>
    </w:p>
    <w:p w:rsidR="003B41A0" w:rsidRPr="00670830" w:rsidRDefault="004A7A80"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Los pesos </w:t>
      </w:r>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w</m:t>
            </m:r>
          </m:e>
          <m:sub>
            <m:r>
              <w:rPr>
                <w:rFonts w:ascii="Cambria Math" w:eastAsia="Arial Unicode MS" w:hAnsi="Cambria Math" w:cs="Arial"/>
                <w:sz w:val="24"/>
                <w:szCs w:val="24"/>
              </w:rPr>
              <m:t>t</m:t>
            </m:r>
          </m:sub>
        </m:sSub>
      </m:oMath>
      <w:r w:rsidRPr="00670830">
        <w:rPr>
          <w:rFonts w:ascii="Arial" w:eastAsia="Arial Unicode MS" w:hAnsi="Arial" w:cs="Arial"/>
          <w:sz w:val="24"/>
          <w:szCs w:val="24"/>
        </w:rPr>
        <w:t xml:space="preserve"> se mantienen en sus valores actuales.</w:t>
      </w:r>
      <w:r w:rsidR="00847FD6" w:rsidRPr="00670830">
        <w:rPr>
          <w:rFonts w:ascii="Arial" w:eastAsia="Arial Unicode MS" w:hAnsi="Arial" w:cs="Arial"/>
          <w:sz w:val="24"/>
          <w:szCs w:val="24"/>
        </w:rPr>
        <w:t xml:space="preserve"> Por lo que el retorno no rep</w:t>
      </w:r>
      <w:r w:rsidR="0049623C" w:rsidRPr="00670830">
        <w:rPr>
          <w:rFonts w:ascii="Arial" w:eastAsia="Arial Unicode MS" w:hAnsi="Arial" w:cs="Arial"/>
          <w:sz w:val="24"/>
          <w:szCs w:val="24"/>
        </w:rPr>
        <w:t>resenta al del actual de la cartera</w:t>
      </w:r>
      <w:r w:rsidR="00847FD6" w:rsidRPr="00670830">
        <w:rPr>
          <w:rFonts w:ascii="Arial" w:eastAsia="Arial Unicode MS" w:hAnsi="Arial" w:cs="Arial"/>
          <w:sz w:val="24"/>
          <w:szCs w:val="24"/>
        </w:rPr>
        <w:t xml:space="preserve"> sino que reconstruye la historia de un portafolio hipotético utilizando las posiciones actuales.</w:t>
      </w:r>
      <w:r w:rsidR="003B41A0" w:rsidRPr="00670830">
        <w:rPr>
          <w:rFonts w:ascii="Arial" w:eastAsia="Arial Unicode MS" w:hAnsi="Arial" w:cs="Arial"/>
          <w:sz w:val="24"/>
          <w:szCs w:val="24"/>
        </w:rPr>
        <w:t xml:space="preserve"> Esta aproximación es llamada también </w:t>
      </w:r>
      <w:proofErr w:type="spellStart"/>
      <w:r w:rsidR="003B41A0" w:rsidRPr="00670830">
        <w:rPr>
          <w:rFonts w:ascii="Arial" w:eastAsia="Arial Unicode MS" w:hAnsi="Arial" w:cs="Arial"/>
          <w:b/>
          <w:i/>
          <w:sz w:val="24"/>
          <w:szCs w:val="24"/>
        </w:rPr>
        <w:t>bootstrapping</w:t>
      </w:r>
      <w:proofErr w:type="spellEnd"/>
      <w:r w:rsidR="003B41A0" w:rsidRPr="00670830">
        <w:rPr>
          <w:rFonts w:ascii="Arial" w:eastAsia="Arial Unicode MS" w:hAnsi="Arial" w:cs="Arial"/>
          <w:sz w:val="24"/>
          <w:szCs w:val="24"/>
        </w:rPr>
        <w:t xml:space="preserve"> por que usa la distribución actual de los datos sin remplazo.</w:t>
      </w:r>
    </w:p>
    <w:p w:rsidR="00F3095F" w:rsidRPr="00670830" w:rsidRDefault="003B41A0"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Este método es relativamente sencillo de implementar siempre y cuando se cuente con los datos históricos de los factores de riesgo de la diaria valuación a mercado. </w:t>
      </w:r>
    </w:p>
    <w:p w:rsidR="003B41A0" w:rsidRPr="00670830" w:rsidRDefault="005B01B1"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Dentro de sus mayores ventajas, es que la aproximación mediante simulación histórica, considera colas pesadas si están presentes en la serie histórica, el método puede capturar el riesgo de las griegas (vega y gamma).</w:t>
      </w:r>
    </w:p>
    <w:p w:rsidR="00847FD6" w:rsidRPr="00670830" w:rsidRDefault="005B01B1"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Dentro de las desventajas, y considero la más importante, es que sólo se utiliza un posible escenario, el ya ocurrido, por lo que parte del supuesto de que el pasado representa el futuro inmediato. [</w:t>
      </w:r>
      <w:proofErr w:type="spellStart"/>
      <w:r w:rsidRPr="00670830">
        <w:rPr>
          <w:rFonts w:ascii="Arial" w:eastAsia="Arial Unicode MS" w:hAnsi="Arial" w:cs="Arial"/>
          <w:sz w:val="24"/>
          <w:szCs w:val="24"/>
        </w:rPr>
        <w:t>Jorion</w:t>
      </w:r>
      <w:proofErr w:type="spellEnd"/>
      <w:r w:rsidRPr="00670830">
        <w:rPr>
          <w:rFonts w:ascii="Arial" w:eastAsia="Arial Unicode MS" w:hAnsi="Arial" w:cs="Arial"/>
          <w:sz w:val="24"/>
          <w:szCs w:val="24"/>
        </w:rPr>
        <w:t>, 2007]</w:t>
      </w:r>
    </w:p>
    <w:p w:rsidR="00B6747C" w:rsidRPr="00670830" w:rsidRDefault="00B6747C" w:rsidP="00670830">
      <w:pPr>
        <w:spacing w:before="100" w:beforeAutospacing="1" w:after="100" w:afterAutospacing="1" w:line="360" w:lineRule="auto"/>
        <w:jc w:val="both"/>
        <w:rPr>
          <w:rFonts w:ascii="Arial" w:eastAsia="Arial Unicode MS" w:hAnsi="Arial" w:cs="Arial"/>
          <w:sz w:val="24"/>
          <w:szCs w:val="24"/>
        </w:rPr>
      </w:pPr>
    </w:p>
    <w:p w:rsidR="007B6D21" w:rsidRPr="00670830" w:rsidRDefault="007B6D21" w:rsidP="00670830">
      <w:pPr>
        <w:pStyle w:val="Ttulo5"/>
        <w:spacing w:before="100" w:beforeAutospacing="1" w:after="100" w:afterAutospacing="1" w:line="360" w:lineRule="auto"/>
        <w:rPr>
          <w:rFonts w:ascii="Arial" w:eastAsia="Arial Unicode MS" w:hAnsi="Arial" w:cs="Arial"/>
          <w:b/>
          <w:color w:val="auto"/>
          <w:sz w:val="24"/>
          <w:szCs w:val="24"/>
        </w:rPr>
      </w:pPr>
      <w:r w:rsidRPr="00670830">
        <w:rPr>
          <w:rFonts w:ascii="Arial" w:eastAsia="Arial Unicode MS" w:hAnsi="Arial" w:cs="Arial"/>
          <w:b/>
          <w:color w:val="auto"/>
          <w:sz w:val="24"/>
          <w:szCs w:val="24"/>
        </w:rPr>
        <w:t>3.4.1.2.2. Método de simulaciones de Monte Carlo</w:t>
      </w:r>
    </w:p>
    <w:p w:rsidR="00C431C7" w:rsidRPr="00670830" w:rsidRDefault="00C431C7"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metodología de simulación Monte Carlo es un método paramétrico que genera movimientos aleatorios en los factores de riesgo mediante distribuciones paramétricas. Las posiciones pueden ser valuadas utilizando valuación completa.</w:t>
      </w:r>
    </w:p>
    <w:p w:rsidR="00F3095F" w:rsidRPr="00670830" w:rsidRDefault="00C431C7"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El método consiste de dos etapas, en la primera, el administrador de riesgos especifica un proceso estocástico para estimar cada uno de los factores de riesgo. Los parámetros como la desviación estándar y </w:t>
      </w:r>
      <w:r w:rsidR="00614FD9" w:rsidRPr="00670830">
        <w:rPr>
          <w:rFonts w:ascii="Arial" w:eastAsia="Arial Unicode MS" w:hAnsi="Arial" w:cs="Arial"/>
          <w:sz w:val="24"/>
          <w:szCs w:val="24"/>
        </w:rPr>
        <w:t>las correlaciones se pueden obtener a partir de datos históricos o de datos implícitos en las opciones. Para la segunda etapa, se procede con la simulación, se generan valores aleatorios para cada uno de los factores de riesgo. En cada ho</w:t>
      </w:r>
      <w:r w:rsidR="0049623C" w:rsidRPr="00670830">
        <w:rPr>
          <w:rFonts w:ascii="Arial" w:eastAsia="Arial Unicode MS" w:hAnsi="Arial" w:cs="Arial"/>
          <w:sz w:val="24"/>
          <w:szCs w:val="24"/>
        </w:rPr>
        <w:t>rizonte de tiempo, la cartera</w:t>
      </w:r>
      <w:r w:rsidR="00614FD9" w:rsidRPr="00670830">
        <w:rPr>
          <w:rFonts w:ascii="Arial" w:eastAsia="Arial Unicode MS" w:hAnsi="Arial" w:cs="Arial"/>
          <w:sz w:val="24"/>
          <w:szCs w:val="24"/>
        </w:rPr>
        <w:t xml:space="preserve"> es valuado a mercado, así como en el método de </w:t>
      </w:r>
      <w:r w:rsidR="00F3095F" w:rsidRPr="00670830">
        <w:rPr>
          <w:rFonts w:ascii="Arial" w:eastAsia="Arial Unicode MS" w:hAnsi="Arial" w:cs="Arial"/>
          <w:sz w:val="24"/>
          <w:szCs w:val="24"/>
        </w:rPr>
        <w:t>simulación histórica, es decir:</w:t>
      </w:r>
    </w:p>
    <w:p w:rsidR="00C431C7" w:rsidRPr="00670830" w:rsidRDefault="00AC26BD" w:rsidP="00670830">
      <w:pPr>
        <w:spacing w:before="100" w:beforeAutospacing="1" w:after="100" w:afterAutospacing="1" w:line="360" w:lineRule="auto"/>
        <w:jc w:val="center"/>
        <w:rPr>
          <w:rFonts w:ascii="Arial" w:eastAsia="Arial Unicode MS" w:hAnsi="Arial" w:cs="Arial"/>
          <w:sz w:val="24"/>
          <w:szCs w:val="24"/>
        </w:rPr>
      </w:pPr>
      <m:oMath>
        <m:sSubSup>
          <m:sSubSupPr>
            <m:ctrlPr>
              <w:rPr>
                <w:rFonts w:ascii="Cambria Math" w:eastAsia="Arial Unicode MS" w:hAnsi="Cambria Math" w:cs="Arial"/>
                <w:i/>
                <w:sz w:val="24"/>
                <w:szCs w:val="24"/>
              </w:rPr>
            </m:ctrlPr>
          </m:sSubSupPr>
          <m:e>
            <m:r>
              <w:rPr>
                <w:rFonts w:ascii="Cambria Math" w:eastAsia="Arial Unicode MS" w:hAnsi="Cambria Math" w:cs="Arial"/>
                <w:sz w:val="24"/>
                <w:szCs w:val="24"/>
              </w:rPr>
              <m:t>V</m:t>
            </m:r>
          </m:e>
          <m:sub>
            <m:r>
              <w:rPr>
                <w:rFonts w:ascii="Cambria Math" w:eastAsia="Arial Unicode MS" w:hAnsi="Cambria Math" w:cs="Arial"/>
                <w:sz w:val="24"/>
                <w:szCs w:val="24"/>
              </w:rPr>
              <m:t>k</m:t>
            </m:r>
          </m:sub>
          <m:sup>
            <m:r>
              <w:rPr>
                <w:rFonts w:ascii="Cambria Math" w:eastAsia="Arial Unicode MS" w:hAnsi="Cambria Math" w:cs="Arial"/>
                <w:sz w:val="24"/>
                <w:szCs w:val="24"/>
              </w:rPr>
              <m:t>*</m:t>
            </m:r>
          </m:sup>
        </m:sSubSup>
        <m:r>
          <w:rPr>
            <w:rFonts w:ascii="Cambria Math" w:eastAsia="Arial Unicode MS" w:hAnsi="Cambria Math" w:cs="Arial"/>
            <w:sz w:val="24"/>
            <w:szCs w:val="24"/>
          </w:rPr>
          <m:t>=V</m:t>
        </m:r>
        <m:d>
          <m:dPr>
            <m:ctrlPr>
              <w:rPr>
                <w:rFonts w:ascii="Cambria Math" w:eastAsia="Arial Unicode MS" w:hAnsi="Cambria Math" w:cs="Arial"/>
                <w:i/>
                <w:sz w:val="24"/>
                <w:szCs w:val="24"/>
              </w:rPr>
            </m:ctrlPr>
          </m:dPr>
          <m:e>
            <m:sSubSup>
              <m:sSubSupPr>
                <m:ctrlPr>
                  <w:rPr>
                    <w:rFonts w:ascii="Cambria Math" w:eastAsia="Arial Unicode MS" w:hAnsi="Cambria Math" w:cs="Arial"/>
                    <w:i/>
                    <w:sz w:val="24"/>
                    <w:szCs w:val="24"/>
                  </w:rPr>
                </m:ctrlPr>
              </m:sSubSupPr>
              <m:e>
                <m:r>
                  <w:rPr>
                    <w:rFonts w:ascii="Cambria Math" w:eastAsia="Arial Unicode MS" w:hAnsi="Cambria Math" w:cs="Arial"/>
                    <w:sz w:val="24"/>
                    <w:szCs w:val="24"/>
                  </w:rPr>
                  <m:t>S</m:t>
                </m:r>
              </m:e>
              <m:sub>
                <m:r>
                  <w:rPr>
                    <w:rFonts w:ascii="Cambria Math" w:eastAsia="Arial Unicode MS" w:hAnsi="Cambria Math" w:cs="Arial"/>
                    <w:sz w:val="24"/>
                    <w:szCs w:val="24"/>
                  </w:rPr>
                  <m:t>i,k</m:t>
                </m:r>
              </m:sub>
              <m:sup>
                <m:r>
                  <w:rPr>
                    <w:rFonts w:ascii="Cambria Math" w:eastAsia="Arial Unicode MS" w:hAnsi="Cambria Math" w:cs="Arial"/>
                    <w:sz w:val="24"/>
                    <w:szCs w:val="24"/>
                  </w:rPr>
                  <m:t>*</m:t>
                </m:r>
              </m:sup>
            </m:sSubSup>
          </m:e>
        </m:d>
      </m:oMath>
      <w:r w:rsidR="00614FD9" w:rsidRPr="00670830">
        <w:rPr>
          <w:rFonts w:ascii="Arial" w:eastAsia="Arial Unicode MS" w:hAnsi="Arial" w:cs="Arial"/>
          <w:sz w:val="24"/>
          <w:szCs w:val="24"/>
        </w:rPr>
        <w:t xml:space="preserve"> .</w:t>
      </w:r>
    </w:p>
    <w:p w:rsidR="00614FD9" w:rsidRPr="00670830" w:rsidRDefault="00614FD9"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Cada una de estas “</w:t>
      </w:r>
      <w:proofErr w:type="spellStart"/>
      <w:r w:rsidRPr="00670830">
        <w:rPr>
          <w:rFonts w:ascii="Arial" w:eastAsia="Arial Unicode MS" w:hAnsi="Arial" w:cs="Arial"/>
          <w:sz w:val="24"/>
          <w:szCs w:val="24"/>
        </w:rPr>
        <w:t>pseudo</w:t>
      </w:r>
      <w:proofErr w:type="spellEnd"/>
      <w:r w:rsidRPr="00670830">
        <w:rPr>
          <w:rFonts w:ascii="Arial" w:eastAsia="Arial Unicode MS" w:hAnsi="Arial" w:cs="Arial"/>
          <w:sz w:val="24"/>
          <w:szCs w:val="24"/>
        </w:rPr>
        <w:t>”</w:t>
      </w:r>
      <w:r w:rsidR="00183E91" w:rsidRPr="00670830">
        <w:rPr>
          <w:rFonts w:ascii="Arial" w:eastAsia="Arial Unicode MS" w:hAnsi="Arial" w:cs="Arial"/>
          <w:sz w:val="24"/>
          <w:szCs w:val="24"/>
        </w:rPr>
        <w:t xml:space="preserve"> corridas se utiliza para generar una distribución de los retornos, a partir de la cual, se puede estimar el valor en riesgo (</w:t>
      </w:r>
      <w:proofErr w:type="spellStart"/>
      <w:r w:rsidR="00183E91" w:rsidRPr="00670830">
        <w:rPr>
          <w:rFonts w:ascii="Arial" w:eastAsia="Arial Unicode MS" w:hAnsi="Arial" w:cs="Arial"/>
          <w:sz w:val="24"/>
          <w:szCs w:val="24"/>
        </w:rPr>
        <w:t>VaR</w:t>
      </w:r>
      <w:proofErr w:type="spellEnd"/>
      <w:r w:rsidR="00183E91" w:rsidRPr="00670830">
        <w:rPr>
          <w:rFonts w:ascii="Arial" w:eastAsia="Arial Unicode MS" w:hAnsi="Arial" w:cs="Arial"/>
          <w:sz w:val="24"/>
          <w:szCs w:val="24"/>
        </w:rPr>
        <w:t>).</w:t>
      </w:r>
    </w:p>
    <w:p w:rsidR="00C431C7" w:rsidRPr="00670830" w:rsidRDefault="00C431C7"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 </w:t>
      </w:r>
      <w:r w:rsidR="00183E91" w:rsidRPr="00670830">
        <w:rPr>
          <w:rFonts w:ascii="Arial" w:eastAsia="Arial Unicode MS" w:hAnsi="Arial" w:cs="Arial"/>
          <w:sz w:val="24"/>
          <w:szCs w:val="24"/>
        </w:rPr>
        <w:t xml:space="preserve">El método de simulación de Monte Carlo es similar o se puede comparar con el método de simulación histórica, a excepción de que los cambios hipotéticos de los precios </w:t>
      </w:r>
      <m:oMath>
        <m:r>
          <w:rPr>
            <w:rFonts w:ascii="Cambria Math" w:eastAsia="Arial Unicode MS" w:hAnsi="Cambria Math" w:cs="Arial"/>
            <w:sz w:val="24"/>
            <w:szCs w:val="24"/>
          </w:rPr>
          <m:t>∆</m:t>
        </m:r>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S</m:t>
            </m:r>
          </m:e>
          <m:sub>
            <m:r>
              <w:rPr>
                <w:rFonts w:ascii="Cambria Math" w:eastAsia="Arial Unicode MS" w:hAnsi="Cambria Math" w:cs="Arial"/>
                <w:sz w:val="24"/>
                <w:szCs w:val="24"/>
              </w:rPr>
              <m:t>i</m:t>
            </m:r>
          </m:sub>
        </m:sSub>
      </m:oMath>
      <w:r w:rsidR="00183E91" w:rsidRPr="00670830">
        <w:rPr>
          <w:rFonts w:ascii="Arial" w:eastAsia="Arial Unicode MS" w:hAnsi="Arial" w:cs="Arial"/>
          <w:sz w:val="24"/>
          <w:szCs w:val="24"/>
        </w:rPr>
        <w:t xml:space="preserve"> para el activo </w:t>
      </w:r>
      <w:r w:rsidR="00183E91" w:rsidRPr="00670830">
        <w:rPr>
          <w:rFonts w:ascii="Arial" w:eastAsia="Arial Unicode MS" w:hAnsi="Arial" w:cs="Arial"/>
          <w:i/>
          <w:sz w:val="24"/>
          <w:szCs w:val="24"/>
        </w:rPr>
        <w:t>i</w:t>
      </w:r>
      <w:r w:rsidR="00183E91" w:rsidRPr="00670830">
        <w:rPr>
          <w:rFonts w:ascii="Arial" w:eastAsia="Arial Unicode MS" w:hAnsi="Arial" w:cs="Arial"/>
          <w:sz w:val="24"/>
          <w:szCs w:val="24"/>
        </w:rPr>
        <w:t xml:space="preserve"> son creados a partir de valores aleatorios que se obtienen a partir de un proceso estocástico pre- especificado en lugar de a partir de una muestra de los datos históricos.</w:t>
      </w:r>
    </w:p>
    <w:p w:rsidR="00F8751B" w:rsidRPr="00670830" w:rsidRDefault="00CC08B9" w:rsidP="00670830">
      <w:pPr>
        <w:spacing w:before="100" w:beforeAutospacing="1" w:after="100" w:afterAutospacing="1" w:line="360" w:lineRule="auto"/>
        <w:jc w:val="both"/>
        <w:rPr>
          <w:rFonts w:ascii="Arial" w:eastAsia="Arial Unicode MS" w:hAnsi="Arial" w:cs="Arial"/>
          <w:sz w:val="24"/>
          <w:szCs w:val="24"/>
          <w:lang w:val="en-US"/>
        </w:rPr>
      </w:pPr>
      <w:r w:rsidRPr="00670830">
        <w:rPr>
          <w:rFonts w:ascii="Arial" w:eastAsia="Arial Unicode MS" w:hAnsi="Arial" w:cs="Arial"/>
          <w:sz w:val="24"/>
          <w:szCs w:val="24"/>
        </w:rPr>
        <w:t>Este método, es por mucho, el más poderoso para calcular el valor en riesgo. Para los factores de riesgo es suficientemente flexible como para incorporar el impacto del tiempo en la volatilidad o en los retornos esperado</w:t>
      </w:r>
      <w:r w:rsidR="00C30956" w:rsidRPr="00670830">
        <w:rPr>
          <w:rFonts w:ascii="Arial" w:eastAsia="Arial Unicode MS" w:hAnsi="Arial" w:cs="Arial"/>
          <w:sz w:val="24"/>
          <w:szCs w:val="24"/>
        </w:rPr>
        <w:t>s.</w:t>
      </w:r>
      <w:r w:rsidR="00320D86" w:rsidRPr="00670830">
        <w:rPr>
          <w:rFonts w:ascii="Arial" w:eastAsia="Arial Unicode MS" w:hAnsi="Arial" w:cs="Arial"/>
          <w:sz w:val="24"/>
          <w:szCs w:val="24"/>
        </w:rPr>
        <w:t xml:space="preserve"> </w:t>
      </w:r>
      <w:r w:rsidR="00C30956" w:rsidRPr="00670830">
        <w:rPr>
          <w:rFonts w:ascii="Arial" w:eastAsia="Arial Unicode MS" w:hAnsi="Arial" w:cs="Arial"/>
          <w:sz w:val="24"/>
          <w:szCs w:val="24"/>
          <w:lang w:val="en-US"/>
        </w:rPr>
        <w:t>[</w:t>
      </w:r>
      <w:proofErr w:type="spellStart"/>
      <w:r w:rsidR="00C30956" w:rsidRPr="00670830">
        <w:rPr>
          <w:rFonts w:ascii="Arial" w:eastAsia="Arial Unicode MS" w:hAnsi="Arial" w:cs="Arial"/>
          <w:sz w:val="24"/>
          <w:szCs w:val="24"/>
          <w:lang w:val="en-US"/>
        </w:rPr>
        <w:t>Jorion</w:t>
      </w:r>
      <w:proofErr w:type="spellEnd"/>
      <w:r w:rsidR="00C30956" w:rsidRPr="00670830">
        <w:rPr>
          <w:rFonts w:ascii="Arial" w:eastAsia="Arial Unicode MS" w:hAnsi="Arial" w:cs="Arial"/>
          <w:sz w:val="24"/>
          <w:szCs w:val="24"/>
          <w:lang w:val="en-US"/>
        </w:rPr>
        <w:t>, 2007]</w:t>
      </w:r>
    </w:p>
    <w:p w:rsidR="00B6747C" w:rsidRPr="00670830" w:rsidRDefault="0048251C" w:rsidP="00670830">
      <w:pPr>
        <w:pStyle w:val="Ttulo5"/>
        <w:spacing w:before="100" w:beforeAutospacing="1" w:after="100" w:afterAutospacing="1" w:line="360" w:lineRule="auto"/>
        <w:rPr>
          <w:rFonts w:ascii="Arial" w:eastAsia="Arial Unicode MS" w:hAnsi="Arial" w:cs="Arial"/>
          <w:b/>
          <w:color w:val="auto"/>
          <w:sz w:val="24"/>
          <w:szCs w:val="24"/>
          <w:lang w:val="en-US"/>
        </w:rPr>
      </w:pPr>
      <w:r w:rsidRPr="00670830">
        <w:rPr>
          <w:rFonts w:ascii="Arial" w:eastAsia="Arial Unicode MS" w:hAnsi="Arial" w:cs="Arial"/>
          <w:b/>
          <w:color w:val="auto"/>
          <w:sz w:val="24"/>
          <w:szCs w:val="24"/>
          <w:lang w:val="en-US"/>
        </w:rPr>
        <w:t>3.4.1.2.3</w:t>
      </w:r>
      <w:r w:rsidR="007B6D21" w:rsidRPr="00670830">
        <w:rPr>
          <w:rFonts w:ascii="Arial" w:eastAsia="Arial Unicode MS" w:hAnsi="Arial" w:cs="Arial"/>
          <w:b/>
          <w:color w:val="auto"/>
          <w:sz w:val="24"/>
          <w:szCs w:val="24"/>
          <w:lang w:val="en-US"/>
        </w:rPr>
        <w:t xml:space="preserve">. </w:t>
      </w:r>
      <w:proofErr w:type="spellStart"/>
      <w:r w:rsidR="007B6D21" w:rsidRPr="00670830">
        <w:rPr>
          <w:rFonts w:ascii="Arial" w:eastAsia="Arial Unicode MS" w:hAnsi="Arial" w:cs="Arial"/>
          <w:b/>
          <w:color w:val="auto"/>
          <w:sz w:val="24"/>
          <w:szCs w:val="24"/>
          <w:lang w:val="en-US"/>
        </w:rPr>
        <w:t>Métod</w:t>
      </w:r>
      <w:r w:rsidRPr="00670830">
        <w:rPr>
          <w:rFonts w:ascii="Arial" w:eastAsia="Arial Unicode MS" w:hAnsi="Arial" w:cs="Arial"/>
          <w:b/>
          <w:color w:val="auto"/>
          <w:sz w:val="24"/>
          <w:szCs w:val="24"/>
          <w:lang w:val="en-US"/>
        </w:rPr>
        <w:t>o</w:t>
      </w:r>
      <w:proofErr w:type="spellEnd"/>
      <w:r w:rsidRPr="00670830">
        <w:rPr>
          <w:rFonts w:ascii="Arial" w:eastAsia="Arial Unicode MS" w:hAnsi="Arial" w:cs="Arial"/>
          <w:b/>
          <w:color w:val="auto"/>
          <w:sz w:val="24"/>
          <w:szCs w:val="24"/>
          <w:lang w:val="en-US"/>
        </w:rPr>
        <w:t xml:space="preserve"> de Stress – Testing o </w:t>
      </w:r>
      <w:proofErr w:type="spellStart"/>
      <w:r w:rsidRPr="00670830">
        <w:rPr>
          <w:rFonts w:ascii="Arial" w:eastAsia="Arial Unicode MS" w:hAnsi="Arial" w:cs="Arial"/>
          <w:b/>
          <w:color w:val="auto"/>
          <w:sz w:val="24"/>
          <w:szCs w:val="24"/>
          <w:lang w:val="en-US"/>
        </w:rPr>
        <w:t>Método</w:t>
      </w:r>
      <w:proofErr w:type="spellEnd"/>
      <w:r w:rsidRPr="00670830">
        <w:rPr>
          <w:rFonts w:ascii="Arial" w:eastAsia="Arial Unicode MS" w:hAnsi="Arial" w:cs="Arial"/>
          <w:b/>
          <w:color w:val="auto"/>
          <w:sz w:val="24"/>
          <w:szCs w:val="24"/>
          <w:lang w:val="en-US"/>
        </w:rPr>
        <w:t xml:space="preserve"> de </w:t>
      </w:r>
      <w:proofErr w:type="spellStart"/>
      <w:r w:rsidRPr="00670830">
        <w:rPr>
          <w:rFonts w:ascii="Arial" w:eastAsia="Arial Unicode MS" w:hAnsi="Arial" w:cs="Arial"/>
          <w:b/>
          <w:color w:val="auto"/>
          <w:sz w:val="24"/>
          <w:szCs w:val="24"/>
          <w:lang w:val="en-US"/>
        </w:rPr>
        <w:t>Situaciones</w:t>
      </w:r>
      <w:proofErr w:type="spellEnd"/>
      <w:r w:rsidRPr="00670830">
        <w:rPr>
          <w:rFonts w:ascii="Arial" w:eastAsia="Arial Unicode MS" w:hAnsi="Arial" w:cs="Arial"/>
          <w:b/>
          <w:color w:val="auto"/>
          <w:sz w:val="24"/>
          <w:szCs w:val="24"/>
          <w:lang w:val="en-US"/>
        </w:rPr>
        <w:t xml:space="preserve"> </w:t>
      </w:r>
      <w:proofErr w:type="spellStart"/>
      <w:r w:rsidRPr="00670830">
        <w:rPr>
          <w:rFonts w:ascii="Arial" w:eastAsia="Arial Unicode MS" w:hAnsi="Arial" w:cs="Arial"/>
          <w:b/>
          <w:color w:val="auto"/>
          <w:sz w:val="24"/>
          <w:szCs w:val="24"/>
          <w:lang w:val="en-US"/>
        </w:rPr>
        <w:t>Extremas</w:t>
      </w:r>
      <w:proofErr w:type="spellEnd"/>
    </w:p>
    <w:p w:rsidR="0048251C" w:rsidRPr="00670830" w:rsidRDefault="00695529" w:rsidP="00670830">
      <w:pPr>
        <w:spacing w:before="100" w:beforeAutospacing="1" w:after="100" w:afterAutospacing="1" w:line="360" w:lineRule="auto"/>
        <w:ind w:firstLine="708"/>
        <w:rPr>
          <w:rFonts w:ascii="Arial" w:eastAsia="Arial Unicode MS" w:hAnsi="Arial" w:cs="Arial"/>
          <w:i/>
          <w:sz w:val="24"/>
          <w:szCs w:val="24"/>
          <w:lang w:val="en-US"/>
        </w:rPr>
      </w:pPr>
      <w:r w:rsidRPr="00670830">
        <w:rPr>
          <w:rFonts w:ascii="Arial" w:eastAsia="Arial Unicode MS" w:hAnsi="Arial" w:cs="Arial"/>
          <w:i/>
          <w:sz w:val="24"/>
          <w:szCs w:val="24"/>
          <w:lang w:val="en-US"/>
        </w:rPr>
        <w:t>This is one of those cases in which the imagination is baffled by the facts.</w:t>
      </w:r>
    </w:p>
    <w:p w:rsidR="00695529" w:rsidRPr="00670830" w:rsidRDefault="00695529" w:rsidP="00670830">
      <w:pPr>
        <w:pStyle w:val="Prrafodelista"/>
        <w:numPr>
          <w:ilvl w:val="3"/>
          <w:numId w:val="14"/>
        </w:numPr>
        <w:spacing w:before="100" w:beforeAutospacing="1" w:after="100" w:afterAutospacing="1" w:line="360" w:lineRule="auto"/>
        <w:rPr>
          <w:rFonts w:ascii="Arial" w:eastAsia="Arial Unicode MS" w:hAnsi="Arial" w:cs="Arial"/>
          <w:i/>
          <w:sz w:val="24"/>
          <w:szCs w:val="24"/>
          <w:lang w:val="en-US"/>
        </w:rPr>
      </w:pPr>
      <w:r w:rsidRPr="00670830">
        <w:rPr>
          <w:rFonts w:ascii="Arial" w:eastAsia="Arial Unicode MS" w:hAnsi="Arial" w:cs="Arial"/>
          <w:i/>
          <w:sz w:val="24"/>
          <w:szCs w:val="24"/>
          <w:lang w:val="en-US"/>
        </w:rPr>
        <w:t>Winston Churchill</w:t>
      </w:r>
    </w:p>
    <w:p w:rsidR="00F3095F" w:rsidRPr="00670830" w:rsidRDefault="00D7105C"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propósito principal de la métrica del Valor en Riesgo (</w:t>
      </w:r>
      <w:proofErr w:type="spellStart"/>
      <w:r w:rsidRPr="00670830">
        <w:rPr>
          <w:rFonts w:ascii="Arial" w:eastAsia="Arial Unicode MS" w:hAnsi="Arial" w:cs="Arial"/>
          <w:sz w:val="24"/>
          <w:szCs w:val="24"/>
        </w:rPr>
        <w:t>VaR</w:t>
      </w:r>
      <w:proofErr w:type="spellEnd"/>
      <w:r w:rsidRPr="00670830">
        <w:rPr>
          <w:rFonts w:ascii="Arial" w:eastAsia="Arial Unicode MS" w:hAnsi="Arial" w:cs="Arial"/>
          <w:sz w:val="24"/>
          <w:szCs w:val="24"/>
        </w:rPr>
        <w:t xml:space="preserve">) es cuantificar la pérdida potencial bajo condiciones “normales” </w:t>
      </w:r>
      <w:r w:rsidR="00F50292" w:rsidRPr="00670830">
        <w:rPr>
          <w:rFonts w:ascii="Arial" w:eastAsia="Arial Unicode MS" w:hAnsi="Arial" w:cs="Arial"/>
          <w:sz w:val="24"/>
          <w:szCs w:val="24"/>
        </w:rPr>
        <w:t xml:space="preserve"> de mercado, típicamente al 99%.  En principio, </w:t>
      </w:r>
      <w:r w:rsidRPr="00670830">
        <w:rPr>
          <w:rFonts w:ascii="Arial" w:eastAsia="Arial Unicode MS" w:hAnsi="Arial" w:cs="Arial"/>
          <w:sz w:val="24"/>
          <w:szCs w:val="24"/>
        </w:rPr>
        <w:t xml:space="preserve"> </w:t>
      </w:r>
      <w:r w:rsidR="00516D91" w:rsidRPr="00670830">
        <w:rPr>
          <w:rFonts w:ascii="Arial" w:eastAsia="Arial Unicode MS" w:hAnsi="Arial" w:cs="Arial"/>
          <w:sz w:val="24"/>
          <w:szCs w:val="24"/>
        </w:rPr>
        <w:t>al incrementar el nivel de confianza nos revelaría pérdidas cada vez más grandes pero</w:t>
      </w:r>
      <w:r w:rsidR="008B0545" w:rsidRPr="00670830">
        <w:rPr>
          <w:rFonts w:ascii="Arial" w:eastAsia="Arial Unicode MS" w:hAnsi="Arial" w:cs="Arial"/>
          <w:sz w:val="24"/>
          <w:szCs w:val="24"/>
        </w:rPr>
        <w:t xml:space="preserve"> menos probables</w:t>
      </w:r>
      <w:r w:rsidR="00516D91" w:rsidRPr="00670830">
        <w:rPr>
          <w:rFonts w:ascii="Arial" w:eastAsia="Arial Unicode MS" w:hAnsi="Arial" w:cs="Arial"/>
          <w:sz w:val="24"/>
          <w:szCs w:val="24"/>
        </w:rPr>
        <w:t xml:space="preserve">. </w:t>
      </w:r>
    </w:p>
    <w:p w:rsidR="00746E29" w:rsidRPr="00670830" w:rsidRDefault="00516D91"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En la práctica, el </w:t>
      </w:r>
      <w:proofErr w:type="spellStart"/>
      <w:r w:rsidRPr="00670830">
        <w:rPr>
          <w:rFonts w:ascii="Arial" w:eastAsia="Arial Unicode MS" w:hAnsi="Arial" w:cs="Arial"/>
          <w:sz w:val="24"/>
          <w:szCs w:val="24"/>
        </w:rPr>
        <w:t>VaR</w:t>
      </w:r>
      <w:proofErr w:type="spellEnd"/>
      <w:r w:rsidRPr="00670830">
        <w:rPr>
          <w:rFonts w:ascii="Arial" w:eastAsia="Arial Unicode MS" w:hAnsi="Arial" w:cs="Arial"/>
          <w:sz w:val="24"/>
          <w:szCs w:val="24"/>
        </w:rPr>
        <w:t xml:space="preserve"> </w:t>
      </w:r>
      <w:r w:rsidR="008B0545" w:rsidRPr="00670830">
        <w:rPr>
          <w:rFonts w:ascii="Arial" w:eastAsia="Arial Unicode MS" w:hAnsi="Arial" w:cs="Arial"/>
          <w:sz w:val="24"/>
          <w:szCs w:val="24"/>
        </w:rPr>
        <w:t xml:space="preserve">con base en datos históricos recientes pueden fallar en identificar </w:t>
      </w:r>
      <w:r w:rsidR="00943680" w:rsidRPr="00670830">
        <w:rPr>
          <w:rFonts w:ascii="Arial" w:eastAsia="Arial Unicode MS" w:hAnsi="Arial" w:cs="Arial"/>
          <w:sz w:val="24"/>
          <w:szCs w:val="24"/>
        </w:rPr>
        <w:t>situaciones extremas que pudieran causar pérdidas severas.</w:t>
      </w:r>
      <w:r w:rsidR="00DB6942" w:rsidRPr="00670830">
        <w:rPr>
          <w:rFonts w:ascii="Arial" w:eastAsia="Arial Unicode MS" w:hAnsi="Arial" w:cs="Arial"/>
          <w:sz w:val="24"/>
          <w:szCs w:val="24"/>
        </w:rPr>
        <w:t xml:space="preserve"> Es por lo anterior, que cualquier método de </w:t>
      </w:r>
      <w:proofErr w:type="spellStart"/>
      <w:r w:rsidR="00DB6942" w:rsidRPr="00670830">
        <w:rPr>
          <w:rFonts w:ascii="Arial" w:eastAsia="Arial Unicode MS" w:hAnsi="Arial" w:cs="Arial"/>
          <w:sz w:val="24"/>
          <w:szCs w:val="24"/>
        </w:rPr>
        <w:t>VaR</w:t>
      </w:r>
      <w:proofErr w:type="spellEnd"/>
      <w:r w:rsidR="00DB6942" w:rsidRPr="00670830">
        <w:rPr>
          <w:rFonts w:ascii="Arial" w:eastAsia="Arial Unicode MS" w:hAnsi="Arial" w:cs="Arial"/>
          <w:sz w:val="24"/>
          <w:szCs w:val="24"/>
        </w:rPr>
        <w:t xml:space="preserve"> deben de complementarse c</w:t>
      </w:r>
      <w:r w:rsidR="005F6358" w:rsidRPr="00670830">
        <w:rPr>
          <w:rFonts w:ascii="Arial" w:eastAsia="Arial Unicode MS" w:hAnsi="Arial" w:cs="Arial"/>
          <w:sz w:val="24"/>
          <w:szCs w:val="24"/>
        </w:rPr>
        <w:t xml:space="preserve">on un programa regular de </w:t>
      </w:r>
      <w:r w:rsidR="00DB6942" w:rsidRPr="00670830">
        <w:rPr>
          <w:rFonts w:ascii="Arial" w:eastAsia="Arial Unicode MS" w:hAnsi="Arial" w:cs="Arial"/>
          <w:sz w:val="24"/>
          <w:szCs w:val="24"/>
        </w:rPr>
        <w:t xml:space="preserve"> –</w:t>
      </w:r>
      <w:r w:rsidR="005F6358" w:rsidRPr="00670830">
        <w:rPr>
          <w:rFonts w:ascii="Arial" w:eastAsia="Arial Unicode MS" w:hAnsi="Arial" w:cs="Arial"/>
          <w:sz w:val="24"/>
          <w:szCs w:val="24"/>
        </w:rPr>
        <w:t xml:space="preserve"> pruebas de estrés</w:t>
      </w:r>
      <w:r w:rsidR="00DB6942" w:rsidRPr="00670830">
        <w:rPr>
          <w:rFonts w:ascii="Arial" w:eastAsia="Arial Unicode MS" w:hAnsi="Arial" w:cs="Arial"/>
          <w:sz w:val="24"/>
          <w:szCs w:val="24"/>
        </w:rPr>
        <w:t>.</w:t>
      </w:r>
      <w:r w:rsidR="005F6358" w:rsidRPr="00670830">
        <w:rPr>
          <w:rFonts w:ascii="Arial" w:eastAsia="Arial Unicode MS" w:hAnsi="Arial" w:cs="Arial"/>
          <w:sz w:val="24"/>
          <w:szCs w:val="24"/>
        </w:rPr>
        <w:t xml:space="preserve"> [</w:t>
      </w:r>
      <w:proofErr w:type="spellStart"/>
      <w:r w:rsidR="005F6358" w:rsidRPr="00670830">
        <w:rPr>
          <w:rFonts w:ascii="Arial" w:eastAsia="Arial Unicode MS" w:hAnsi="Arial" w:cs="Arial"/>
          <w:sz w:val="24"/>
          <w:szCs w:val="24"/>
        </w:rPr>
        <w:t>Jorion</w:t>
      </w:r>
      <w:proofErr w:type="spellEnd"/>
      <w:r w:rsidR="005F6358" w:rsidRPr="00670830">
        <w:rPr>
          <w:rFonts w:ascii="Arial" w:eastAsia="Arial Unicode MS" w:hAnsi="Arial" w:cs="Arial"/>
          <w:sz w:val="24"/>
          <w:szCs w:val="24"/>
        </w:rPr>
        <w:t>, 2007]</w:t>
      </w:r>
    </w:p>
    <w:p w:rsidR="005F6358" w:rsidRPr="00670830" w:rsidRDefault="005F6358" w:rsidP="00670830">
      <w:pPr>
        <w:tabs>
          <w:tab w:val="left" w:pos="313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Dependiendo de la situación a considerar se pueden clasificar los escenarios de estrés de la siguiente manera:</w:t>
      </w:r>
    </w:p>
    <w:p w:rsidR="00746E29" w:rsidRPr="00670830" w:rsidRDefault="005F6358" w:rsidP="00670830">
      <w:pPr>
        <w:pStyle w:val="Prrafodelista"/>
        <w:numPr>
          <w:ilvl w:val="0"/>
          <w:numId w:val="31"/>
        </w:numPr>
        <w:tabs>
          <w:tab w:val="left" w:pos="313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Escenarios extremos estilizados:</w:t>
      </w:r>
      <w:r w:rsidRPr="00670830">
        <w:rPr>
          <w:rFonts w:ascii="Arial" w:eastAsia="Arial Unicode MS" w:hAnsi="Arial" w:cs="Arial"/>
          <w:sz w:val="24"/>
          <w:szCs w:val="24"/>
        </w:rPr>
        <w:t xml:space="preserve"> cambios moderados o extremos en los diversos factores de riesgo, tales como: tasas de interés, tipos de cambio y precios accionarios.</w:t>
      </w:r>
    </w:p>
    <w:p w:rsidR="00746E29" w:rsidRPr="00670830" w:rsidRDefault="00746E29" w:rsidP="00670830">
      <w:pPr>
        <w:pStyle w:val="Prrafodelista"/>
        <w:tabs>
          <w:tab w:val="left" w:pos="3135"/>
        </w:tabs>
        <w:spacing w:before="100" w:beforeAutospacing="1" w:after="100" w:afterAutospacing="1" w:line="360" w:lineRule="auto"/>
        <w:jc w:val="both"/>
        <w:rPr>
          <w:rFonts w:ascii="Arial" w:eastAsia="Arial Unicode MS" w:hAnsi="Arial" w:cs="Arial"/>
          <w:sz w:val="24"/>
          <w:szCs w:val="24"/>
        </w:rPr>
      </w:pPr>
    </w:p>
    <w:p w:rsidR="00746E29" w:rsidRPr="00670830" w:rsidRDefault="005F6358" w:rsidP="00670830">
      <w:pPr>
        <w:pStyle w:val="Prrafodelista"/>
        <w:numPr>
          <w:ilvl w:val="0"/>
          <w:numId w:val="31"/>
        </w:numPr>
        <w:tabs>
          <w:tab w:val="left" w:pos="313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Escenarios extremos históricos:</w:t>
      </w:r>
      <w:r w:rsidRPr="00670830">
        <w:rPr>
          <w:rFonts w:ascii="Arial" w:eastAsia="Arial Unicode MS" w:hAnsi="Arial" w:cs="Arial"/>
          <w:sz w:val="24"/>
          <w:szCs w:val="24"/>
        </w:rPr>
        <w:t xml:space="preserve"> Co</w:t>
      </w:r>
      <w:r w:rsidR="0049623C" w:rsidRPr="00670830">
        <w:rPr>
          <w:rFonts w:ascii="Arial" w:eastAsia="Arial Unicode MS" w:hAnsi="Arial" w:cs="Arial"/>
          <w:sz w:val="24"/>
          <w:szCs w:val="24"/>
        </w:rPr>
        <w:t>nsiste en valuar las carteras</w:t>
      </w:r>
      <w:r w:rsidRPr="00670830">
        <w:rPr>
          <w:rFonts w:ascii="Arial" w:eastAsia="Arial Unicode MS" w:hAnsi="Arial" w:cs="Arial"/>
          <w:sz w:val="24"/>
          <w:szCs w:val="24"/>
        </w:rPr>
        <w:t xml:space="preserve"> considerando los factores de riesgo que se presentaron en situaciones históricas de crisis.</w:t>
      </w:r>
    </w:p>
    <w:p w:rsidR="00746E29" w:rsidRPr="00670830" w:rsidRDefault="00746E29" w:rsidP="00670830">
      <w:pPr>
        <w:pStyle w:val="Prrafodelista"/>
        <w:spacing w:before="100" w:beforeAutospacing="1" w:after="100" w:afterAutospacing="1" w:line="360" w:lineRule="auto"/>
        <w:rPr>
          <w:rFonts w:ascii="Arial" w:eastAsia="Arial Unicode MS" w:hAnsi="Arial" w:cs="Arial"/>
          <w:sz w:val="24"/>
          <w:szCs w:val="24"/>
        </w:rPr>
      </w:pPr>
    </w:p>
    <w:p w:rsidR="00151ACE" w:rsidRPr="00670830" w:rsidRDefault="005F6358" w:rsidP="00670830">
      <w:pPr>
        <w:pStyle w:val="Prrafodelista"/>
        <w:numPr>
          <w:ilvl w:val="0"/>
          <w:numId w:val="31"/>
        </w:numPr>
        <w:tabs>
          <w:tab w:val="left" w:pos="313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b/>
          <w:sz w:val="24"/>
          <w:szCs w:val="24"/>
        </w:rPr>
        <w:t>Escenarios extremos hipotéticos:</w:t>
      </w:r>
      <w:r w:rsidRPr="00670830">
        <w:rPr>
          <w:rFonts w:ascii="Arial" w:eastAsia="Arial Unicode MS" w:hAnsi="Arial" w:cs="Arial"/>
          <w:sz w:val="24"/>
          <w:szCs w:val="24"/>
        </w:rPr>
        <w:t xml:space="preserve"> Consiste en realizar supuestos sobre los valores que podrían tomar los factores de riesgo en caso de que se presentara alguna situación totalmente imprevista, sobre la cual no se</w:t>
      </w:r>
      <w:r w:rsidR="005A23BC" w:rsidRPr="00670830">
        <w:rPr>
          <w:rFonts w:ascii="Arial" w:eastAsia="Arial Unicode MS" w:hAnsi="Arial" w:cs="Arial"/>
          <w:sz w:val="24"/>
          <w:szCs w:val="24"/>
        </w:rPr>
        <w:t xml:space="preserve"> tiene ningún antecedente; por ejemplo, un </w:t>
      </w:r>
      <w:r w:rsidRPr="00670830">
        <w:rPr>
          <w:rFonts w:ascii="Arial" w:eastAsia="Arial Unicode MS" w:hAnsi="Arial" w:cs="Arial"/>
          <w:sz w:val="24"/>
          <w:szCs w:val="24"/>
        </w:rPr>
        <w:t>terremoto de proporciones catastróficas, un ataque terrorista o d</w:t>
      </w:r>
      <w:r w:rsidR="00746E29" w:rsidRPr="00670830">
        <w:rPr>
          <w:rFonts w:ascii="Arial" w:eastAsia="Arial Unicode MS" w:hAnsi="Arial" w:cs="Arial"/>
          <w:sz w:val="24"/>
          <w:szCs w:val="24"/>
        </w:rPr>
        <w:t>eterminada situación política.</w:t>
      </w:r>
    </w:p>
    <w:p w:rsidR="00B25A92" w:rsidRPr="00670830" w:rsidRDefault="00746E29" w:rsidP="00670830">
      <w:pPr>
        <w:spacing w:before="100" w:beforeAutospacing="1" w:after="100" w:afterAutospacing="1" w:line="360" w:lineRule="auto"/>
        <w:ind w:left="360"/>
        <w:jc w:val="both"/>
        <w:rPr>
          <w:rFonts w:ascii="Arial" w:eastAsia="Arial Unicode MS" w:hAnsi="Arial" w:cs="Arial"/>
          <w:sz w:val="24"/>
          <w:szCs w:val="24"/>
        </w:rPr>
      </w:pPr>
      <w:r w:rsidRPr="00670830">
        <w:rPr>
          <w:rFonts w:ascii="Arial" w:eastAsia="Arial Unicode MS" w:hAnsi="Arial" w:cs="Arial"/>
          <w:sz w:val="24"/>
          <w:szCs w:val="24"/>
        </w:rPr>
        <w:t>[http://www.banxico.org.mx/sistema-financiero/material-educativo/intermedio/riesgos/%7BA5059B92-176D-0BB6-2958-7257E2799FAD%7D.pdf]</w:t>
      </w:r>
    </w:p>
    <w:p w:rsidR="00746E29" w:rsidRPr="00670830" w:rsidRDefault="00746E29" w:rsidP="00670830">
      <w:pPr>
        <w:spacing w:before="100" w:beforeAutospacing="1" w:after="100" w:afterAutospacing="1" w:line="360" w:lineRule="auto"/>
        <w:ind w:left="360"/>
        <w:jc w:val="both"/>
        <w:rPr>
          <w:rFonts w:ascii="Arial" w:eastAsia="Arial Unicode MS" w:hAnsi="Arial" w:cs="Arial"/>
          <w:sz w:val="24"/>
          <w:szCs w:val="24"/>
        </w:rPr>
      </w:pPr>
    </w:p>
    <w:p w:rsidR="00FD0894" w:rsidRDefault="00FD0894" w:rsidP="00670830">
      <w:pPr>
        <w:spacing w:before="100" w:beforeAutospacing="1" w:after="100" w:afterAutospacing="1" w:line="360" w:lineRule="auto"/>
        <w:ind w:left="360"/>
        <w:jc w:val="both"/>
        <w:rPr>
          <w:rFonts w:ascii="Arial" w:eastAsia="Arial Unicode MS" w:hAnsi="Arial" w:cs="Arial"/>
          <w:sz w:val="24"/>
          <w:szCs w:val="24"/>
        </w:rPr>
      </w:pPr>
    </w:p>
    <w:p w:rsidR="00670830" w:rsidRDefault="00670830" w:rsidP="00670830">
      <w:pPr>
        <w:spacing w:before="100" w:beforeAutospacing="1" w:after="100" w:afterAutospacing="1" w:line="360" w:lineRule="auto"/>
        <w:ind w:left="360"/>
        <w:jc w:val="both"/>
        <w:rPr>
          <w:rFonts w:ascii="Arial" w:eastAsia="Arial Unicode MS" w:hAnsi="Arial" w:cs="Arial"/>
          <w:sz w:val="24"/>
          <w:szCs w:val="24"/>
        </w:rPr>
      </w:pPr>
    </w:p>
    <w:p w:rsidR="00670830" w:rsidRPr="00670830" w:rsidRDefault="00670830" w:rsidP="00670830">
      <w:pPr>
        <w:spacing w:before="100" w:beforeAutospacing="1" w:after="100" w:afterAutospacing="1" w:line="360" w:lineRule="auto"/>
        <w:ind w:left="360"/>
        <w:jc w:val="both"/>
        <w:rPr>
          <w:rFonts w:ascii="Arial" w:eastAsia="Arial Unicode MS" w:hAnsi="Arial" w:cs="Arial"/>
          <w:sz w:val="24"/>
          <w:szCs w:val="24"/>
        </w:rPr>
      </w:pPr>
    </w:p>
    <w:p w:rsidR="00B45FD1" w:rsidRPr="00670830" w:rsidRDefault="00B45FD1" w:rsidP="00670830">
      <w:pPr>
        <w:spacing w:before="100" w:beforeAutospacing="1" w:after="100" w:afterAutospacing="1" w:line="360" w:lineRule="auto"/>
        <w:jc w:val="both"/>
        <w:rPr>
          <w:rFonts w:ascii="Arial" w:eastAsia="Arial Unicode MS" w:hAnsi="Arial" w:cs="Arial"/>
          <w:sz w:val="24"/>
          <w:szCs w:val="24"/>
        </w:rPr>
      </w:pPr>
    </w:p>
    <w:p w:rsidR="00F3095F" w:rsidRPr="00670830" w:rsidRDefault="00574445" w:rsidP="00670830">
      <w:pPr>
        <w:pStyle w:val="Ttulo1"/>
        <w:spacing w:before="100" w:beforeAutospacing="1" w:after="100" w:afterAutospacing="1" w:line="360" w:lineRule="auto"/>
        <w:jc w:val="center"/>
        <w:rPr>
          <w:rFonts w:ascii="Arial" w:eastAsia="Arial Unicode MS" w:hAnsi="Arial" w:cs="Arial"/>
          <w:sz w:val="24"/>
          <w:szCs w:val="24"/>
        </w:rPr>
      </w:pPr>
      <w:bookmarkStart w:id="31" w:name="_Toc488230508"/>
      <w:r w:rsidRPr="00670830">
        <w:rPr>
          <w:rFonts w:ascii="Arial" w:eastAsia="Arial Unicode MS" w:hAnsi="Arial" w:cs="Arial"/>
          <w:color w:val="auto"/>
          <w:sz w:val="24"/>
          <w:szCs w:val="24"/>
        </w:rPr>
        <w:t xml:space="preserve">Capítulo 4. </w:t>
      </w:r>
      <w:r w:rsidR="0049623C" w:rsidRPr="00670830">
        <w:rPr>
          <w:rFonts w:ascii="Arial" w:eastAsia="Arial Unicode MS" w:hAnsi="Arial" w:cs="Arial"/>
          <w:color w:val="auto"/>
          <w:sz w:val="24"/>
          <w:szCs w:val="24"/>
        </w:rPr>
        <w:t xml:space="preserve">Contraste del </w:t>
      </w:r>
      <w:proofErr w:type="spellStart"/>
      <w:r w:rsidR="0049623C" w:rsidRPr="00670830">
        <w:rPr>
          <w:rFonts w:ascii="Arial" w:eastAsia="Arial Unicode MS" w:hAnsi="Arial" w:cs="Arial"/>
          <w:color w:val="auto"/>
          <w:sz w:val="24"/>
          <w:szCs w:val="24"/>
        </w:rPr>
        <w:t>VaR</w:t>
      </w:r>
      <w:proofErr w:type="spellEnd"/>
      <w:r w:rsidR="0049623C" w:rsidRPr="00670830">
        <w:rPr>
          <w:rFonts w:ascii="Arial" w:eastAsia="Arial Unicode MS" w:hAnsi="Arial" w:cs="Arial"/>
          <w:color w:val="auto"/>
          <w:sz w:val="24"/>
          <w:szCs w:val="24"/>
        </w:rPr>
        <w:t xml:space="preserve"> de una cartera diversificada de manera aleatoria y otra de forma científica</w:t>
      </w:r>
      <w:bookmarkEnd w:id="31"/>
    </w:p>
    <w:p w:rsidR="00382E67" w:rsidRPr="00670830" w:rsidRDefault="00E65E7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Como lo comentamos en los capítulos</w:t>
      </w:r>
      <w:r w:rsidR="00F90E95" w:rsidRPr="00670830">
        <w:rPr>
          <w:rFonts w:ascii="Arial" w:eastAsia="Arial Unicode MS" w:hAnsi="Arial" w:cs="Arial"/>
          <w:sz w:val="24"/>
          <w:szCs w:val="24"/>
        </w:rPr>
        <w:t xml:space="preserve"> anteriores, todo inversionista</w:t>
      </w:r>
      <w:r w:rsidRPr="00670830">
        <w:rPr>
          <w:rFonts w:ascii="Arial" w:eastAsia="Arial Unicode MS" w:hAnsi="Arial" w:cs="Arial"/>
          <w:sz w:val="24"/>
          <w:szCs w:val="24"/>
        </w:rPr>
        <w:t xml:space="preserve"> tiene la necesidad de invertir en activos que le briden el mayor rendimiento al menor nivel de riesgo posible, es decir, el inversionista</w:t>
      </w:r>
      <w:r w:rsidR="00F90E95" w:rsidRPr="00670830">
        <w:rPr>
          <w:rFonts w:ascii="Arial" w:eastAsia="Arial Unicode MS" w:hAnsi="Arial" w:cs="Arial"/>
          <w:sz w:val="24"/>
          <w:szCs w:val="24"/>
        </w:rPr>
        <w:t xml:space="preserve"> siempre bus</w:t>
      </w:r>
      <w:r w:rsidR="0049623C" w:rsidRPr="00670830">
        <w:rPr>
          <w:rFonts w:ascii="Arial" w:eastAsia="Arial Unicode MS" w:hAnsi="Arial" w:cs="Arial"/>
          <w:sz w:val="24"/>
          <w:szCs w:val="24"/>
        </w:rPr>
        <w:t>cará diversificar su cartera</w:t>
      </w:r>
      <w:r w:rsidR="00F90E95" w:rsidRPr="00670830">
        <w:rPr>
          <w:rFonts w:ascii="Arial" w:eastAsia="Arial Unicode MS" w:hAnsi="Arial" w:cs="Arial"/>
          <w:sz w:val="24"/>
          <w:szCs w:val="24"/>
        </w:rPr>
        <w:t xml:space="preserve"> para obtener el mayor retorno minimizando su exposición al riesgo.</w:t>
      </w:r>
    </w:p>
    <w:p w:rsidR="00D76591" w:rsidRPr="00670830" w:rsidRDefault="00952A3E"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Considerando lo anterior, para nuestro estudio, </w:t>
      </w:r>
      <w:r w:rsidR="00AB197A" w:rsidRPr="00670830">
        <w:rPr>
          <w:rFonts w:ascii="Arial" w:eastAsia="Arial Unicode MS" w:hAnsi="Arial" w:cs="Arial"/>
          <w:sz w:val="24"/>
          <w:szCs w:val="24"/>
        </w:rPr>
        <w:t xml:space="preserve">se realizará el siguiente ejercicio: </w:t>
      </w:r>
    </w:p>
    <w:p w:rsidR="00D76591" w:rsidRPr="00670830" w:rsidRDefault="00D76591" w:rsidP="00670830">
      <w:pPr>
        <w:pStyle w:val="Prrafodelista"/>
        <w:numPr>
          <w:ilvl w:val="0"/>
          <w:numId w:val="28"/>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S</w:t>
      </w:r>
      <w:r w:rsidR="00AB197A" w:rsidRPr="00670830">
        <w:rPr>
          <w:rFonts w:ascii="Arial" w:eastAsia="Arial Unicode MS" w:hAnsi="Arial" w:cs="Arial"/>
          <w:sz w:val="24"/>
          <w:szCs w:val="24"/>
        </w:rPr>
        <w:t xml:space="preserve">e construirán 2 </w:t>
      </w:r>
      <w:r w:rsidR="0049623C" w:rsidRPr="00670830">
        <w:rPr>
          <w:rFonts w:ascii="Arial" w:eastAsia="Arial Unicode MS" w:hAnsi="Arial" w:cs="Arial"/>
          <w:sz w:val="24"/>
          <w:szCs w:val="24"/>
        </w:rPr>
        <w:t>carteras</w:t>
      </w:r>
      <w:r w:rsidR="00AB197A" w:rsidRPr="00670830">
        <w:rPr>
          <w:rFonts w:ascii="Arial" w:eastAsia="Arial Unicode MS" w:hAnsi="Arial" w:cs="Arial"/>
          <w:sz w:val="24"/>
          <w:szCs w:val="24"/>
        </w:rPr>
        <w:t xml:space="preserve"> de inversión</w:t>
      </w:r>
      <w:r w:rsidR="00F3095F" w:rsidRPr="00670830">
        <w:rPr>
          <w:rFonts w:ascii="Arial" w:eastAsia="Arial Unicode MS" w:hAnsi="Arial" w:cs="Arial"/>
          <w:sz w:val="24"/>
          <w:szCs w:val="24"/>
        </w:rPr>
        <w:t>:</w:t>
      </w:r>
    </w:p>
    <w:p w:rsidR="00F3095F" w:rsidRPr="00670830" w:rsidRDefault="00F3095F" w:rsidP="00670830">
      <w:pPr>
        <w:pStyle w:val="Prrafodelista"/>
        <w:spacing w:before="100" w:beforeAutospacing="1" w:after="100" w:afterAutospacing="1" w:line="360" w:lineRule="auto"/>
        <w:jc w:val="both"/>
        <w:rPr>
          <w:rFonts w:ascii="Arial" w:eastAsia="Arial Unicode MS" w:hAnsi="Arial" w:cs="Arial"/>
          <w:sz w:val="24"/>
          <w:szCs w:val="24"/>
        </w:rPr>
      </w:pPr>
    </w:p>
    <w:p w:rsidR="00D76591" w:rsidRPr="00670830" w:rsidRDefault="00743F5B" w:rsidP="00670830">
      <w:pPr>
        <w:pStyle w:val="Prrafodelista"/>
        <w:numPr>
          <w:ilvl w:val="1"/>
          <w:numId w:val="28"/>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primera</w:t>
      </w:r>
      <w:r w:rsidR="00D76591" w:rsidRPr="00670830">
        <w:rPr>
          <w:rFonts w:ascii="Arial" w:eastAsia="Arial Unicode MS" w:hAnsi="Arial" w:cs="Arial"/>
          <w:sz w:val="24"/>
          <w:szCs w:val="24"/>
        </w:rPr>
        <w:t xml:space="preserve"> con base en la teoría de selección de </w:t>
      </w:r>
      <w:r w:rsidR="00B242A9" w:rsidRPr="00670830">
        <w:rPr>
          <w:rFonts w:ascii="Arial" w:eastAsia="Arial Unicode MS" w:hAnsi="Arial" w:cs="Arial"/>
          <w:sz w:val="24"/>
          <w:szCs w:val="24"/>
        </w:rPr>
        <w:t>carteras</w:t>
      </w:r>
      <w:r w:rsidR="00D76591" w:rsidRPr="00670830">
        <w:rPr>
          <w:rFonts w:ascii="Arial" w:eastAsia="Arial Unicode MS" w:hAnsi="Arial" w:cs="Arial"/>
          <w:sz w:val="24"/>
          <w:szCs w:val="24"/>
        </w:rPr>
        <w:t xml:space="preserve"> propuesta por Harry </w:t>
      </w:r>
      <w:proofErr w:type="spellStart"/>
      <w:r w:rsidR="00D76591" w:rsidRPr="00670830">
        <w:rPr>
          <w:rFonts w:ascii="Arial" w:eastAsia="Arial Unicode MS" w:hAnsi="Arial" w:cs="Arial"/>
          <w:sz w:val="24"/>
          <w:szCs w:val="24"/>
        </w:rPr>
        <w:t>Markowitz</w:t>
      </w:r>
      <w:proofErr w:type="spellEnd"/>
      <w:r w:rsidR="00D76591" w:rsidRPr="00670830">
        <w:rPr>
          <w:rFonts w:ascii="Arial" w:eastAsia="Arial Unicode MS" w:hAnsi="Arial" w:cs="Arial"/>
          <w:sz w:val="24"/>
          <w:szCs w:val="24"/>
        </w:rPr>
        <w:t>.</w:t>
      </w:r>
    </w:p>
    <w:p w:rsidR="00F3095F" w:rsidRPr="00670830" w:rsidRDefault="00F3095F" w:rsidP="00670830">
      <w:pPr>
        <w:pStyle w:val="Prrafodelista"/>
        <w:spacing w:before="100" w:beforeAutospacing="1" w:after="100" w:afterAutospacing="1" w:line="360" w:lineRule="auto"/>
        <w:ind w:left="1440"/>
        <w:jc w:val="both"/>
        <w:rPr>
          <w:rFonts w:ascii="Arial" w:eastAsia="Arial Unicode MS" w:hAnsi="Arial" w:cs="Arial"/>
          <w:sz w:val="24"/>
          <w:szCs w:val="24"/>
        </w:rPr>
      </w:pPr>
    </w:p>
    <w:p w:rsidR="00D76591" w:rsidRPr="00670830" w:rsidRDefault="00743F5B" w:rsidP="00670830">
      <w:pPr>
        <w:pStyle w:val="Prrafodelista"/>
        <w:numPr>
          <w:ilvl w:val="1"/>
          <w:numId w:val="28"/>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Para la segunda</w:t>
      </w:r>
      <w:r w:rsidR="00D76591" w:rsidRPr="00670830">
        <w:rPr>
          <w:rFonts w:ascii="Arial" w:eastAsia="Arial Unicode MS" w:hAnsi="Arial" w:cs="Arial"/>
          <w:sz w:val="24"/>
          <w:szCs w:val="24"/>
        </w:rPr>
        <w:t xml:space="preserve"> se asignarán proporciones aleatorias a cada una de las acciones a invertir.</w:t>
      </w:r>
    </w:p>
    <w:p w:rsidR="00F3095F" w:rsidRPr="00670830" w:rsidRDefault="00F3095F" w:rsidP="00670830">
      <w:pPr>
        <w:pStyle w:val="Prrafodelista"/>
        <w:spacing w:line="360" w:lineRule="auto"/>
        <w:rPr>
          <w:rFonts w:ascii="Arial" w:eastAsia="Arial Unicode MS" w:hAnsi="Arial" w:cs="Arial"/>
          <w:sz w:val="24"/>
          <w:szCs w:val="24"/>
        </w:rPr>
      </w:pPr>
    </w:p>
    <w:p w:rsidR="00F3095F" w:rsidRPr="00670830" w:rsidRDefault="00F3095F" w:rsidP="00670830">
      <w:pPr>
        <w:pStyle w:val="Prrafodelista"/>
        <w:spacing w:before="100" w:beforeAutospacing="1" w:after="100" w:afterAutospacing="1" w:line="360" w:lineRule="auto"/>
        <w:ind w:left="1440"/>
        <w:jc w:val="both"/>
        <w:rPr>
          <w:rFonts w:ascii="Arial" w:eastAsia="Arial Unicode MS" w:hAnsi="Arial" w:cs="Arial"/>
          <w:sz w:val="24"/>
          <w:szCs w:val="24"/>
        </w:rPr>
      </w:pPr>
    </w:p>
    <w:p w:rsidR="00C00C4C" w:rsidRPr="00670830" w:rsidRDefault="00D76591" w:rsidP="00670830">
      <w:pPr>
        <w:pStyle w:val="Prrafodelista"/>
        <w:numPr>
          <w:ilvl w:val="0"/>
          <w:numId w:val="28"/>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Se calculará el val</w:t>
      </w:r>
      <w:r w:rsidR="00743F5B" w:rsidRPr="00670830">
        <w:rPr>
          <w:rFonts w:ascii="Arial" w:eastAsia="Arial Unicode MS" w:hAnsi="Arial" w:cs="Arial"/>
          <w:sz w:val="24"/>
          <w:szCs w:val="24"/>
        </w:rPr>
        <w:t>or en riesgo (</w:t>
      </w:r>
      <w:proofErr w:type="spellStart"/>
      <w:r w:rsidR="00743F5B" w:rsidRPr="00670830">
        <w:rPr>
          <w:rFonts w:ascii="Arial" w:eastAsia="Arial Unicode MS" w:hAnsi="Arial" w:cs="Arial"/>
          <w:sz w:val="24"/>
          <w:szCs w:val="24"/>
        </w:rPr>
        <w:t>VaR</w:t>
      </w:r>
      <w:proofErr w:type="spellEnd"/>
      <w:r w:rsidR="00743F5B" w:rsidRPr="00670830">
        <w:rPr>
          <w:rFonts w:ascii="Arial" w:eastAsia="Arial Unicode MS" w:hAnsi="Arial" w:cs="Arial"/>
          <w:sz w:val="24"/>
          <w:szCs w:val="24"/>
        </w:rPr>
        <w:t>) para cada una de ella</w:t>
      </w:r>
      <w:r w:rsidR="008D7A42" w:rsidRPr="00670830">
        <w:rPr>
          <w:rFonts w:ascii="Arial" w:eastAsia="Arial Unicode MS" w:hAnsi="Arial" w:cs="Arial"/>
          <w:sz w:val="24"/>
          <w:szCs w:val="24"/>
        </w:rPr>
        <w:t>s y se hará el contraste</w:t>
      </w:r>
      <w:r w:rsidR="00382E67" w:rsidRPr="00670830">
        <w:rPr>
          <w:rFonts w:ascii="Arial" w:eastAsia="Arial Unicode MS" w:hAnsi="Arial" w:cs="Arial"/>
          <w:sz w:val="24"/>
          <w:szCs w:val="24"/>
        </w:rPr>
        <w:t xml:space="preserve"> de los resultados obtenidos y así elegir el mejor método de selección.</w:t>
      </w:r>
    </w:p>
    <w:p w:rsidR="00D76591" w:rsidRPr="00670830" w:rsidRDefault="00952A3E"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Tomando en cuenta las siguientes c</w:t>
      </w:r>
      <w:r w:rsidR="009D0C8E" w:rsidRPr="00670830">
        <w:rPr>
          <w:rFonts w:ascii="Arial" w:eastAsia="Arial Unicode MS" w:hAnsi="Arial" w:cs="Arial"/>
          <w:sz w:val="24"/>
          <w:szCs w:val="24"/>
        </w:rPr>
        <w:t>onsideraciones:</w:t>
      </w:r>
    </w:p>
    <w:p w:rsidR="009D0C8E" w:rsidRPr="00670830" w:rsidRDefault="009D0C8E" w:rsidP="00670830">
      <w:pPr>
        <w:pStyle w:val="Prrafodelista"/>
        <w:numPr>
          <w:ilvl w:val="0"/>
          <w:numId w:val="29"/>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Se asume que los retornos diarios de las acciones observadas presentan una distribución normal en el intervalo de tiempo de estudio.</w:t>
      </w:r>
    </w:p>
    <w:p w:rsidR="00F3095F" w:rsidRPr="00670830" w:rsidRDefault="00F3095F" w:rsidP="00670830">
      <w:pPr>
        <w:pStyle w:val="Prrafodelista"/>
        <w:spacing w:before="100" w:beforeAutospacing="1" w:after="100" w:afterAutospacing="1" w:line="360" w:lineRule="auto"/>
        <w:jc w:val="both"/>
        <w:rPr>
          <w:rFonts w:ascii="Arial" w:eastAsia="Arial Unicode MS" w:hAnsi="Arial" w:cs="Arial"/>
          <w:sz w:val="24"/>
          <w:szCs w:val="24"/>
        </w:rPr>
      </w:pPr>
    </w:p>
    <w:p w:rsidR="00952A3E" w:rsidRPr="00670830" w:rsidRDefault="002718A2" w:rsidP="00670830">
      <w:pPr>
        <w:pStyle w:val="Prrafodelista"/>
        <w:numPr>
          <w:ilvl w:val="0"/>
          <w:numId w:val="29"/>
        </w:num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Dado el supuesto anterior, el método que se utilizará para el cálculo del </w:t>
      </w:r>
      <w:proofErr w:type="spellStart"/>
      <w:r w:rsidRPr="00670830">
        <w:rPr>
          <w:rFonts w:ascii="Arial" w:eastAsia="Arial Unicode MS" w:hAnsi="Arial" w:cs="Arial"/>
          <w:sz w:val="24"/>
          <w:szCs w:val="24"/>
        </w:rPr>
        <w:t>VaR</w:t>
      </w:r>
      <w:proofErr w:type="spellEnd"/>
      <w:r w:rsidRPr="00670830">
        <w:rPr>
          <w:rFonts w:ascii="Arial" w:eastAsia="Arial Unicode MS" w:hAnsi="Arial" w:cs="Arial"/>
          <w:sz w:val="24"/>
          <w:szCs w:val="24"/>
        </w:rPr>
        <w:t xml:space="preserve"> será de tipo paramétrico mediante el método Delta-Normal.</w:t>
      </w:r>
    </w:p>
    <w:p w:rsidR="0083435C" w:rsidRPr="00670830" w:rsidRDefault="0083435C" w:rsidP="00670830">
      <w:pPr>
        <w:pStyle w:val="Prrafodelista"/>
        <w:spacing w:before="100" w:beforeAutospacing="1" w:after="100" w:afterAutospacing="1" w:line="360" w:lineRule="auto"/>
        <w:jc w:val="both"/>
        <w:rPr>
          <w:rFonts w:ascii="Arial" w:eastAsia="Arial Unicode MS" w:hAnsi="Arial" w:cs="Arial"/>
          <w:sz w:val="24"/>
          <w:szCs w:val="24"/>
        </w:rPr>
      </w:pPr>
    </w:p>
    <w:p w:rsidR="0083435C" w:rsidRPr="00670830" w:rsidRDefault="0083435C" w:rsidP="00670830">
      <w:pPr>
        <w:pStyle w:val="Prrafodelista"/>
        <w:spacing w:before="100" w:beforeAutospacing="1" w:after="100" w:afterAutospacing="1" w:line="360" w:lineRule="auto"/>
        <w:jc w:val="both"/>
        <w:rPr>
          <w:rFonts w:ascii="Arial" w:eastAsia="Arial Unicode MS" w:hAnsi="Arial" w:cs="Arial"/>
          <w:sz w:val="24"/>
          <w:szCs w:val="24"/>
        </w:rPr>
      </w:pPr>
    </w:p>
    <w:p w:rsidR="00C00C4C" w:rsidRPr="00670830" w:rsidRDefault="00C00C4C" w:rsidP="00670830">
      <w:pPr>
        <w:pStyle w:val="Ttulo2"/>
        <w:spacing w:before="100" w:beforeAutospacing="1" w:after="100" w:afterAutospacing="1" w:line="360" w:lineRule="auto"/>
        <w:jc w:val="both"/>
        <w:rPr>
          <w:rFonts w:ascii="Arial" w:eastAsia="Arial Unicode MS" w:hAnsi="Arial" w:cs="Arial"/>
          <w:color w:val="auto"/>
          <w:sz w:val="24"/>
          <w:szCs w:val="24"/>
        </w:rPr>
      </w:pPr>
      <w:bookmarkStart w:id="32" w:name="_Toc488230509"/>
      <w:r w:rsidRPr="00670830">
        <w:rPr>
          <w:rFonts w:ascii="Arial" w:eastAsia="Arial Unicode MS" w:hAnsi="Arial" w:cs="Arial"/>
          <w:color w:val="auto"/>
          <w:sz w:val="24"/>
          <w:szCs w:val="24"/>
        </w:rPr>
        <w:t>4.1.  Selección de la muestra</w:t>
      </w:r>
      <w:bookmarkEnd w:id="32"/>
    </w:p>
    <w:p w:rsidR="00BE3194" w:rsidRPr="00670830" w:rsidRDefault="00BE319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muestra objeto del análisis, estará conformada por los precios al cierre de las 35 empresas que actualmente conforman el Índice de Precios y Cotizaciones. La ventana de análisis será del 03 de enero del 2011 al 15 de junio del 2015, se considerarán en total 1,161 datos.</w:t>
      </w:r>
    </w:p>
    <w:p w:rsidR="00BE3194" w:rsidRPr="00670830" w:rsidRDefault="00BE319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De las 35 empresas emisoras</w:t>
      </w:r>
      <w:r w:rsidR="003E68B2" w:rsidRPr="00670830">
        <w:rPr>
          <w:rFonts w:ascii="Arial" w:eastAsia="Arial Unicode MS" w:hAnsi="Arial" w:cs="Arial"/>
          <w:sz w:val="24"/>
          <w:szCs w:val="24"/>
        </w:rPr>
        <w:t xml:space="preserve"> registradas</w:t>
      </w:r>
      <w:r w:rsidRPr="00670830">
        <w:rPr>
          <w:rFonts w:ascii="Arial" w:eastAsia="Arial Unicode MS" w:hAnsi="Arial" w:cs="Arial"/>
          <w:sz w:val="24"/>
          <w:szCs w:val="24"/>
        </w:rPr>
        <w:t>,</w:t>
      </w:r>
      <w:r w:rsidR="003E68B2" w:rsidRPr="00670830">
        <w:rPr>
          <w:rFonts w:ascii="Arial" w:eastAsia="Arial Unicode MS" w:hAnsi="Arial" w:cs="Arial"/>
          <w:sz w:val="24"/>
          <w:szCs w:val="24"/>
        </w:rPr>
        <w:t xml:space="preserve"> al 15 de junio del</w:t>
      </w:r>
      <w:r w:rsidRPr="00670830">
        <w:rPr>
          <w:rFonts w:ascii="Arial" w:eastAsia="Arial Unicode MS" w:hAnsi="Arial" w:cs="Arial"/>
          <w:sz w:val="24"/>
          <w:szCs w:val="24"/>
        </w:rPr>
        <w:t xml:space="preserve"> 2015</w:t>
      </w:r>
      <w:r w:rsidR="003E68B2" w:rsidRPr="00670830">
        <w:rPr>
          <w:rFonts w:ascii="Arial" w:eastAsia="Arial Unicode MS" w:hAnsi="Arial" w:cs="Arial"/>
          <w:sz w:val="24"/>
          <w:szCs w:val="24"/>
        </w:rPr>
        <w:t xml:space="preserve">, </w:t>
      </w:r>
      <w:r w:rsidR="00481F98" w:rsidRPr="00670830">
        <w:rPr>
          <w:rFonts w:ascii="Arial" w:eastAsia="Arial Unicode MS" w:hAnsi="Arial" w:cs="Arial"/>
          <w:sz w:val="24"/>
          <w:szCs w:val="24"/>
        </w:rPr>
        <w:t>se se</w:t>
      </w:r>
      <w:r w:rsidR="007317D7" w:rsidRPr="00670830">
        <w:rPr>
          <w:rFonts w:ascii="Arial" w:eastAsia="Arial Unicode MS" w:hAnsi="Arial" w:cs="Arial"/>
          <w:sz w:val="24"/>
          <w:szCs w:val="24"/>
        </w:rPr>
        <w:t>leccionaron 28</w:t>
      </w:r>
      <w:r w:rsidRPr="00670830">
        <w:rPr>
          <w:rFonts w:ascii="Arial" w:eastAsia="Arial Unicode MS" w:hAnsi="Arial" w:cs="Arial"/>
          <w:sz w:val="24"/>
          <w:szCs w:val="24"/>
        </w:rPr>
        <w:t xml:space="preserve"> empresas. </w:t>
      </w:r>
    </w:p>
    <w:p w:rsidR="00481F98" w:rsidRPr="00670830" w:rsidRDefault="00BE319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Se consideraron 28 empresas debido a que fueron las que se mantuvieron vigentes en el IPC durante el período a estudiar.</w:t>
      </w:r>
    </w:p>
    <w:p w:rsidR="003E68B2" w:rsidRPr="00670830" w:rsidRDefault="003E68B2"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Lo anterior nos garantiza que se estarán analizando los precios diarios de emisoras con alta </w:t>
      </w:r>
      <w:proofErr w:type="spellStart"/>
      <w:r w:rsidRPr="00670830">
        <w:rPr>
          <w:rFonts w:ascii="Arial" w:eastAsia="Arial Unicode MS" w:hAnsi="Arial" w:cs="Arial"/>
          <w:sz w:val="24"/>
          <w:szCs w:val="24"/>
        </w:rPr>
        <w:t>bursatilidad</w:t>
      </w:r>
      <w:proofErr w:type="spellEnd"/>
      <w:r w:rsidRPr="00670830">
        <w:rPr>
          <w:rFonts w:ascii="Arial" w:eastAsia="Arial Unicode MS" w:hAnsi="Arial" w:cs="Arial"/>
          <w:sz w:val="24"/>
          <w:szCs w:val="24"/>
        </w:rPr>
        <w:t xml:space="preserve">, que han pasado por un detallado proceso de selección, en los que se revisa que cuenten con estabilidad en sus precios de mercado y que tengan amplia participación pública en la posición de su emisión, entre otras. </w:t>
      </w:r>
    </w:p>
    <w:p w:rsidR="003E68B2" w:rsidRPr="00670830" w:rsidRDefault="00BE3194" w:rsidP="00670830">
      <w:pPr>
        <w:spacing w:before="100" w:beforeAutospacing="1" w:after="100" w:afterAutospacing="1" w:line="360" w:lineRule="auto"/>
        <w:jc w:val="center"/>
        <w:rPr>
          <w:rFonts w:ascii="Arial" w:eastAsia="Arial Unicode MS" w:hAnsi="Arial" w:cs="Arial"/>
          <w:sz w:val="24"/>
          <w:szCs w:val="24"/>
        </w:rPr>
      </w:pPr>
      <w:r w:rsidRPr="00670830">
        <w:rPr>
          <w:rFonts w:ascii="Arial" w:eastAsia="Arial Unicode MS" w:hAnsi="Arial" w:cs="Arial"/>
          <w:noProof/>
          <w:sz w:val="24"/>
          <w:szCs w:val="24"/>
          <w:lang w:eastAsia="es-MX"/>
        </w:rPr>
        <mc:AlternateContent>
          <mc:Choice Requires="wps">
            <w:drawing>
              <wp:anchor distT="0" distB="0" distL="114300" distR="114300" simplePos="0" relativeHeight="251659264" behindDoc="0" locked="0" layoutInCell="1" allowOverlap="1" wp14:anchorId="7EA6065A" wp14:editId="424EA7D3">
                <wp:simplePos x="0" y="0"/>
                <wp:positionH relativeFrom="column">
                  <wp:posOffset>4101465</wp:posOffset>
                </wp:positionH>
                <wp:positionV relativeFrom="paragraph">
                  <wp:posOffset>290830</wp:posOffset>
                </wp:positionV>
                <wp:extent cx="0" cy="1771650"/>
                <wp:effectExtent l="0" t="0" r="19050" b="19050"/>
                <wp:wrapNone/>
                <wp:docPr id="4" name="4 Conector recto"/>
                <wp:cNvGraphicFramePr/>
                <a:graphic xmlns:a="http://schemas.openxmlformats.org/drawingml/2006/main">
                  <a:graphicData uri="http://schemas.microsoft.com/office/word/2010/wordprocessingShape">
                    <wps:wsp>
                      <wps:cNvCnPr/>
                      <wps:spPr>
                        <a:xfrm>
                          <a:off x="0" y="0"/>
                          <a:ext cx="0" cy="1771650"/>
                        </a:xfrm>
                        <a:prstGeom prst="line">
                          <a:avLst/>
                        </a:prstGeom>
                        <a:ln w="1905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4 Conector recto"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22.95pt,22.9pt" to="322.95pt,16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" strokecolor="black [3213]" strokeweight="1.5pt">
                <v:stroke dashstyle="1 1"/>
              </v:line>
            </w:pict>
          </mc:Fallback>
        </mc:AlternateContent>
      </w:r>
      <w:r w:rsidR="003E68B2" w:rsidRPr="00670830">
        <w:rPr>
          <w:rFonts w:ascii="Arial" w:eastAsia="Arial Unicode MS" w:hAnsi="Arial" w:cs="Arial"/>
          <w:noProof/>
          <w:sz w:val="24"/>
          <w:szCs w:val="24"/>
          <w:lang w:eastAsia="es-MX"/>
        </w:rPr>
        <w:drawing>
          <wp:inline distT="0" distB="0" distL="0" distR="0" wp14:anchorId="5E8930AD" wp14:editId="501D53AF">
            <wp:extent cx="4330800" cy="25992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30800" cy="2599200"/>
                    </a:xfrm>
                    <a:prstGeom prst="rect">
                      <a:avLst/>
                    </a:prstGeom>
                    <a:noFill/>
                  </pic:spPr>
                </pic:pic>
              </a:graphicData>
            </a:graphic>
          </wp:inline>
        </w:drawing>
      </w:r>
    </w:p>
    <w:p w:rsidR="003E68B2" w:rsidRPr="00670830" w:rsidRDefault="003E68B2" w:rsidP="00670830">
      <w:pPr>
        <w:spacing w:before="100" w:beforeAutospacing="1" w:after="100" w:afterAutospacing="1" w:line="360" w:lineRule="auto"/>
        <w:jc w:val="both"/>
        <w:rPr>
          <w:rFonts w:ascii="Arial" w:eastAsia="Arial Unicode MS" w:hAnsi="Arial" w:cs="Arial"/>
          <w:i/>
          <w:sz w:val="24"/>
          <w:szCs w:val="24"/>
        </w:rPr>
      </w:pPr>
      <w:r w:rsidRPr="00670830">
        <w:rPr>
          <w:rFonts w:ascii="Arial" w:eastAsia="Arial Unicode MS" w:hAnsi="Arial" w:cs="Arial"/>
          <w:i/>
          <w:sz w:val="24"/>
          <w:szCs w:val="24"/>
        </w:rPr>
        <w:t xml:space="preserve">*Fuente elaboración propia a partir de los precios históricos disponibles de emisoras en </w:t>
      </w:r>
      <w:proofErr w:type="spellStart"/>
      <w:r w:rsidRPr="00670830">
        <w:rPr>
          <w:rFonts w:ascii="Arial" w:eastAsia="Arial Unicode MS" w:hAnsi="Arial" w:cs="Arial"/>
          <w:i/>
          <w:sz w:val="24"/>
          <w:szCs w:val="24"/>
        </w:rPr>
        <w:t>Yahoo</w:t>
      </w:r>
      <w:proofErr w:type="spellEnd"/>
      <w:r w:rsidRPr="00670830">
        <w:rPr>
          <w:rFonts w:ascii="Arial" w:eastAsia="Arial Unicode MS" w:hAnsi="Arial" w:cs="Arial"/>
          <w:i/>
          <w:sz w:val="24"/>
          <w:szCs w:val="24"/>
        </w:rPr>
        <w:t xml:space="preserve"> Finanzas.</w:t>
      </w:r>
    </w:p>
    <w:p w:rsidR="00BE3194" w:rsidRPr="00670830" w:rsidRDefault="00BE3194" w:rsidP="00670830">
      <w:pPr>
        <w:spacing w:before="100" w:beforeAutospacing="1" w:after="100" w:afterAutospacing="1" w:line="360" w:lineRule="auto"/>
        <w:jc w:val="both"/>
        <w:rPr>
          <w:rFonts w:ascii="Arial" w:eastAsia="Arial Unicode MS" w:hAnsi="Arial" w:cs="Arial"/>
          <w:sz w:val="24"/>
          <w:szCs w:val="24"/>
        </w:rPr>
      </w:pPr>
    </w:p>
    <w:p w:rsidR="000F4B88" w:rsidRPr="00670830" w:rsidRDefault="000F4B8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Las empresas que se conforman la muestra son:</w:t>
      </w:r>
    </w:p>
    <w:tbl>
      <w:tblPr>
        <w:tblW w:w="7085" w:type="dxa"/>
        <w:jc w:val="center"/>
        <w:tblInd w:w="55" w:type="dxa"/>
        <w:tblCellMar>
          <w:left w:w="70" w:type="dxa"/>
          <w:right w:w="70" w:type="dxa"/>
        </w:tblCellMar>
        <w:tblLook w:val="04A0" w:firstRow="1" w:lastRow="0" w:firstColumn="1" w:lastColumn="0" w:noHBand="0" w:noVBand="1"/>
      </w:tblPr>
      <w:tblGrid>
        <w:gridCol w:w="1802"/>
        <w:gridCol w:w="1927"/>
        <w:gridCol w:w="2220"/>
        <w:gridCol w:w="2101"/>
      </w:tblGrid>
      <w:tr w:rsidR="00BE28E0" w:rsidRPr="00670830" w:rsidTr="00BE28E0">
        <w:trPr>
          <w:trHeight w:val="261"/>
          <w:jc w:val="center"/>
        </w:trPr>
        <w:tc>
          <w:tcPr>
            <w:tcW w:w="1802" w:type="dxa"/>
            <w:tcBorders>
              <w:top w:val="single" w:sz="4" w:space="0" w:color="0070C0"/>
              <w:left w:val="single" w:sz="4" w:space="0" w:color="0070C0"/>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ALSEA.MX</w:t>
            </w:r>
          </w:p>
        </w:tc>
        <w:tc>
          <w:tcPr>
            <w:tcW w:w="1802" w:type="dxa"/>
            <w:tcBorders>
              <w:top w:val="single" w:sz="4" w:space="0" w:color="0070C0"/>
              <w:left w:val="nil"/>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OHLMEX.MX</w:t>
            </w:r>
          </w:p>
        </w:tc>
        <w:tc>
          <w:tcPr>
            <w:tcW w:w="1802" w:type="dxa"/>
            <w:tcBorders>
              <w:top w:val="single" w:sz="4" w:space="0" w:color="0070C0"/>
              <w:left w:val="nil"/>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ALFAA.MX</w:t>
            </w:r>
          </w:p>
        </w:tc>
        <w:tc>
          <w:tcPr>
            <w:tcW w:w="1679" w:type="dxa"/>
            <w:tcBorders>
              <w:top w:val="single" w:sz="4" w:space="0" w:color="0070C0"/>
              <w:left w:val="nil"/>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KOFL.MX</w:t>
            </w:r>
          </w:p>
        </w:tc>
      </w:tr>
      <w:tr w:rsidR="00BE28E0" w:rsidRPr="00670830" w:rsidTr="00BE28E0">
        <w:trPr>
          <w:trHeight w:val="261"/>
          <w:jc w:val="center"/>
        </w:trPr>
        <w:tc>
          <w:tcPr>
            <w:tcW w:w="1802" w:type="dxa"/>
            <w:tcBorders>
              <w:top w:val="nil"/>
              <w:left w:val="single" w:sz="4" w:space="0" w:color="0070C0"/>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AC.MX</w:t>
            </w:r>
          </w:p>
        </w:tc>
        <w:tc>
          <w:tcPr>
            <w:tcW w:w="1802" w:type="dxa"/>
            <w:tcBorders>
              <w:top w:val="nil"/>
              <w:left w:val="nil"/>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BIMBOA.MX</w:t>
            </w:r>
          </w:p>
        </w:tc>
        <w:tc>
          <w:tcPr>
            <w:tcW w:w="1802" w:type="dxa"/>
            <w:tcBorders>
              <w:top w:val="nil"/>
              <w:left w:val="nil"/>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GCARSOA1.MX</w:t>
            </w:r>
          </w:p>
        </w:tc>
        <w:tc>
          <w:tcPr>
            <w:tcW w:w="1679" w:type="dxa"/>
            <w:tcBorders>
              <w:top w:val="nil"/>
              <w:left w:val="nil"/>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LABB.MX</w:t>
            </w:r>
          </w:p>
        </w:tc>
      </w:tr>
      <w:tr w:rsidR="00BE28E0" w:rsidRPr="00670830" w:rsidTr="00BE28E0">
        <w:trPr>
          <w:trHeight w:val="261"/>
          <w:jc w:val="center"/>
        </w:trPr>
        <w:tc>
          <w:tcPr>
            <w:tcW w:w="1802" w:type="dxa"/>
            <w:tcBorders>
              <w:top w:val="nil"/>
              <w:left w:val="single" w:sz="4" w:space="0" w:color="0070C0"/>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ELEKTRA.MX</w:t>
            </w:r>
          </w:p>
        </w:tc>
        <w:tc>
          <w:tcPr>
            <w:tcW w:w="1802" w:type="dxa"/>
            <w:tcBorders>
              <w:top w:val="nil"/>
              <w:left w:val="nil"/>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BOLSAA.MX</w:t>
            </w:r>
          </w:p>
        </w:tc>
        <w:tc>
          <w:tcPr>
            <w:tcW w:w="1802" w:type="dxa"/>
            <w:tcBorders>
              <w:top w:val="nil"/>
              <w:left w:val="nil"/>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GRUMAB.MX</w:t>
            </w:r>
          </w:p>
        </w:tc>
        <w:tc>
          <w:tcPr>
            <w:tcW w:w="1679" w:type="dxa"/>
            <w:tcBorders>
              <w:top w:val="nil"/>
              <w:left w:val="nil"/>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LIVEPOLC-1.MX</w:t>
            </w:r>
          </w:p>
        </w:tc>
      </w:tr>
      <w:tr w:rsidR="00BE28E0" w:rsidRPr="00670830" w:rsidTr="00BE28E0">
        <w:trPr>
          <w:trHeight w:val="261"/>
          <w:jc w:val="center"/>
        </w:trPr>
        <w:tc>
          <w:tcPr>
            <w:tcW w:w="1802" w:type="dxa"/>
            <w:tcBorders>
              <w:top w:val="nil"/>
              <w:left w:val="single" w:sz="4" w:space="0" w:color="0070C0"/>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ICA.MX</w:t>
            </w:r>
          </w:p>
        </w:tc>
        <w:tc>
          <w:tcPr>
            <w:tcW w:w="1802" w:type="dxa"/>
            <w:tcBorders>
              <w:top w:val="nil"/>
              <w:left w:val="nil"/>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GAPB.MX</w:t>
            </w:r>
          </w:p>
        </w:tc>
        <w:tc>
          <w:tcPr>
            <w:tcW w:w="1802" w:type="dxa"/>
            <w:tcBorders>
              <w:top w:val="nil"/>
              <w:left w:val="nil"/>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KIMBERA.MX</w:t>
            </w:r>
          </w:p>
        </w:tc>
        <w:tc>
          <w:tcPr>
            <w:tcW w:w="1679" w:type="dxa"/>
            <w:tcBorders>
              <w:top w:val="nil"/>
              <w:left w:val="nil"/>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AMXL.MX</w:t>
            </w:r>
          </w:p>
        </w:tc>
      </w:tr>
      <w:tr w:rsidR="00BE28E0" w:rsidRPr="00670830" w:rsidTr="00BE28E0">
        <w:trPr>
          <w:trHeight w:val="261"/>
          <w:jc w:val="center"/>
        </w:trPr>
        <w:tc>
          <w:tcPr>
            <w:tcW w:w="1802" w:type="dxa"/>
            <w:tcBorders>
              <w:top w:val="nil"/>
              <w:left w:val="single" w:sz="4" w:space="0" w:color="0070C0"/>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PINFRA.MX</w:t>
            </w:r>
          </w:p>
        </w:tc>
        <w:tc>
          <w:tcPr>
            <w:tcW w:w="1802" w:type="dxa"/>
            <w:tcBorders>
              <w:top w:val="nil"/>
              <w:left w:val="nil"/>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GFINBURO.MX</w:t>
            </w:r>
          </w:p>
        </w:tc>
        <w:tc>
          <w:tcPr>
            <w:tcW w:w="1802" w:type="dxa"/>
            <w:tcBorders>
              <w:top w:val="nil"/>
              <w:left w:val="nil"/>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ASURB.MX</w:t>
            </w:r>
          </w:p>
        </w:tc>
        <w:tc>
          <w:tcPr>
            <w:tcW w:w="1679" w:type="dxa"/>
            <w:tcBorders>
              <w:top w:val="nil"/>
              <w:left w:val="nil"/>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CEMEXCPO.MX</w:t>
            </w:r>
          </w:p>
        </w:tc>
      </w:tr>
      <w:tr w:rsidR="00BE28E0" w:rsidRPr="00670830" w:rsidTr="00BE28E0">
        <w:trPr>
          <w:trHeight w:val="261"/>
          <w:jc w:val="center"/>
        </w:trPr>
        <w:tc>
          <w:tcPr>
            <w:tcW w:w="1802" w:type="dxa"/>
            <w:tcBorders>
              <w:top w:val="nil"/>
              <w:left w:val="single" w:sz="4" w:space="0" w:color="0070C0"/>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MEXCHEM.MX</w:t>
            </w:r>
          </w:p>
        </w:tc>
        <w:tc>
          <w:tcPr>
            <w:tcW w:w="1802" w:type="dxa"/>
            <w:tcBorders>
              <w:top w:val="nil"/>
              <w:left w:val="nil"/>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GFNORTEO.MX</w:t>
            </w:r>
          </w:p>
        </w:tc>
        <w:tc>
          <w:tcPr>
            <w:tcW w:w="1802" w:type="dxa"/>
            <w:tcBorders>
              <w:top w:val="nil"/>
              <w:left w:val="nil"/>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COMERCIUBC.MX</w:t>
            </w:r>
          </w:p>
        </w:tc>
        <w:tc>
          <w:tcPr>
            <w:tcW w:w="1679" w:type="dxa"/>
            <w:tcBorders>
              <w:top w:val="nil"/>
              <w:left w:val="nil"/>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TLEVISACPO.MX</w:t>
            </w:r>
          </w:p>
        </w:tc>
      </w:tr>
      <w:tr w:rsidR="00BE28E0" w:rsidRPr="00670830" w:rsidTr="00BE28E0">
        <w:trPr>
          <w:trHeight w:val="261"/>
          <w:jc w:val="center"/>
        </w:trPr>
        <w:tc>
          <w:tcPr>
            <w:tcW w:w="1802" w:type="dxa"/>
            <w:tcBorders>
              <w:top w:val="nil"/>
              <w:left w:val="single" w:sz="4" w:space="0" w:color="0070C0"/>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GENTERA.MX</w:t>
            </w:r>
          </w:p>
        </w:tc>
        <w:tc>
          <w:tcPr>
            <w:tcW w:w="1802" w:type="dxa"/>
            <w:tcBorders>
              <w:top w:val="nil"/>
              <w:left w:val="nil"/>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WALMEX.MX</w:t>
            </w:r>
          </w:p>
        </w:tc>
        <w:tc>
          <w:tcPr>
            <w:tcW w:w="1802" w:type="dxa"/>
            <w:tcBorders>
              <w:top w:val="nil"/>
              <w:left w:val="nil"/>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GMEXICOB.MX</w:t>
            </w:r>
          </w:p>
        </w:tc>
        <w:tc>
          <w:tcPr>
            <w:tcW w:w="1679" w:type="dxa"/>
            <w:tcBorders>
              <w:top w:val="nil"/>
              <w:left w:val="nil"/>
              <w:bottom w:val="single" w:sz="4" w:space="0" w:color="0070C0"/>
              <w:right w:val="single" w:sz="4" w:space="0" w:color="0070C0"/>
            </w:tcBorders>
            <w:shd w:val="clear" w:color="000000" w:fill="DCE6F1"/>
            <w:noWrap/>
            <w:vAlign w:val="bottom"/>
            <w:hideMark/>
          </w:tcPr>
          <w:p w:rsidR="00BE28E0" w:rsidRPr="00670830" w:rsidRDefault="00BE28E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ICHB.MX</w:t>
            </w:r>
          </w:p>
        </w:tc>
      </w:tr>
    </w:tbl>
    <w:p w:rsidR="000F4B88" w:rsidRPr="00670830" w:rsidRDefault="000F4B88" w:rsidP="00670830">
      <w:pPr>
        <w:spacing w:before="100" w:beforeAutospacing="1" w:after="100" w:afterAutospacing="1" w:line="360" w:lineRule="auto"/>
        <w:rPr>
          <w:rFonts w:ascii="Arial" w:eastAsia="Arial Unicode MS" w:hAnsi="Arial" w:cs="Arial"/>
          <w:b/>
          <w:sz w:val="24"/>
          <w:szCs w:val="24"/>
        </w:rPr>
      </w:pPr>
    </w:p>
    <w:p w:rsidR="000F4B88" w:rsidRPr="00670830" w:rsidRDefault="00BE3194" w:rsidP="00670830">
      <w:pPr>
        <w:spacing w:before="100" w:beforeAutospacing="1" w:after="100" w:afterAutospacing="1" w:line="360" w:lineRule="auto"/>
        <w:rPr>
          <w:rFonts w:ascii="Arial" w:eastAsia="Arial Unicode MS" w:hAnsi="Arial" w:cs="Arial"/>
          <w:sz w:val="24"/>
          <w:szCs w:val="24"/>
        </w:rPr>
      </w:pPr>
      <w:r w:rsidRPr="00670830">
        <w:rPr>
          <w:rFonts w:ascii="Arial" w:eastAsia="Arial Unicode MS" w:hAnsi="Arial" w:cs="Arial"/>
          <w:sz w:val="24"/>
          <w:szCs w:val="24"/>
        </w:rPr>
        <w:t>Dejamos fuera las siguientes:</w:t>
      </w:r>
    </w:p>
    <w:tbl>
      <w:tblPr>
        <w:tblW w:w="2890" w:type="dxa"/>
        <w:jc w:val="center"/>
        <w:tblInd w:w="55" w:type="dxa"/>
        <w:tblCellMar>
          <w:left w:w="70" w:type="dxa"/>
          <w:right w:w="70" w:type="dxa"/>
        </w:tblCellMar>
        <w:tblLook w:val="04A0" w:firstRow="1" w:lastRow="0" w:firstColumn="1" w:lastColumn="0" w:noHBand="0" w:noVBand="1"/>
      </w:tblPr>
      <w:tblGrid>
        <w:gridCol w:w="1927"/>
        <w:gridCol w:w="1714"/>
      </w:tblGrid>
      <w:tr w:rsidR="00BE3194" w:rsidRPr="00670830" w:rsidTr="00BE28E0">
        <w:trPr>
          <w:trHeight w:val="260"/>
          <w:jc w:val="center"/>
        </w:trPr>
        <w:tc>
          <w:tcPr>
            <w:tcW w:w="1556" w:type="dxa"/>
            <w:tcBorders>
              <w:top w:val="single" w:sz="4" w:space="0" w:color="0070C0"/>
              <w:left w:val="single" w:sz="4" w:space="0" w:color="0070C0"/>
              <w:bottom w:val="single" w:sz="4" w:space="0" w:color="0070C0"/>
              <w:right w:val="single" w:sz="4" w:space="0" w:color="0070C0"/>
            </w:tcBorders>
            <w:shd w:val="clear" w:color="000000" w:fill="E6B8B7"/>
            <w:noWrap/>
            <w:vAlign w:val="bottom"/>
            <w:hideMark/>
          </w:tcPr>
          <w:p w:rsidR="00BE3194" w:rsidRPr="00670830" w:rsidRDefault="00BE3194"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FEMSAUBD.MX</w:t>
            </w:r>
          </w:p>
        </w:tc>
        <w:tc>
          <w:tcPr>
            <w:tcW w:w="1334" w:type="dxa"/>
            <w:tcBorders>
              <w:top w:val="single" w:sz="4" w:space="0" w:color="0070C0"/>
              <w:left w:val="nil"/>
              <w:bottom w:val="single" w:sz="4" w:space="0" w:color="0070C0"/>
              <w:right w:val="single" w:sz="4" w:space="0" w:color="0070C0"/>
            </w:tcBorders>
            <w:shd w:val="clear" w:color="000000" w:fill="E6B8B7"/>
            <w:noWrap/>
            <w:vAlign w:val="bottom"/>
            <w:hideMark/>
          </w:tcPr>
          <w:p w:rsidR="00BE3194" w:rsidRPr="00670830" w:rsidRDefault="00BE3194"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IENOVA.MX</w:t>
            </w:r>
          </w:p>
        </w:tc>
      </w:tr>
      <w:tr w:rsidR="00BE3194" w:rsidRPr="00670830" w:rsidTr="00BE28E0">
        <w:trPr>
          <w:trHeight w:val="260"/>
          <w:jc w:val="center"/>
        </w:trPr>
        <w:tc>
          <w:tcPr>
            <w:tcW w:w="1556" w:type="dxa"/>
            <w:tcBorders>
              <w:top w:val="nil"/>
              <w:left w:val="single" w:sz="4" w:space="0" w:color="0070C0"/>
              <w:bottom w:val="single" w:sz="4" w:space="0" w:color="0070C0"/>
              <w:right w:val="single" w:sz="4" w:space="0" w:color="0070C0"/>
            </w:tcBorders>
            <w:shd w:val="clear" w:color="000000" w:fill="E6B8B7"/>
            <w:noWrap/>
            <w:vAlign w:val="bottom"/>
            <w:hideMark/>
          </w:tcPr>
          <w:p w:rsidR="00BE3194" w:rsidRPr="00670830" w:rsidRDefault="00BE3194"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GFREGIOO.MX</w:t>
            </w:r>
          </w:p>
        </w:tc>
        <w:tc>
          <w:tcPr>
            <w:tcW w:w="1334" w:type="dxa"/>
            <w:tcBorders>
              <w:top w:val="nil"/>
              <w:left w:val="nil"/>
              <w:bottom w:val="single" w:sz="4" w:space="0" w:color="0070C0"/>
              <w:right w:val="single" w:sz="4" w:space="0" w:color="0070C0"/>
            </w:tcBorders>
            <w:shd w:val="clear" w:color="000000" w:fill="E6B8B7"/>
            <w:noWrap/>
            <w:vAlign w:val="bottom"/>
            <w:hideMark/>
          </w:tcPr>
          <w:p w:rsidR="00BE3194" w:rsidRPr="00670830" w:rsidRDefault="00BE3194"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LALAB.MX</w:t>
            </w:r>
          </w:p>
        </w:tc>
      </w:tr>
      <w:tr w:rsidR="00BE3194" w:rsidRPr="00670830" w:rsidTr="00BE28E0">
        <w:trPr>
          <w:trHeight w:val="260"/>
          <w:jc w:val="center"/>
        </w:trPr>
        <w:tc>
          <w:tcPr>
            <w:tcW w:w="1556" w:type="dxa"/>
            <w:tcBorders>
              <w:top w:val="nil"/>
              <w:left w:val="single" w:sz="4" w:space="0" w:color="0070C0"/>
              <w:bottom w:val="single" w:sz="4" w:space="0" w:color="0070C0"/>
              <w:right w:val="single" w:sz="4" w:space="0" w:color="0070C0"/>
            </w:tcBorders>
            <w:shd w:val="clear" w:color="000000" w:fill="E6B8B7"/>
            <w:noWrap/>
            <w:vAlign w:val="bottom"/>
            <w:hideMark/>
          </w:tcPr>
          <w:p w:rsidR="00BE3194" w:rsidRPr="00670830" w:rsidRDefault="00BE3194"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SANMEXB.MX</w:t>
            </w:r>
          </w:p>
        </w:tc>
        <w:tc>
          <w:tcPr>
            <w:tcW w:w="1334" w:type="dxa"/>
            <w:tcBorders>
              <w:top w:val="nil"/>
              <w:left w:val="nil"/>
              <w:bottom w:val="single" w:sz="4" w:space="0" w:color="0070C0"/>
              <w:right w:val="single" w:sz="4" w:space="0" w:color="0070C0"/>
            </w:tcBorders>
            <w:shd w:val="clear" w:color="000000" w:fill="E6B8B7"/>
            <w:noWrap/>
            <w:vAlign w:val="bottom"/>
            <w:hideMark/>
          </w:tcPr>
          <w:p w:rsidR="00BE3194" w:rsidRPr="00670830" w:rsidRDefault="00BE3194"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PE&amp;OLES.MX</w:t>
            </w:r>
          </w:p>
        </w:tc>
      </w:tr>
      <w:tr w:rsidR="00BE3194" w:rsidRPr="00670830" w:rsidTr="00BE28E0">
        <w:trPr>
          <w:trHeight w:val="260"/>
          <w:jc w:val="center"/>
        </w:trPr>
        <w:tc>
          <w:tcPr>
            <w:tcW w:w="1556" w:type="dxa"/>
            <w:tcBorders>
              <w:top w:val="nil"/>
              <w:left w:val="single" w:sz="4" w:space="0" w:color="0070C0"/>
              <w:bottom w:val="single" w:sz="4" w:space="0" w:color="0070C0"/>
              <w:right w:val="single" w:sz="4" w:space="0" w:color="0070C0"/>
            </w:tcBorders>
            <w:shd w:val="clear" w:color="000000" w:fill="E6B8B7"/>
            <w:noWrap/>
            <w:vAlign w:val="bottom"/>
            <w:hideMark/>
          </w:tcPr>
          <w:p w:rsidR="00BE3194" w:rsidRPr="00670830" w:rsidRDefault="00BE3194"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ALPEKA.MX</w:t>
            </w:r>
          </w:p>
        </w:tc>
        <w:tc>
          <w:tcPr>
            <w:tcW w:w="1334" w:type="dxa"/>
            <w:tcBorders>
              <w:top w:val="nil"/>
              <w:left w:val="nil"/>
              <w:bottom w:val="nil"/>
              <w:right w:val="nil"/>
            </w:tcBorders>
            <w:shd w:val="clear" w:color="000000" w:fill="FFFFFF"/>
            <w:noWrap/>
            <w:vAlign w:val="bottom"/>
            <w:hideMark/>
          </w:tcPr>
          <w:p w:rsidR="00BE3194" w:rsidRPr="00670830" w:rsidRDefault="00BE3194"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 </w:t>
            </w:r>
          </w:p>
        </w:tc>
      </w:tr>
    </w:tbl>
    <w:p w:rsidR="00B6747C" w:rsidRPr="00670830" w:rsidRDefault="00B6747C" w:rsidP="00670830">
      <w:pPr>
        <w:spacing w:before="100" w:beforeAutospacing="1" w:after="100" w:afterAutospacing="1" w:line="360" w:lineRule="auto"/>
        <w:rPr>
          <w:rFonts w:ascii="Arial" w:eastAsia="Arial Unicode MS" w:hAnsi="Arial" w:cs="Arial"/>
          <w:sz w:val="24"/>
          <w:szCs w:val="24"/>
        </w:rPr>
      </w:pPr>
    </w:p>
    <w:p w:rsidR="00C00C4C" w:rsidRPr="00670830" w:rsidRDefault="0067258A" w:rsidP="00670830">
      <w:pPr>
        <w:pStyle w:val="Ttulo2"/>
        <w:numPr>
          <w:ilvl w:val="1"/>
          <w:numId w:val="3"/>
        </w:numPr>
        <w:spacing w:before="100" w:beforeAutospacing="1" w:after="100" w:afterAutospacing="1" w:line="360" w:lineRule="auto"/>
        <w:ind w:left="567" w:hanging="567"/>
        <w:jc w:val="both"/>
        <w:rPr>
          <w:rFonts w:ascii="Arial" w:eastAsia="Arial Unicode MS" w:hAnsi="Arial" w:cs="Arial"/>
          <w:color w:val="auto"/>
          <w:sz w:val="24"/>
          <w:szCs w:val="24"/>
        </w:rPr>
      </w:pPr>
      <w:bookmarkStart w:id="33" w:name="_Toc488230510"/>
      <w:r w:rsidRPr="00670830">
        <w:rPr>
          <w:rFonts w:ascii="Arial" w:eastAsia="Arial Unicode MS" w:hAnsi="Arial" w:cs="Arial"/>
          <w:color w:val="auto"/>
          <w:sz w:val="24"/>
          <w:szCs w:val="24"/>
        </w:rPr>
        <w:t>Integración de las cartera</w:t>
      </w:r>
      <w:r w:rsidR="00C00C4C" w:rsidRPr="00670830">
        <w:rPr>
          <w:rFonts w:ascii="Arial" w:eastAsia="Arial Unicode MS" w:hAnsi="Arial" w:cs="Arial"/>
          <w:color w:val="auto"/>
          <w:sz w:val="24"/>
          <w:szCs w:val="24"/>
        </w:rPr>
        <w:t>s de inversión</w:t>
      </w:r>
      <w:bookmarkEnd w:id="33"/>
    </w:p>
    <w:p w:rsidR="00C00C4C" w:rsidRPr="00670830" w:rsidRDefault="009A4F9B"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Para integrar</w:t>
      </w:r>
      <w:r w:rsidR="0067258A" w:rsidRPr="00670830">
        <w:rPr>
          <w:rFonts w:ascii="Arial" w:eastAsia="Arial Unicode MS" w:hAnsi="Arial" w:cs="Arial"/>
          <w:sz w:val="24"/>
          <w:szCs w:val="24"/>
        </w:rPr>
        <w:t xml:space="preserve"> la</w:t>
      </w:r>
      <w:r w:rsidRPr="00670830">
        <w:rPr>
          <w:rFonts w:ascii="Arial" w:eastAsia="Arial Unicode MS" w:hAnsi="Arial" w:cs="Arial"/>
          <w:sz w:val="24"/>
          <w:szCs w:val="24"/>
        </w:rPr>
        <w:t>s</w:t>
      </w:r>
      <w:r w:rsidR="0067258A" w:rsidRPr="00670830">
        <w:rPr>
          <w:rFonts w:ascii="Arial" w:eastAsia="Arial Unicode MS" w:hAnsi="Arial" w:cs="Arial"/>
          <w:sz w:val="24"/>
          <w:szCs w:val="24"/>
        </w:rPr>
        <w:t xml:space="preserve"> carteras</w:t>
      </w:r>
      <w:r w:rsidRPr="00670830">
        <w:rPr>
          <w:rFonts w:ascii="Arial" w:eastAsia="Arial Unicode MS" w:hAnsi="Arial" w:cs="Arial"/>
          <w:sz w:val="24"/>
          <w:szCs w:val="24"/>
        </w:rPr>
        <w:t xml:space="preserve"> de inversión, se obtuvieron los precios de cierre diari</w:t>
      </w:r>
      <w:r w:rsidR="000A10AC" w:rsidRPr="00670830">
        <w:rPr>
          <w:rFonts w:ascii="Arial" w:eastAsia="Arial Unicode MS" w:hAnsi="Arial" w:cs="Arial"/>
          <w:sz w:val="24"/>
          <w:szCs w:val="24"/>
        </w:rPr>
        <w:t>os de las 28</w:t>
      </w:r>
      <w:r w:rsidR="0023644B" w:rsidRPr="00670830">
        <w:rPr>
          <w:rFonts w:ascii="Arial" w:eastAsia="Arial Unicode MS" w:hAnsi="Arial" w:cs="Arial"/>
          <w:sz w:val="24"/>
          <w:szCs w:val="24"/>
        </w:rPr>
        <w:t xml:space="preserve"> emisoras registrado</w:t>
      </w:r>
      <w:r w:rsidRPr="00670830">
        <w:rPr>
          <w:rFonts w:ascii="Arial" w:eastAsia="Arial Unicode MS" w:hAnsi="Arial" w:cs="Arial"/>
          <w:sz w:val="24"/>
          <w:szCs w:val="24"/>
        </w:rPr>
        <w:t>s durante la ventana de tiempo determinada.</w:t>
      </w:r>
    </w:p>
    <w:p w:rsidR="009A4F9B" w:rsidRPr="00670830" w:rsidRDefault="009A4F9B"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Teniendo las distintas series de los precios, el siguiente paso fue ordenar correctamente los precios para cada</w:t>
      </w:r>
      <w:r w:rsidR="001653B2" w:rsidRPr="00670830">
        <w:rPr>
          <w:rFonts w:ascii="Arial" w:eastAsia="Arial Unicode MS" w:hAnsi="Arial" w:cs="Arial"/>
          <w:sz w:val="24"/>
          <w:szCs w:val="24"/>
        </w:rPr>
        <w:t xml:space="preserve"> uno de los días seleccionados. No todas las emisoras cotizaron todos los días por lo que, para lo</w:t>
      </w:r>
      <w:r w:rsidR="0023644B" w:rsidRPr="00670830">
        <w:rPr>
          <w:rFonts w:ascii="Arial" w:eastAsia="Arial Unicode MS" w:hAnsi="Arial" w:cs="Arial"/>
          <w:sz w:val="24"/>
          <w:szCs w:val="24"/>
        </w:rPr>
        <w:t xml:space="preserve">s precios faltantes, calculamos el precio con el promedio de los cinco días inmediatos anteriores al dato vacío. </w:t>
      </w:r>
    </w:p>
    <w:p w:rsidR="001653B2" w:rsidRPr="00670830" w:rsidRDefault="001653B2"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Una vez teniendo los datos completos, se calcularon los rendimientos diarios para cada una de las acciones de nuestra muestra, así como el rendimiento promedio para cada una de ellas en el periodo observado.</w:t>
      </w:r>
      <w:r w:rsidR="00AA14AA" w:rsidRPr="00670830">
        <w:rPr>
          <w:rFonts w:ascii="Arial" w:eastAsia="Arial Unicode MS" w:hAnsi="Arial" w:cs="Arial"/>
          <w:sz w:val="24"/>
          <w:szCs w:val="24"/>
        </w:rPr>
        <w:t xml:space="preserve"> Lo anterior con la finalidad de calcular el rendimiento esperado para cada </w:t>
      </w:r>
      <w:r w:rsidR="0067258A" w:rsidRPr="00670830">
        <w:rPr>
          <w:rFonts w:ascii="Arial" w:eastAsia="Arial Unicode MS" w:hAnsi="Arial" w:cs="Arial"/>
          <w:sz w:val="24"/>
          <w:szCs w:val="24"/>
        </w:rPr>
        <w:t>cartera</w:t>
      </w:r>
      <w:r w:rsidR="00AA14AA" w:rsidRPr="00670830">
        <w:rPr>
          <w:rFonts w:ascii="Arial" w:eastAsia="Arial Unicode MS" w:hAnsi="Arial" w:cs="Arial"/>
          <w:sz w:val="24"/>
          <w:szCs w:val="24"/>
        </w:rPr>
        <w:t xml:space="preserve"> de inversión.</w:t>
      </w:r>
    </w:p>
    <w:p w:rsidR="00AA14AA" w:rsidRPr="00670830" w:rsidRDefault="00AA14A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Los rendimientos promedio</w:t>
      </w:r>
      <w:r w:rsidR="007F6FE3" w:rsidRPr="00670830">
        <w:rPr>
          <w:rFonts w:ascii="Arial" w:eastAsia="Arial Unicode MS" w:hAnsi="Arial" w:cs="Arial"/>
          <w:sz w:val="24"/>
          <w:szCs w:val="24"/>
        </w:rPr>
        <w:t xml:space="preserve">, </w:t>
      </w:r>
      <w:r w:rsidR="00C61629" w:rsidRPr="00670830">
        <w:rPr>
          <w:rFonts w:ascii="Arial" w:eastAsia="Arial Unicode MS" w:hAnsi="Arial" w:cs="Arial"/>
          <w:sz w:val="24"/>
          <w:szCs w:val="24"/>
        </w:rPr>
        <w:t>ordenados</w:t>
      </w:r>
      <w:r w:rsidR="007F6FE3" w:rsidRPr="00670830">
        <w:rPr>
          <w:rFonts w:ascii="Arial" w:eastAsia="Arial Unicode MS" w:hAnsi="Arial" w:cs="Arial"/>
          <w:sz w:val="24"/>
          <w:szCs w:val="24"/>
        </w:rPr>
        <w:t xml:space="preserve"> de mayor a menor, </w:t>
      </w:r>
      <w:r w:rsidRPr="00670830">
        <w:rPr>
          <w:rFonts w:ascii="Arial" w:eastAsia="Arial Unicode MS" w:hAnsi="Arial" w:cs="Arial"/>
          <w:sz w:val="24"/>
          <w:szCs w:val="24"/>
        </w:rPr>
        <w:t xml:space="preserve"> </w:t>
      </w:r>
      <w:r w:rsidR="00123ECA" w:rsidRPr="00670830">
        <w:rPr>
          <w:rFonts w:ascii="Arial" w:eastAsia="Arial Unicode MS" w:hAnsi="Arial" w:cs="Arial"/>
          <w:sz w:val="24"/>
          <w:szCs w:val="24"/>
        </w:rPr>
        <w:t>de las 28</w:t>
      </w:r>
      <w:r w:rsidRPr="00670830">
        <w:rPr>
          <w:rFonts w:ascii="Arial" w:eastAsia="Arial Unicode MS" w:hAnsi="Arial" w:cs="Arial"/>
          <w:sz w:val="24"/>
          <w:szCs w:val="24"/>
        </w:rPr>
        <w:t xml:space="preserve"> emisoras son los siguientes:</w:t>
      </w:r>
    </w:p>
    <w:tbl>
      <w:tblPr>
        <w:tblW w:w="9087" w:type="dxa"/>
        <w:tblInd w:w="55" w:type="dxa"/>
        <w:tblCellMar>
          <w:left w:w="70" w:type="dxa"/>
          <w:right w:w="70" w:type="dxa"/>
        </w:tblCellMar>
        <w:tblLook w:val="04A0" w:firstRow="1" w:lastRow="0" w:firstColumn="1" w:lastColumn="0" w:noHBand="0" w:noVBand="1"/>
      </w:tblPr>
      <w:tblGrid>
        <w:gridCol w:w="1781"/>
        <w:gridCol w:w="821"/>
        <w:gridCol w:w="1648"/>
        <w:gridCol w:w="821"/>
        <w:gridCol w:w="1434"/>
        <w:gridCol w:w="821"/>
        <w:gridCol w:w="1407"/>
        <w:gridCol w:w="966"/>
      </w:tblGrid>
      <w:tr w:rsidR="00DA1B41" w:rsidRPr="00670830" w:rsidTr="00DA1B41">
        <w:trPr>
          <w:trHeight w:val="300"/>
        </w:trPr>
        <w:tc>
          <w:tcPr>
            <w:tcW w:w="1644" w:type="dxa"/>
            <w:tcBorders>
              <w:top w:val="single" w:sz="4" w:space="0" w:color="0070C0"/>
              <w:left w:val="single" w:sz="4" w:space="0" w:color="0070C0"/>
              <w:bottom w:val="single" w:sz="4" w:space="0" w:color="0070C0"/>
              <w:right w:val="single" w:sz="4" w:space="0" w:color="0070C0"/>
            </w:tcBorders>
            <w:shd w:val="clear" w:color="000000" w:fill="DCE6F1"/>
            <w:noWrap/>
            <w:vAlign w:val="bottom"/>
            <w:hideMark/>
          </w:tcPr>
          <w:p w:rsidR="007F6FE3" w:rsidRPr="00670830" w:rsidRDefault="007F6FE3"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Acción</w:t>
            </w:r>
          </w:p>
        </w:tc>
        <w:tc>
          <w:tcPr>
            <w:tcW w:w="781" w:type="dxa"/>
            <w:tcBorders>
              <w:top w:val="single" w:sz="4" w:space="0" w:color="0070C0"/>
              <w:left w:val="nil"/>
              <w:bottom w:val="single" w:sz="4" w:space="0" w:color="0070C0"/>
              <w:right w:val="single" w:sz="4" w:space="0" w:color="0070C0"/>
            </w:tcBorders>
            <w:shd w:val="clear" w:color="000000" w:fill="DCE6F1"/>
            <w:noWrap/>
            <w:vAlign w:val="bottom"/>
            <w:hideMark/>
          </w:tcPr>
          <w:p w:rsidR="007F6FE3" w:rsidRPr="00670830" w:rsidRDefault="007F6FE3"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proofErr w:type="spellStart"/>
            <w:r w:rsidRPr="00670830">
              <w:rPr>
                <w:rFonts w:ascii="Arial" w:eastAsia="Arial Unicode MS" w:hAnsi="Arial" w:cs="Arial"/>
                <w:b/>
                <w:bCs/>
                <w:color w:val="000000"/>
                <w:sz w:val="24"/>
                <w:szCs w:val="24"/>
                <w:lang w:eastAsia="es-MX"/>
              </w:rPr>
              <w:t>Rend</w:t>
            </w:r>
            <w:proofErr w:type="spellEnd"/>
            <w:r w:rsidRPr="00670830">
              <w:rPr>
                <w:rFonts w:ascii="Arial" w:eastAsia="Arial Unicode MS" w:hAnsi="Arial" w:cs="Arial"/>
                <w:b/>
                <w:bCs/>
                <w:color w:val="000000"/>
                <w:sz w:val="24"/>
                <w:szCs w:val="24"/>
                <w:lang w:eastAsia="es-MX"/>
              </w:rPr>
              <w:t xml:space="preserve"> </w:t>
            </w:r>
            <w:proofErr w:type="spellStart"/>
            <w:r w:rsidRPr="00670830">
              <w:rPr>
                <w:rFonts w:ascii="Arial" w:eastAsia="Arial Unicode MS" w:hAnsi="Arial" w:cs="Arial"/>
                <w:b/>
                <w:bCs/>
                <w:color w:val="000000"/>
                <w:sz w:val="24"/>
                <w:szCs w:val="24"/>
                <w:lang w:eastAsia="es-MX"/>
              </w:rPr>
              <w:t>Prom</w:t>
            </w:r>
            <w:proofErr w:type="spellEnd"/>
          </w:p>
        </w:tc>
        <w:tc>
          <w:tcPr>
            <w:tcW w:w="1522" w:type="dxa"/>
            <w:tcBorders>
              <w:top w:val="single" w:sz="4" w:space="0" w:color="0070C0"/>
              <w:left w:val="nil"/>
              <w:bottom w:val="single" w:sz="4" w:space="0" w:color="0070C0"/>
              <w:right w:val="single" w:sz="4" w:space="0" w:color="0070C0"/>
            </w:tcBorders>
            <w:shd w:val="clear" w:color="000000" w:fill="DCE6F1"/>
            <w:noWrap/>
            <w:vAlign w:val="bottom"/>
            <w:hideMark/>
          </w:tcPr>
          <w:p w:rsidR="007F6FE3" w:rsidRPr="00670830" w:rsidRDefault="007F6FE3"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Acción</w:t>
            </w:r>
          </w:p>
        </w:tc>
        <w:tc>
          <w:tcPr>
            <w:tcW w:w="764" w:type="dxa"/>
            <w:tcBorders>
              <w:top w:val="single" w:sz="4" w:space="0" w:color="0070C0"/>
              <w:left w:val="nil"/>
              <w:bottom w:val="single" w:sz="4" w:space="0" w:color="0070C0"/>
              <w:right w:val="single" w:sz="4" w:space="0" w:color="0070C0"/>
            </w:tcBorders>
            <w:shd w:val="clear" w:color="000000" w:fill="DCE6F1"/>
            <w:noWrap/>
            <w:vAlign w:val="bottom"/>
            <w:hideMark/>
          </w:tcPr>
          <w:p w:rsidR="007F6FE3" w:rsidRPr="00670830" w:rsidRDefault="007F6FE3"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proofErr w:type="spellStart"/>
            <w:r w:rsidRPr="00670830">
              <w:rPr>
                <w:rFonts w:ascii="Arial" w:eastAsia="Arial Unicode MS" w:hAnsi="Arial" w:cs="Arial"/>
                <w:b/>
                <w:bCs/>
                <w:color w:val="000000"/>
                <w:sz w:val="24"/>
                <w:szCs w:val="24"/>
                <w:lang w:eastAsia="es-MX"/>
              </w:rPr>
              <w:t>Rend</w:t>
            </w:r>
            <w:proofErr w:type="spellEnd"/>
            <w:r w:rsidRPr="00670830">
              <w:rPr>
                <w:rFonts w:ascii="Arial" w:eastAsia="Arial Unicode MS" w:hAnsi="Arial" w:cs="Arial"/>
                <w:b/>
                <w:bCs/>
                <w:color w:val="000000"/>
                <w:sz w:val="24"/>
                <w:szCs w:val="24"/>
                <w:lang w:eastAsia="es-MX"/>
              </w:rPr>
              <w:t xml:space="preserve"> </w:t>
            </w:r>
            <w:proofErr w:type="spellStart"/>
            <w:r w:rsidRPr="00670830">
              <w:rPr>
                <w:rFonts w:ascii="Arial" w:eastAsia="Arial Unicode MS" w:hAnsi="Arial" w:cs="Arial"/>
                <w:b/>
                <w:bCs/>
                <w:color w:val="000000"/>
                <w:sz w:val="24"/>
                <w:szCs w:val="24"/>
                <w:lang w:eastAsia="es-MX"/>
              </w:rPr>
              <w:t>Prom</w:t>
            </w:r>
            <w:proofErr w:type="spellEnd"/>
          </w:p>
        </w:tc>
        <w:tc>
          <w:tcPr>
            <w:tcW w:w="1326" w:type="dxa"/>
            <w:tcBorders>
              <w:top w:val="single" w:sz="4" w:space="0" w:color="0070C0"/>
              <w:left w:val="nil"/>
              <w:bottom w:val="single" w:sz="4" w:space="0" w:color="0070C0"/>
              <w:right w:val="single" w:sz="4" w:space="0" w:color="0070C0"/>
            </w:tcBorders>
            <w:shd w:val="clear" w:color="000000" w:fill="DCE6F1"/>
            <w:noWrap/>
            <w:vAlign w:val="bottom"/>
            <w:hideMark/>
          </w:tcPr>
          <w:p w:rsidR="007F6FE3" w:rsidRPr="00670830" w:rsidRDefault="007F6FE3"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Acción</w:t>
            </w:r>
          </w:p>
        </w:tc>
        <w:tc>
          <w:tcPr>
            <w:tcW w:w="782" w:type="dxa"/>
            <w:tcBorders>
              <w:top w:val="single" w:sz="4" w:space="0" w:color="0070C0"/>
              <w:left w:val="nil"/>
              <w:bottom w:val="single" w:sz="4" w:space="0" w:color="0070C0"/>
              <w:right w:val="single" w:sz="4" w:space="0" w:color="0070C0"/>
            </w:tcBorders>
            <w:shd w:val="clear" w:color="000000" w:fill="DCE6F1"/>
            <w:noWrap/>
            <w:vAlign w:val="bottom"/>
            <w:hideMark/>
          </w:tcPr>
          <w:p w:rsidR="007F6FE3" w:rsidRPr="00670830" w:rsidRDefault="007F6FE3"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proofErr w:type="spellStart"/>
            <w:r w:rsidRPr="00670830">
              <w:rPr>
                <w:rFonts w:ascii="Arial" w:eastAsia="Arial Unicode MS" w:hAnsi="Arial" w:cs="Arial"/>
                <w:b/>
                <w:bCs/>
                <w:color w:val="000000"/>
                <w:sz w:val="24"/>
                <w:szCs w:val="24"/>
                <w:lang w:eastAsia="es-MX"/>
              </w:rPr>
              <w:t>Rend</w:t>
            </w:r>
            <w:proofErr w:type="spellEnd"/>
            <w:r w:rsidRPr="00670830">
              <w:rPr>
                <w:rFonts w:ascii="Arial" w:eastAsia="Arial Unicode MS" w:hAnsi="Arial" w:cs="Arial"/>
                <w:b/>
                <w:bCs/>
                <w:color w:val="000000"/>
                <w:sz w:val="24"/>
                <w:szCs w:val="24"/>
                <w:lang w:eastAsia="es-MX"/>
              </w:rPr>
              <w:t xml:space="preserve"> </w:t>
            </w:r>
            <w:proofErr w:type="spellStart"/>
            <w:r w:rsidRPr="00670830">
              <w:rPr>
                <w:rFonts w:ascii="Arial" w:eastAsia="Arial Unicode MS" w:hAnsi="Arial" w:cs="Arial"/>
                <w:b/>
                <w:bCs/>
                <w:color w:val="000000"/>
                <w:sz w:val="24"/>
                <w:szCs w:val="24"/>
                <w:lang w:eastAsia="es-MX"/>
              </w:rPr>
              <w:t>Prom</w:t>
            </w:r>
            <w:proofErr w:type="spellEnd"/>
          </w:p>
        </w:tc>
        <w:tc>
          <w:tcPr>
            <w:tcW w:w="1302" w:type="dxa"/>
            <w:tcBorders>
              <w:top w:val="single" w:sz="4" w:space="0" w:color="0070C0"/>
              <w:left w:val="nil"/>
              <w:bottom w:val="single" w:sz="4" w:space="0" w:color="0070C0"/>
              <w:right w:val="single" w:sz="4" w:space="0" w:color="0070C0"/>
            </w:tcBorders>
            <w:shd w:val="clear" w:color="000000" w:fill="DCE6F1"/>
            <w:noWrap/>
            <w:vAlign w:val="bottom"/>
            <w:hideMark/>
          </w:tcPr>
          <w:p w:rsidR="007F6FE3" w:rsidRPr="00670830" w:rsidRDefault="007F6FE3"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Acción</w:t>
            </w:r>
          </w:p>
        </w:tc>
        <w:tc>
          <w:tcPr>
            <w:tcW w:w="966" w:type="dxa"/>
            <w:tcBorders>
              <w:top w:val="single" w:sz="4" w:space="0" w:color="0070C0"/>
              <w:left w:val="nil"/>
              <w:bottom w:val="single" w:sz="4" w:space="0" w:color="0070C0"/>
              <w:right w:val="single" w:sz="4" w:space="0" w:color="0070C0"/>
            </w:tcBorders>
            <w:shd w:val="clear" w:color="000000" w:fill="DCE6F1"/>
            <w:noWrap/>
            <w:vAlign w:val="bottom"/>
            <w:hideMark/>
          </w:tcPr>
          <w:p w:rsidR="007F6FE3" w:rsidRPr="00670830" w:rsidRDefault="007F6FE3"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proofErr w:type="spellStart"/>
            <w:r w:rsidRPr="00670830">
              <w:rPr>
                <w:rFonts w:ascii="Arial" w:eastAsia="Arial Unicode MS" w:hAnsi="Arial" w:cs="Arial"/>
                <w:b/>
                <w:bCs/>
                <w:color w:val="000000"/>
                <w:sz w:val="24"/>
                <w:szCs w:val="24"/>
                <w:lang w:eastAsia="es-MX"/>
              </w:rPr>
              <w:t>Rend</w:t>
            </w:r>
            <w:proofErr w:type="spellEnd"/>
            <w:r w:rsidRPr="00670830">
              <w:rPr>
                <w:rFonts w:ascii="Arial" w:eastAsia="Arial Unicode MS" w:hAnsi="Arial" w:cs="Arial"/>
                <w:b/>
                <w:bCs/>
                <w:color w:val="000000"/>
                <w:sz w:val="24"/>
                <w:szCs w:val="24"/>
                <w:lang w:eastAsia="es-MX"/>
              </w:rPr>
              <w:t xml:space="preserve"> </w:t>
            </w:r>
            <w:proofErr w:type="spellStart"/>
            <w:r w:rsidRPr="00670830">
              <w:rPr>
                <w:rFonts w:ascii="Arial" w:eastAsia="Arial Unicode MS" w:hAnsi="Arial" w:cs="Arial"/>
                <w:b/>
                <w:bCs/>
                <w:color w:val="000000"/>
                <w:sz w:val="24"/>
                <w:szCs w:val="24"/>
                <w:lang w:eastAsia="es-MX"/>
              </w:rPr>
              <w:t>Prom</w:t>
            </w:r>
            <w:proofErr w:type="spellEnd"/>
          </w:p>
        </w:tc>
      </w:tr>
      <w:tr w:rsidR="00DA1B41" w:rsidRPr="00670830" w:rsidTr="00DA1B41">
        <w:trPr>
          <w:trHeight w:val="300"/>
        </w:trPr>
        <w:tc>
          <w:tcPr>
            <w:tcW w:w="1644" w:type="dxa"/>
            <w:tcBorders>
              <w:top w:val="nil"/>
              <w:left w:val="single" w:sz="4" w:space="0" w:color="0070C0"/>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GRUMAB</w:t>
            </w:r>
          </w:p>
        </w:tc>
        <w:tc>
          <w:tcPr>
            <w:tcW w:w="781"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0.21%</w:t>
            </w:r>
          </w:p>
        </w:tc>
        <w:tc>
          <w:tcPr>
            <w:tcW w:w="1522"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GCARSOA1</w:t>
            </w:r>
          </w:p>
        </w:tc>
        <w:tc>
          <w:tcPr>
            <w:tcW w:w="764"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0.07%</w:t>
            </w:r>
          </w:p>
        </w:tc>
        <w:tc>
          <w:tcPr>
            <w:tcW w:w="1326"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WALMEX</w:t>
            </w:r>
          </w:p>
        </w:tc>
        <w:tc>
          <w:tcPr>
            <w:tcW w:w="782"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0.02%</w:t>
            </w:r>
          </w:p>
        </w:tc>
        <w:tc>
          <w:tcPr>
            <w:tcW w:w="1302"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GFINBURO</w:t>
            </w:r>
          </w:p>
        </w:tc>
        <w:tc>
          <w:tcPr>
            <w:tcW w:w="966"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r>
      <w:tr w:rsidR="00DA1B41" w:rsidRPr="00670830" w:rsidTr="00DA1B41">
        <w:trPr>
          <w:trHeight w:val="300"/>
        </w:trPr>
        <w:tc>
          <w:tcPr>
            <w:tcW w:w="1644" w:type="dxa"/>
            <w:tcBorders>
              <w:top w:val="nil"/>
              <w:left w:val="single" w:sz="4" w:space="0" w:color="0070C0"/>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ALSEA</w:t>
            </w:r>
          </w:p>
        </w:tc>
        <w:tc>
          <w:tcPr>
            <w:tcW w:w="781"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0.13%</w:t>
            </w:r>
          </w:p>
        </w:tc>
        <w:tc>
          <w:tcPr>
            <w:tcW w:w="1522"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TLEVISACPO</w:t>
            </w:r>
          </w:p>
        </w:tc>
        <w:tc>
          <w:tcPr>
            <w:tcW w:w="764"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0.06%</w:t>
            </w:r>
          </w:p>
        </w:tc>
        <w:tc>
          <w:tcPr>
            <w:tcW w:w="1326"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GENTERA</w:t>
            </w:r>
          </w:p>
        </w:tc>
        <w:tc>
          <w:tcPr>
            <w:tcW w:w="782"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0.02%</w:t>
            </w:r>
          </w:p>
        </w:tc>
        <w:tc>
          <w:tcPr>
            <w:tcW w:w="1302"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ELEKTRA</w:t>
            </w:r>
          </w:p>
        </w:tc>
        <w:tc>
          <w:tcPr>
            <w:tcW w:w="966"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r>
      <w:tr w:rsidR="00DA1B41" w:rsidRPr="00670830" w:rsidTr="00DA1B41">
        <w:trPr>
          <w:trHeight w:val="300"/>
        </w:trPr>
        <w:tc>
          <w:tcPr>
            <w:tcW w:w="1644" w:type="dxa"/>
            <w:tcBorders>
              <w:top w:val="nil"/>
              <w:left w:val="single" w:sz="4" w:space="0" w:color="0070C0"/>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PINFRA</w:t>
            </w:r>
          </w:p>
        </w:tc>
        <w:tc>
          <w:tcPr>
            <w:tcW w:w="781"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0.13%</w:t>
            </w:r>
          </w:p>
        </w:tc>
        <w:tc>
          <w:tcPr>
            <w:tcW w:w="1522"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GFNORTEO</w:t>
            </w:r>
          </w:p>
        </w:tc>
        <w:tc>
          <w:tcPr>
            <w:tcW w:w="764"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0.05%</w:t>
            </w:r>
          </w:p>
        </w:tc>
        <w:tc>
          <w:tcPr>
            <w:tcW w:w="1326"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BOLSAA</w:t>
            </w:r>
          </w:p>
        </w:tc>
        <w:tc>
          <w:tcPr>
            <w:tcW w:w="782"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0.02%</w:t>
            </w:r>
          </w:p>
        </w:tc>
        <w:tc>
          <w:tcPr>
            <w:tcW w:w="1302"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BIMBOA</w:t>
            </w:r>
          </w:p>
        </w:tc>
        <w:tc>
          <w:tcPr>
            <w:tcW w:w="966"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w:t>
            </w:r>
          </w:p>
        </w:tc>
      </w:tr>
      <w:tr w:rsidR="00DA1B41" w:rsidRPr="00670830" w:rsidTr="00DA1B41">
        <w:trPr>
          <w:trHeight w:val="300"/>
        </w:trPr>
        <w:tc>
          <w:tcPr>
            <w:tcW w:w="1644" w:type="dxa"/>
            <w:tcBorders>
              <w:top w:val="nil"/>
              <w:left w:val="single" w:sz="4" w:space="0" w:color="0070C0"/>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COMERCIUBC</w:t>
            </w:r>
          </w:p>
        </w:tc>
        <w:tc>
          <w:tcPr>
            <w:tcW w:w="781"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0.11%</w:t>
            </w:r>
          </w:p>
        </w:tc>
        <w:tc>
          <w:tcPr>
            <w:tcW w:w="1522"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AC</w:t>
            </w:r>
          </w:p>
        </w:tc>
        <w:tc>
          <w:tcPr>
            <w:tcW w:w="764"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0.05%</w:t>
            </w:r>
          </w:p>
        </w:tc>
        <w:tc>
          <w:tcPr>
            <w:tcW w:w="1326"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ALFAA</w:t>
            </w:r>
          </w:p>
        </w:tc>
        <w:tc>
          <w:tcPr>
            <w:tcW w:w="782"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0.02%</w:t>
            </w:r>
          </w:p>
        </w:tc>
        <w:tc>
          <w:tcPr>
            <w:tcW w:w="1302"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KIMBERA</w:t>
            </w:r>
          </w:p>
        </w:tc>
        <w:tc>
          <w:tcPr>
            <w:tcW w:w="966"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-0.02%</w:t>
            </w:r>
          </w:p>
        </w:tc>
      </w:tr>
      <w:tr w:rsidR="00DA1B41" w:rsidRPr="00670830" w:rsidTr="00DA1B41">
        <w:trPr>
          <w:trHeight w:val="300"/>
        </w:trPr>
        <w:tc>
          <w:tcPr>
            <w:tcW w:w="1644" w:type="dxa"/>
            <w:tcBorders>
              <w:top w:val="nil"/>
              <w:left w:val="single" w:sz="4" w:space="0" w:color="0070C0"/>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ASURB</w:t>
            </w:r>
          </w:p>
        </w:tc>
        <w:tc>
          <w:tcPr>
            <w:tcW w:w="781"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0.11%</w:t>
            </w:r>
          </w:p>
        </w:tc>
        <w:tc>
          <w:tcPr>
            <w:tcW w:w="1522"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ICHB</w:t>
            </w:r>
          </w:p>
        </w:tc>
        <w:tc>
          <w:tcPr>
            <w:tcW w:w="764"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0.04%</w:t>
            </w:r>
          </w:p>
        </w:tc>
        <w:tc>
          <w:tcPr>
            <w:tcW w:w="1326"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MEXCHEM</w:t>
            </w:r>
          </w:p>
        </w:tc>
        <w:tc>
          <w:tcPr>
            <w:tcW w:w="782"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0.02%</w:t>
            </w:r>
          </w:p>
        </w:tc>
        <w:tc>
          <w:tcPr>
            <w:tcW w:w="1302"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LABB</w:t>
            </w:r>
          </w:p>
        </w:tc>
        <w:tc>
          <w:tcPr>
            <w:tcW w:w="966"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-0.03%</w:t>
            </w:r>
          </w:p>
        </w:tc>
      </w:tr>
      <w:tr w:rsidR="00DA1B41" w:rsidRPr="00670830" w:rsidTr="00DA1B41">
        <w:trPr>
          <w:trHeight w:val="300"/>
        </w:trPr>
        <w:tc>
          <w:tcPr>
            <w:tcW w:w="1644" w:type="dxa"/>
            <w:tcBorders>
              <w:top w:val="nil"/>
              <w:left w:val="single" w:sz="4" w:space="0" w:color="0070C0"/>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GAPB</w:t>
            </w:r>
          </w:p>
        </w:tc>
        <w:tc>
          <w:tcPr>
            <w:tcW w:w="781"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0.08%</w:t>
            </w:r>
          </w:p>
        </w:tc>
        <w:tc>
          <w:tcPr>
            <w:tcW w:w="1522"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CEMEXCPO</w:t>
            </w:r>
          </w:p>
        </w:tc>
        <w:tc>
          <w:tcPr>
            <w:tcW w:w="764"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0.04%</w:t>
            </w:r>
          </w:p>
        </w:tc>
        <w:tc>
          <w:tcPr>
            <w:tcW w:w="1326"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GMEXICOB</w:t>
            </w:r>
          </w:p>
        </w:tc>
        <w:tc>
          <w:tcPr>
            <w:tcW w:w="782"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w:t>
            </w:r>
          </w:p>
        </w:tc>
        <w:tc>
          <w:tcPr>
            <w:tcW w:w="1302"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AMXL</w:t>
            </w:r>
          </w:p>
        </w:tc>
        <w:tc>
          <w:tcPr>
            <w:tcW w:w="966"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-0.04%</w:t>
            </w:r>
          </w:p>
        </w:tc>
      </w:tr>
      <w:tr w:rsidR="00DA1B41" w:rsidRPr="00670830" w:rsidTr="00DA1B41">
        <w:trPr>
          <w:trHeight w:val="300"/>
        </w:trPr>
        <w:tc>
          <w:tcPr>
            <w:tcW w:w="1644" w:type="dxa"/>
            <w:tcBorders>
              <w:top w:val="nil"/>
              <w:left w:val="single" w:sz="4" w:space="0" w:color="0070C0"/>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LIVEPOLC-1</w:t>
            </w:r>
          </w:p>
        </w:tc>
        <w:tc>
          <w:tcPr>
            <w:tcW w:w="781"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0.07%</w:t>
            </w:r>
          </w:p>
        </w:tc>
        <w:tc>
          <w:tcPr>
            <w:tcW w:w="1522"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KOFL</w:t>
            </w:r>
          </w:p>
        </w:tc>
        <w:tc>
          <w:tcPr>
            <w:tcW w:w="764"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0.03%</w:t>
            </w:r>
          </w:p>
        </w:tc>
        <w:tc>
          <w:tcPr>
            <w:tcW w:w="1326"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OHLMEX</w:t>
            </w:r>
          </w:p>
        </w:tc>
        <w:tc>
          <w:tcPr>
            <w:tcW w:w="782"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02"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ICA</w:t>
            </w:r>
          </w:p>
        </w:tc>
        <w:tc>
          <w:tcPr>
            <w:tcW w:w="966" w:type="dxa"/>
            <w:tcBorders>
              <w:top w:val="nil"/>
              <w:left w:val="nil"/>
              <w:bottom w:val="single" w:sz="4" w:space="0" w:color="0070C0"/>
              <w:right w:val="single" w:sz="4" w:space="0" w:color="0070C0"/>
            </w:tcBorders>
            <w:shd w:val="clear" w:color="auto" w:fill="auto"/>
            <w:noWrap/>
            <w:vAlign w:val="bottom"/>
            <w:hideMark/>
          </w:tcPr>
          <w:p w:rsidR="007F6FE3" w:rsidRPr="00670830" w:rsidRDefault="007F6FE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-0.06%</w:t>
            </w:r>
          </w:p>
        </w:tc>
      </w:tr>
    </w:tbl>
    <w:p w:rsidR="007B2F3F" w:rsidRPr="00670830" w:rsidRDefault="007B2F3F" w:rsidP="00670830">
      <w:pPr>
        <w:spacing w:before="100" w:beforeAutospacing="1" w:after="100" w:afterAutospacing="1" w:line="360" w:lineRule="auto"/>
        <w:jc w:val="both"/>
        <w:rPr>
          <w:rFonts w:ascii="Arial" w:eastAsia="Arial Unicode MS" w:hAnsi="Arial" w:cs="Arial"/>
          <w:sz w:val="24"/>
          <w:szCs w:val="24"/>
        </w:rPr>
      </w:pPr>
    </w:p>
    <w:p w:rsidR="00C00C4C" w:rsidRPr="00670830" w:rsidRDefault="00AA14A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Seguido, se calculó la matriz de varianzas y covarianzas para poder calcul</w:t>
      </w:r>
      <w:r w:rsidR="0067258A" w:rsidRPr="00670830">
        <w:rPr>
          <w:rFonts w:ascii="Arial" w:eastAsia="Arial Unicode MS" w:hAnsi="Arial" w:cs="Arial"/>
          <w:sz w:val="24"/>
          <w:szCs w:val="24"/>
        </w:rPr>
        <w:t xml:space="preserve">ar el </w:t>
      </w:r>
      <w:proofErr w:type="spellStart"/>
      <w:r w:rsidR="0067258A" w:rsidRPr="00670830">
        <w:rPr>
          <w:rFonts w:ascii="Arial" w:eastAsia="Arial Unicode MS" w:hAnsi="Arial" w:cs="Arial"/>
          <w:sz w:val="24"/>
          <w:szCs w:val="24"/>
        </w:rPr>
        <w:t>VaR</w:t>
      </w:r>
      <w:proofErr w:type="spellEnd"/>
      <w:r w:rsidR="0067258A" w:rsidRPr="00670830">
        <w:rPr>
          <w:rFonts w:ascii="Arial" w:eastAsia="Arial Unicode MS" w:hAnsi="Arial" w:cs="Arial"/>
          <w:sz w:val="24"/>
          <w:szCs w:val="24"/>
        </w:rPr>
        <w:t xml:space="preserve"> de ambas carteras</w:t>
      </w:r>
      <w:r w:rsidR="007B2F3F" w:rsidRPr="00670830">
        <w:rPr>
          <w:rFonts w:ascii="Arial" w:eastAsia="Arial Unicode MS" w:hAnsi="Arial" w:cs="Arial"/>
          <w:sz w:val="24"/>
          <w:szCs w:val="24"/>
        </w:rPr>
        <w:t>.</w:t>
      </w:r>
    </w:p>
    <w:p w:rsidR="007B2F3F" w:rsidRPr="00670830" w:rsidRDefault="007B2F3F" w:rsidP="00670830">
      <w:pPr>
        <w:spacing w:before="100" w:beforeAutospacing="1" w:after="100" w:afterAutospacing="1" w:line="360" w:lineRule="auto"/>
        <w:jc w:val="both"/>
        <w:rPr>
          <w:rFonts w:ascii="Arial" w:eastAsia="Arial Unicode MS" w:hAnsi="Arial" w:cs="Arial"/>
          <w:sz w:val="24"/>
          <w:szCs w:val="24"/>
        </w:rPr>
      </w:pPr>
    </w:p>
    <w:p w:rsidR="00C00C4C" w:rsidRPr="00670830" w:rsidRDefault="00C00C4C" w:rsidP="00670830">
      <w:pPr>
        <w:pStyle w:val="Ttulo3"/>
        <w:numPr>
          <w:ilvl w:val="2"/>
          <w:numId w:val="3"/>
        </w:numPr>
        <w:spacing w:before="100" w:beforeAutospacing="1" w:after="100" w:afterAutospacing="1" w:line="360" w:lineRule="auto"/>
        <w:ind w:left="567" w:hanging="567"/>
        <w:jc w:val="both"/>
        <w:rPr>
          <w:rFonts w:ascii="Arial" w:eastAsia="Arial Unicode MS" w:hAnsi="Arial" w:cs="Arial"/>
          <w:color w:val="auto"/>
          <w:sz w:val="24"/>
          <w:szCs w:val="24"/>
        </w:rPr>
      </w:pPr>
      <w:r w:rsidRPr="00670830">
        <w:rPr>
          <w:rFonts w:ascii="Arial" w:eastAsia="Arial Unicode MS" w:hAnsi="Arial" w:cs="Arial"/>
          <w:color w:val="auto"/>
          <w:sz w:val="24"/>
          <w:szCs w:val="24"/>
        </w:rPr>
        <w:t xml:space="preserve"> </w:t>
      </w:r>
      <w:bookmarkStart w:id="34" w:name="_Toc488230511"/>
      <w:r w:rsidR="0067258A" w:rsidRPr="00670830">
        <w:rPr>
          <w:rFonts w:ascii="Arial" w:eastAsia="Arial Unicode MS" w:hAnsi="Arial" w:cs="Arial"/>
          <w:color w:val="auto"/>
          <w:sz w:val="24"/>
          <w:szCs w:val="24"/>
        </w:rPr>
        <w:t>Cartera diversificada</w:t>
      </w:r>
      <w:r w:rsidRPr="00670830">
        <w:rPr>
          <w:rFonts w:ascii="Arial" w:eastAsia="Arial Unicode MS" w:hAnsi="Arial" w:cs="Arial"/>
          <w:color w:val="auto"/>
          <w:sz w:val="24"/>
          <w:szCs w:val="24"/>
        </w:rPr>
        <w:t xml:space="preserve"> científicamente</w:t>
      </w:r>
      <w:bookmarkEnd w:id="34"/>
    </w:p>
    <w:p w:rsidR="00C00C4C" w:rsidRPr="00670830" w:rsidRDefault="007E28CD" w:rsidP="00670830">
      <w:pPr>
        <w:tabs>
          <w:tab w:val="left" w:pos="135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Par</w:t>
      </w:r>
      <w:r w:rsidR="00B242A9" w:rsidRPr="00670830">
        <w:rPr>
          <w:rFonts w:ascii="Arial" w:eastAsia="Arial Unicode MS" w:hAnsi="Arial" w:cs="Arial"/>
          <w:sz w:val="24"/>
          <w:szCs w:val="24"/>
        </w:rPr>
        <w:t>a la construcción de la cartera</w:t>
      </w:r>
      <w:r w:rsidRPr="00670830">
        <w:rPr>
          <w:rFonts w:ascii="Arial" w:eastAsia="Arial Unicode MS" w:hAnsi="Arial" w:cs="Arial"/>
          <w:sz w:val="24"/>
          <w:szCs w:val="24"/>
        </w:rPr>
        <w:t xml:space="preserve"> diversificado científicam</w:t>
      </w:r>
      <w:r w:rsidR="00B242A9" w:rsidRPr="00670830">
        <w:rPr>
          <w:rFonts w:ascii="Arial" w:eastAsia="Arial Unicode MS" w:hAnsi="Arial" w:cs="Arial"/>
          <w:sz w:val="24"/>
          <w:szCs w:val="24"/>
        </w:rPr>
        <w:t>ente, u óptima</w:t>
      </w:r>
      <w:r w:rsidRPr="00670830">
        <w:rPr>
          <w:rFonts w:ascii="Arial" w:eastAsia="Arial Unicode MS" w:hAnsi="Arial" w:cs="Arial"/>
          <w:sz w:val="24"/>
          <w:szCs w:val="24"/>
        </w:rPr>
        <w:t xml:space="preserve">, se utilizó la metodología propuesta por Harry </w:t>
      </w:r>
      <w:proofErr w:type="spellStart"/>
      <w:r w:rsidRPr="00670830">
        <w:rPr>
          <w:rFonts w:ascii="Arial" w:eastAsia="Arial Unicode MS" w:hAnsi="Arial" w:cs="Arial"/>
          <w:sz w:val="24"/>
          <w:szCs w:val="24"/>
        </w:rPr>
        <w:t>Markowitz</w:t>
      </w:r>
      <w:proofErr w:type="spellEnd"/>
      <w:r w:rsidRPr="00670830">
        <w:rPr>
          <w:rFonts w:ascii="Arial" w:eastAsia="Arial Unicode MS" w:hAnsi="Arial" w:cs="Arial"/>
          <w:sz w:val="24"/>
          <w:szCs w:val="24"/>
        </w:rPr>
        <w:t xml:space="preserve"> para la optimización de </w:t>
      </w:r>
      <w:r w:rsidR="0067258A" w:rsidRPr="00670830">
        <w:rPr>
          <w:rFonts w:ascii="Arial" w:eastAsia="Arial Unicode MS" w:hAnsi="Arial" w:cs="Arial"/>
          <w:sz w:val="24"/>
          <w:szCs w:val="24"/>
        </w:rPr>
        <w:t>carteras</w:t>
      </w:r>
      <w:r w:rsidRPr="00670830">
        <w:rPr>
          <w:rFonts w:ascii="Arial" w:eastAsia="Arial Unicode MS" w:hAnsi="Arial" w:cs="Arial"/>
          <w:sz w:val="24"/>
          <w:szCs w:val="24"/>
        </w:rPr>
        <w:t xml:space="preserve"> de inversión para obtener las proporciones óptimas a invertir para cada una de las acciones que conforman la muestra. Dichas proporciones se calcularon a partir de la siguiente expresión:</w:t>
      </w:r>
    </w:p>
    <w:p w:rsidR="007E28CD" w:rsidRPr="00670830" w:rsidRDefault="007E28CD" w:rsidP="00670830">
      <w:pPr>
        <w:spacing w:before="100" w:beforeAutospacing="1" w:after="100" w:afterAutospacing="1" w:line="360" w:lineRule="auto"/>
        <w:jc w:val="both"/>
        <w:rPr>
          <w:rFonts w:ascii="Arial" w:eastAsia="Arial Unicode MS" w:hAnsi="Arial" w:cs="Arial"/>
          <w:sz w:val="24"/>
          <w:szCs w:val="24"/>
        </w:rPr>
      </w:pPr>
      <m:oMathPara>
        <m:oMathParaPr>
          <m:jc m:val="center"/>
        </m:oMathParaPr>
        <m:oMath>
          <m:r>
            <w:rPr>
              <w:rFonts w:ascii="Cambria Math" w:eastAsia="Arial Unicode MS" w:hAnsi="Cambria Math" w:cs="Arial"/>
              <w:sz w:val="24"/>
              <w:szCs w:val="24"/>
            </w:rPr>
            <m:t xml:space="preserve">Min </m:t>
          </m:r>
          <m:sSup>
            <m:sSupPr>
              <m:ctrlPr>
                <w:rPr>
                  <w:rFonts w:ascii="Cambria Math" w:eastAsia="Arial Unicode MS" w:hAnsi="Cambria Math" w:cs="Arial"/>
                  <w:i/>
                  <w:sz w:val="24"/>
                  <w:szCs w:val="24"/>
                </w:rPr>
              </m:ctrlPr>
            </m:sSupPr>
            <m:e>
              <m:r>
                <w:rPr>
                  <w:rFonts w:ascii="Cambria Math" w:eastAsia="Arial Unicode MS" w:hAnsi="Cambria Math" w:cs="Arial"/>
                  <w:sz w:val="24"/>
                  <w:szCs w:val="24"/>
                </w:rPr>
                <m:t>σ</m:t>
              </m:r>
            </m:e>
            <m:sup>
              <m:r>
                <w:rPr>
                  <w:rFonts w:ascii="Cambria Math" w:eastAsia="Arial Unicode MS" w:hAnsi="Cambria Math" w:cs="Arial"/>
                  <w:sz w:val="24"/>
                  <w:szCs w:val="24"/>
                </w:rPr>
                <m:t>2</m:t>
              </m:r>
            </m:sup>
          </m:sSup>
          <m:d>
            <m:dPr>
              <m:ctrlPr>
                <w:rPr>
                  <w:rFonts w:ascii="Cambria Math" w:eastAsia="Arial Unicode MS" w:hAnsi="Cambria Math" w:cs="Arial"/>
                  <w:i/>
                  <w:sz w:val="24"/>
                  <w:szCs w:val="24"/>
                </w:rPr>
              </m:ctrlPr>
            </m:dPr>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p</m:t>
                  </m:r>
                </m:sub>
              </m:sSub>
            </m:e>
          </m:d>
          <m:r>
            <w:rPr>
              <w:rFonts w:ascii="Cambria Math" w:eastAsia="Arial Unicode MS" w:hAnsi="Cambria Math" w:cs="Arial"/>
              <w:sz w:val="24"/>
              <w:szCs w:val="24"/>
            </w:rPr>
            <m:t>=</m:t>
          </m:r>
          <m:nary>
            <m:naryPr>
              <m:chr m:val="∑"/>
              <m:limLoc m:val="undOvr"/>
              <m:ctrlPr>
                <w:rPr>
                  <w:rFonts w:ascii="Cambria Math" w:eastAsia="Arial Unicode MS" w:hAnsi="Cambria Math" w:cs="Arial"/>
                  <w:i/>
                  <w:sz w:val="24"/>
                  <w:szCs w:val="24"/>
                </w:rPr>
              </m:ctrlPr>
            </m:naryPr>
            <m:sub>
              <m:r>
                <w:rPr>
                  <w:rFonts w:ascii="Cambria Math" w:eastAsia="Arial Unicode MS" w:hAnsi="Cambria Math" w:cs="Arial"/>
                  <w:sz w:val="24"/>
                  <w:szCs w:val="24"/>
                </w:rPr>
                <m:t>i=1</m:t>
              </m:r>
            </m:sub>
            <m:sup>
              <m:r>
                <w:rPr>
                  <w:rFonts w:ascii="Cambria Math" w:eastAsia="Arial Unicode MS" w:hAnsi="Cambria Math" w:cs="Arial"/>
                  <w:sz w:val="24"/>
                  <w:szCs w:val="24"/>
                </w:rPr>
                <m:t>n</m:t>
              </m:r>
            </m:sup>
            <m:e>
              <m:nary>
                <m:naryPr>
                  <m:chr m:val="∑"/>
                  <m:limLoc m:val="undOvr"/>
                  <m:ctrlPr>
                    <w:rPr>
                      <w:rFonts w:ascii="Cambria Math" w:eastAsia="Arial Unicode MS" w:hAnsi="Cambria Math" w:cs="Arial"/>
                      <w:i/>
                      <w:sz w:val="24"/>
                      <w:szCs w:val="24"/>
                    </w:rPr>
                  </m:ctrlPr>
                </m:naryPr>
                <m:sub>
                  <m:r>
                    <w:rPr>
                      <w:rFonts w:ascii="Cambria Math" w:eastAsia="Arial Unicode MS" w:hAnsi="Cambria Math" w:cs="Arial"/>
                      <w:sz w:val="24"/>
                      <w:szCs w:val="24"/>
                    </w:rPr>
                    <m:t>j=1</m:t>
                  </m:r>
                </m:sub>
                <m:sup>
                  <m:r>
                    <w:rPr>
                      <w:rFonts w:ascii="Cambria Math" w:eastAsia="Arial Unicode MS" w:hAnsi="Cambria Math" w:cs="Arial"/>
                      <w:sz w:val="24"/>
                      <w:szCs w:val="24"/>
                    </w:rPr>
                    <m:t>n</m:t>
                  </m:r>
                </m:sup>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x</m:t>
                      </m:r>
                    </m:e>
                    <m:sub>
                      <m:r>
                        <w:rPr>
                          <w:rFonts w:ascii="Cambria Math" w:eastAsia="Arial Unicode MS" w:hAnsi="Cambria Math" w:cs="Arial"/>
                          <w:sz w:val="24"/>
                          <w:szCs w:val="24"/>
                        </w:rPr>
                        <m:t>i</m:t>
                      </m:r>
                    </m:sub>
                  </m:sSub>
                  <m:r>
                    <w:rPr>
                      <w:rFonts w:ascii="Cambria Math" w:eastAsia="Arial Unicode MS" w:hAnsi="Cambria Math" w:cs="Arial"/>
                      <w:sz w:val="24"/>
                      <w:szCs w:val="24"/>
                    </w:rPr>
                    <m:t>.</m:t>
                  </m:r>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x</m:t>
                      </m:r>
                    </m:e>
                    <m:sub>
                      <m:r>
                        <w:rPr>
                          <w:rFonts w:ascii="Cambria Math" w:eastAsia="Arial Unicode MS" w:hAnsi="Cambria Math" w:cs="Arial"/>
                          <w:sz w:val="24"/>
                          <w:szCs w:val="24"/>
                        </w:rPr>
                        <m:t>j</m:t>
                      </m:r>
                    </m:sub>
                  </m:sSub>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σ</m:t>
                      </m:r>
                    </m:e>
                    <m:sub>
                      <m:r>
                        <w:rPr>
                          <w:rFonts w:ascii="Cambria Math" w:eastAsia="Arial Unicode MS" w:hAnsi="Cambria Math" w:cs="Arial"/>
                          <w:sz w:val="24"/>
                          <w:szCs w:val="24"/>
                        </w:rPr>
                        <m:t>ij</m:t>
                      </m:r>
                    </m:sub>
                  </m:sSub>
                </m:e>
              </m:nary>
            </m:e>
          </m:nary>
        </m:oMath>
      </m:oMathPara>
    </w:p>
    <w:p w:rsidR="007E28CD" w:rsidRPr="00670830" w:rsidRDefault="007E28CD" w:rsidP="00670830">
      <w:pPr>
        <w:spacing w:before="100" w:beforeAutospacing="1" w:after="100" w:afterAutospacing="1" w:line="360" w:lineRule="auto"/>
        <w:rPr>
          <w:rFonts w:ascii="Arial" w:eastAsia="Arial Unicode MS" w:hAnsi="Arial" w:cs="Arial"/>
          <w:sz w:val="24"/>
          <w:szCs w:val="24"/>
        </w:rPr>
      </w:pPr>
      <w:r w:rsidRPr="00670830">
        <w:rPr>
          <w:rFonts w:ascii="Arial" w:eastAsia="Arial Unicode MS" w:hAnsi="Arial" w:cs="Arial"/>
          <w:sz w:val="24"/>
          <w:szCs w:val="24"/>
        </w:rPr>
        <w:t>Sujeto a:</w:t>
      </w:r>
    </w:p>
    <w:p w:rsidR="007E28CD" w:rsidRPr="00670830" w:rsidRDefault="00AC26BD" w:rsidP="00670830">
      <w:pPr>
        <w:spacing w:before="100" w:beforeAutospacing="1" w:after="100" w:afterAutospacing="1" w:line="360" w:lineRule="auto"/>
        <w:rPr>
          <w:rFonts w:ascii="Arial" w:eastAsia="Arial Unicode MS" w:hAnsi="Arial" w:cs="Arial"/>
          <w:sz w:val="24"/>
          <w:szCs w:val="24"/>
        </w:rPr>
      </w:pPr>
      <m:oMathPara>
        <m:oMathParaPr>
          <m:jc m:val="center"/>
        </m:oMathParaPr>
        <m:oMath>
          <m:nary>
            <m:naryPr>
              <m:chr m:val="∑"/>
              <m:limLoc m:val="undOvr"/>
              <m:ctrlPr>
                <w:rPr>
                  <w:rFonts w:ascii="Cambria Math" w:eastAsia="Arial Unicode MS" w:hAnsi="Cambria Math" w:cs="Arial"/>
                  <w:i/>
                  <w:sz w:val="24"/>
                  <w:szCs w:val="24"/>
                </w:rPr>
              </m:ctrlPr>
            </m:naryPr>
            <m:sub>
              <m:r>
                <w:rPr>
                  <w:rFonts w:ascii="Cambria Math" w:eastAsia="Arial Unicode MS" w:hAnsi="Cambria Math" w:cs="Arial"/>
                  <w:sz w:val="24"/>
                  <w:szCs w:val="24"/>
                </w:rPr>
                <m:t>i=1</m:t>
              </m:r>
            </m:sub>
            <m:sup>
              <m:r>
                <w:rPr>
                  <w:rFonts w:ascii="Cambria Math" w:eastAsia="Arial Unicode MS" w:hAnsi="Cambria Math" w:cs="Arial"/>
                  <w:sz w:val="24"/>
                  <w:szCs w:val="24"/>
                </w:rPr>
                <m:t>n</m:t>
              </m:r>
            </m:sup>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x</m:t>
                  </m:r>
                </m:e>
                <m:sub>
                  <m:r>
                    <w:rPr>
                      <w:rFonts w:ascii="Cambria Math" w:eastAsia="Arial Unicode MS" w:hAnsi="Cambria Math" w:cs="Arial"/>
                      <w:sz w:val="24"/>
                      <w:szCs w:val="24"/>
                    </w:rPr>
                    <m:t>i</m:t>
                  </m:r>
                </m:sub>
              </m:sSub>
            </m:e>
          </m:nary>
          <m:r>
            <w:rPr>
              <w:rFonts w:ascii="Cambria Math" w:eastAsia="Arial Unicode MS" w:hAnsi="Cambria Math" w:cs="Arial"/>
              <w:sz w:val="24"/>
              <w:szCs w:val="24"/>
            </w:rPr>
            <m:t xml:space="preserve"> =1</m:t>
          </m:r>
        </m:oMath>
      </m:oMathPara>
    </w:p>
    <w:p w:rsidR="007E28CD" w:rsidRPr="00670830" w:rsidRDefault="00AC26BD" w:rsidP="00670830">
      <w:pPr>
        <w:spacing w:before="100" w:beforeAutospacing="1" w:after="100" w:afterAutospacing="1" w:line="360" w:lineRule="auto"/>
        <w:rPr>
          <w:rFonts w:ascii="Arial" w:eastAsia="Arial Unicode MS" w:hAnsi="Arial" w:cs="Arial"/>
          <w:sz w:val="24"/>
          <w:szCs w:val="24"/>
        </w:rPr>
      </w:pPr>
      <m:oMathPara>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x</m:t>
              </m:r>
            </m:e>
            <m:sub>
              <m:r>
                <w:rPr>
                  <w:rFonts w:ascii="Cambria Math" w:eastAsia="Arial Unicode MS" w:hAnsi="Cambria Math" w:cs="Arial"/>
                  <w:sz w:val="24"/>
                  <w:szCs w:val="24"/>
                </w:rPr>
                <m:t>i</m:t>
              </m:r>
            </m:sub>
          </m:sSub>
          <m:r>
            <w:rPr>
              <w:rFonts w:ascii="Cambria Math" w:eastAsia="Arial Unicode MS" w:hAnsi="Cambria Math" w:cs="Arial"/>
              <w:sz w:val="24"/>
              <w:szCs w:val="24"/>
            </w:rPr>
            <m:t xml:space="preserve">≥0  </m:t>
          </m:r>
          <m:d>
            <m:dPr>
              <m:ctrlPr>
                <w:rPr>
                  <w:rFonts w:ascii="Cambria Math" w:eastAsia="Arial Unicode MS" w:hAnsi="Cambria Math" w:cs="Arial"/>
                  <w:i/>
                  <w:sz w:val="24"/>
                  <w:szCs w:val="24"/>
                </w:rPr>
              </m:ctrlPr>
            </m:dPr>
            <m:e>
              <m:r>
                <w:rPr>
                  <w:rFonts w:ascii="Cambria Math" w:eastAsia="Arial Unicode MS" w:hAnsi="Cambria Math" w:cs="Arial"/>
                  <w:sz w:val="24"/>
                  <w:szCs w:val="24"/>
                </w:rPr>
                <m:t>i=1, …, n</m:t>
              </m:r>
            </m:e>
          </m:d>
        </m:oMath>
      </m:oMathPara>
    </w:p>
    <w:p w:rsidR="007E28CD" w:rsidRPr="00670830" w:rsidRDefault="007E28CD" w:rsidP="00670830">
      <w:pPr>
        <w:spacing w:before="100" w:beforeAutospacing="1" w:after="100" w:afterAutospacing="1" w:line="360" w:lineRule="auto"/>
        <w:rPr>
          <w:rFonts w:ascii="Arial" w:eastAsia="Arial Unicode MS" w:hAnsi="Arial" w:cs="Arial"/>
          <w:sz w:val="24"/>
          <w:szCs w:val="24"/>
        </w:rPr>
      </w:pPr>
      <w:proofErr w:type="spellStart"/>
      <w:r w:rsidRPr="00670830">
        <w:rPr>
          <w:rFonts w:ascii="Arial" w:eastAsia="Arial Unicode MS" w:hAnsi="Arial" w:cs="Arial"/>
          <w:sz w:val="24"/>
          <w:szCs w:val="24"/>
        </w:rPr>
        <w:t>Donde</w:t>
      </w:r>
      <w:proofErr w:type="spellEnd"/>
      <w:r w:rsidRPr="00670830">
        <w:rPr>
          <w:rFonts w:ascii="Arial" w:eastAsia="Arial Unicode MS" w:hAnsi="Arial" w:cs="Arial"/>
          <w:sz w:val="24"/>
          <w:szCs w:val="24"/>
        </w:rPr>
        <w:t>:</w:t>
      </w:r>
    </w:p>
    <w:p w:rsidR="007E28CD" w:rsidRPr="00670830" w:rsidRDefault="00AC26BD" w:rsidP="00670830">
      <w:pPr>
        <w:spacing w:before="100" w:beforeAutospacing="1" w:after="100" w:afterAutospacing="1" w:line="360" w:lineRule="auto"/>
        <w:ind w:left="708"/>
        <w:rPr>
          <w:rFonts w:ascii="Arial" w:eastAsia="Arial Unicode MS" w:hAnsi="Arial" w:cs="Arial"/>
          <w:i/>
          <w:sz w:val="24"/>
          <w:szCs w:val="24"/>
        </w:rPr>
      </w:pPr>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x</m:t>
            </m:r>
          </m:e>
          <m:sub>
            <m:r>
              <w:rPr>
                <w:rFonts w:ascii="Cambria Math" w:eastAsia="Arial Unicode MS" w:hAnsi="Cambria Math" w:cs="Arial"/>
                <w:sz w:val="24"/>
                <w:szCs w:val="24"/>
              </w:rPr>
              <m:t>i</m:t>
            </m:r>
          </m:sub>
        </m:sSub>
        <m:r>
          <w:rPr>
            <w:rFonts w:ascii="Cambria Math" w:eastAsia="Arial Unicode MS" w:hAnsi="Cambria Math" w:cs="Arial"/>
            <w:sz w:val="24"/>
            <w:szCs w:val="24"/>
          </w:rPr>
          <m:t>=</m:t>
        </m:r>
      </m:oMath>
      <w:r w:rsidR="007E28CD" w:rsidRPr="00670830">
        <w:rPr>
          <w:rFonts w:ascii="Arial" w:eastAsia="Arial Unicode MS" w:hAnsi="Arial" w:cs="Arial"/>
          <w:sz w:val="24"/>
          <w:szCs w:val="24"/>
        </w:rPr>
        <w:t xml:space="preserve"> </w:t>
      </w:r>
      <w:proofErr w:type="gramStart"/>
      <w:r w:rsidR="007E28CD" w:rsidRPr="00670830">
        <w:rPr>
          <w:rFonts w:ascii="Arial" w:eastAsia="Arial Unicode MS" w:hAnsi="Arial" w:cs="Arial"/>
          <w:sz w:val="24"/>
          <w:szCs w:val="24"/>
        </w:rPr>
        <w:t>es</w:t>
      </w:r>
      <w:proofErr w:type="gramEnd"/>
      <w:r w:rsidR="007E28CD" w:rsidRPr="00670830">
        <w:rPr>
          <w:rFonts w:ascii="Arial" w:eastAsia="Arial Unicode MS" w:hAnsi="Arial" w:cs="Arial"/>
          <w:sz w:val="24"/>
          <w:szCs w:val="24"/>
        </w:rPr>
        <w:t xml:space="preserve"> la proporción del presupuesto del inversor destinado al activo financiero </w:t>
      </w:r>
      <w:r w:rsidR="007E28CD" w:rsidRPr="00670830">
        <w:rPr>
          <w:rFonts w:ascii="Arial" w:eastAsia="Arial Unicode MS" w:hAnsi="Arial" w:cs="Arial"/>
          <w:i/>
          <w:sz w:val="24"/>
          <w:szCs w:val="24"/>
        </w:rPr>
        <w:t>i</w:t>
      </w:r>
    </w:p>
    <w:p w:rsidR="007E28CD" w:rsidRPr="00670830" w:rsidRDefault="00C61629" w:rsidP="00670830">
      <w:pPr>
        <w:spacing w:before="100" w:beforeAutospacing="1" w:after="100" w:afterAutospacing="1" w:line="360" w:lineRule="auto"/>
        <w:rPr>
          <w:rFonts w:ascii="Arial" w:eastAsia="Arial Unicode MS" w:hAnsi="Arial" w:cs="Arial"/>
          <w:i/>
          <w:sz w:val="24"/>
          <w:szCs w:val="24"/>
        </w:rPr>
      </w:pPr>
      <w:r w:rsidRPr="00670830">
        <w:rPr>
          <w:rFonts w:ascii="Arial" w:eastAsia="Arial Unicode MS" w:hAnsi="Arial" w:cs="Arial"/>
          <w:i/>
          <w:sz w:val="24"/>
          <w:szCs w:val="24"/>
        </w:rPr>
        <w:tab/>
      </w:r>
      <m:oMath>
        <m:sSup>
          <m:sSupPr>
            <m:ctrlPr>
              <w:rPr>
                <w:rFonts w:ascii="Cambria Math" w:eastAsia="Arial Unicode MS" w:hAnsi="Cambria Math" w:cs="Arial"/>
                <w:i/>
                <w:sz w:val="24"/>
                <w:szCs w:val="24"/>
              </w:rPr>
            </m:ctrlPr>
          </m:sSupPr>
          <m:e>
            <m:r>
              <w:rPr>
                <w:rFonts w:ascii="Cambria Math" w:eastAsia="Arial Unicode MS" w:hAnsi="Cambria Math" w:cs="Arial"/>
                <w:sz w:val="24"/>
                <w:szCs w:val="24"/>
              </w:rPr>
              <m:t>σ</m:t>
            </m:r>
          </m:e>
          <m:sup>
            <m:r>
              <w:rPr>
                <w:rFonts w:ascii="Cambria Math" w:eastAsia="Arial Unicode MS" w:hAnsi="Cambria Math" w:cs="Arial"/>
                <w:sz w:val="24"/>
                <w:szCs w:val="24"/>
              </w:rPr>
              <m:t>2</m:t>
            </m:r>
          </m:sup>
        </m:sSup>
        <m:d>
          <m:dPr>
            <m:ctrlPr>
              <w:rPr>
                <w:rFonts w:ascii="Cambria Math" w:eastAsia="Arial Unicode MS" w:hAnsi="Cambria Math" w:cs="Arial"/>
                <w:i/>
                <w:sz w:val="24"/>
                <w:szCs w:val="24"/>
              </w:rPr>
            </m:ctrlPr>
          </m:dPr>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p</m:t>
                </m:r>
              </m:sub>
            </m:sSub>
          </m:e>
        </m:d>
        <m:r>
          <w:rPr>
            <w:rFonts w:ascii="Cambria Math" w:eastAsia="Arial Unicode MS" w:hAnsi="Cambria Math" w:cs="Arial"/>
            <w:sz w:val="24"/>
            <w:szCs w:val="24"/>
          </w:rPr>
          <m:t>=</m:t>
        </m:r>
      </m:oMath>
      <w:r w:rsidR="007E28CD" w:rsidRPr="00670830">
        <w:rPr>
          <w:rFonts w:ascii="Arial" w:eastAsia="Arial Unicode MS" w:hAnsi="Arial" w:cs="Arial"/>
          <w:sz w:val="24"/>
          <w:szCs w:val="24"/>
        </w:rPr>
        <w:t xml:space="preserve"> </w:t>
      </w:r>
      <w:proofErr w:type="gramStart"/>
      <w:r w:rsidR="007E28CD" w:rsidRPr="00670830">
        <w:rPr>
          <w:rFonts w:ascii="Arial" w:eastAsia="Arial Unicode MS" w:hAnsi="Arial" w:cs="Arial"/>
          <w:sz w:val="24"/>
          <w:szCs w:val="24"/>
        </w:rPr>
        <w:t>es</w:t>
      </w:r>
      <w:proofErr w:type="gramEnd"/>
      <w:r w:rsidR="007E28CD" w:rsidRPr="00670830">
        <w:rPr>
          <w:rFonts w:ascii="Arial" w:eastAsia="Arial Unicode MS" w:hAnsi="Arial" w:cs="Arial"/>
          <w:sz w:val="24"/>
          <w:szCs w:val="24"/>
        </w:rPr>
        <w:t xml:space="preserve"> la varianza de la cartera </w:t>
      </w:r>
      <w:r w:rsidR="007E28CD" w:rsidRPr="00670830">
        <w:rPr>
          <w:rFonts w:ascii="Arial" w:eastAsia="Arial Unicode MS" w:hAnsi="Arial" w:cs="Arial"/>
          <w:i/>
          <w:sz w:val="24"/>
          <w:szCs w:val="24"/>
        </w:rPr>
        <w:t>p</w:t>
      </w:r>
    </w:p>
    <w:p w:rsidR="009D192D" w:rsidRPr="00670830" w:rsidRDefault="00AC26BD" w:rsidP="00670830">
      <w:pPr>
        <w:spacing w:before="100" w:beforeAutospacing="1" w:after="100" w:afterAutospacing="1" w:line="360" w:lineRule="auto"/>
        <w:ind w:firstLine="708"/>
        <w:rPr>
          <w:rFonts w:ascii="Arial" w:eastAsia="Arial Unicode MS" w:hAnsi="Arial" w:cs="Arial"/>
          <w:i/>
          <w:sz w:val="24"/>
          <w:szCs w:val="24"/>
        </w:rPr>
      </w:pPr>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σ</m:t>
            </m:r>
          </m:e>
          <m:sub>
            <m:r>
              <w:rPr>
                <w:rFonts w:ascii="Cambria Math" w:eastAsia="Arial Unicode MS" w:hAnsi="Cambria Math" w:cs="Arial"/>
                <w:sz w:val="24"/>
                <w:szCs w:val="24"/>
              </w:rPr>
              <m:t>ij</m:t>
            </m:r>
          </m:sub>
        </m:sSub>
        <m:r>
          <w:rPr>
            <w:rFonts w:ascii="Cambria Math" w:eastAsia="Arial Unicode MS" w:hAnsi="Cambria Math" w:cs="Arial"/>
            <w:sz w:val="24"/>
            <w:szCs w:val="24"/>
          </w:rPr>
          <m:t>=</m:t>
        </m:r>
      </m:oMath>
      <w:r w:rsidR="007E28CD" w:rsidRPr="00670830">
        <w:rPr>
          <w:rFonts w:ascii="Arial" w:eastAsia="Arial Unicode MS" w:hAnsi="Arial" w:cs="Arial"/>
          <w:sz w:val="24"/>
          <w:szCs w:val="24"/>
        </w:rPr>
        <w:t xml:space="preserve"> </w:t>
      </w:r>
      <w:proofErr w:type="gramStart"/>
      <w:r w:rsidR="007E28CD" w:rsidRPr="00670830">
        <w:rPr>
          <w:rFonts w:ascii="Arial" w:eastAsia="Arial Unicode MS" w:hAnsi="Arial" w:cs="Arial"/>
          <w:sz w:val="24"/>
          <w:szCs w:val="24"/>
        </w:rPr>
        <w:t>es</w:t>
      </w:r>
      <w:proofErr w:type="gramEnd"/>
      <w:r w:rsidR="007E28CD" w:rsidRPr="00670830">
        <w:rPr>
          <w:rFonts w:ascii="Arial" w:eastAsia="Arial Unicode MS" w:hAnsi="Arial" w:cs="Arial"/>
          <w:sz w:val="24"/>
          <w:szCs w:val="24"/>
        </w:rPr>
        <w:t xml:space="preserve"> la covarianza entre los rendimientos de los valores </w:t>
      </w:r>
      <w:r w:rsidR="007E28CD" w:rsidRPr="00670830">
        <w:rPr>
          <w:rFonts w:ascii="Arial" w:eastAsia="Arial Unicode MS" w:hAnsi="Arial" w:cs="Arial"/>
          <w:i/>
          <w:sz w:val="24"/>
          <w:szCs w:val="24"/>
        </w:rPr>
        <w:t>i</w:t>
      </w:r>
      <w:r w:rsidR="007E28CD" w:rsidRPr="00670830">
        <w:rPr>
          <w:rFonts w:ascii="Arial" w:eastAsia="Arial Unicode MS" w:hAnsi="Arial" w:cs="Arial"/>
          <w:sz w:val="24"/>
          <w:szCs w:val="24"/>
        </w:rPr>
        <w:t xml:space="preserve"> y </w:t>
      </w:r>
      <w:r w:rsidR="009D192D" w:rsidRPr="00670830">
        <w:rPr>
          <w:rFonts w:ascii="Arial" w:eastAsia="Arial Unicode MS" w:hAnsi="Arial" w:cs="Arial"/>
          <w:i/>
          <w:sz w:val="24"/>
          <w:szCs w:val="24"/>
        </w:rPr>
        <w:t>j.</w:t>
      </w:r>
    </w:p>
    <w:p w:rsidR="00DA1B41" w:rsidRPr="00670830" w:rsidRDefault="00AB259A" w:rsidP="00670830">
      <w:pPr>
        <w:tabs>
          <w:tab w:val="left" w:pos="1350"/>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Una vez calculadas las proporciones a invertir</w:t>
      </w:r>
      <w:r w:rsidR="00AF55C2" w:rsidRPr="00670830">
        <w:rPr>
          <w:rFonts w:ascii="Arial" w:eastAsia="Arial Unicode MS" w:hAnsi="Arial" w:cs="Arial"/>
          <w:sz w:val="24"/>
          <w:szCs w:val="24"/>
        </w:rPr>
        <w:t xml:space="preserve"> (</w:t>
      </w:r>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x</m:t>
            </m:r>
          </m:e>
          <m:sub>
            <m:r>
              <w:rPr>
                <w:rFonts w:ascii="Cambria Math" w:eastAsia="Arial Unicode MS" w:hAnsi="Cambria Math" w:cs="Arial"/>
                <w:sz w:val="24"/>
                <w:szCs w:val="24"/>
              </w:rPr>
              <m:t>i</m:t>
            </m:r>
          </m:sub>
        </m:sSub>
      </m:oMath>
      <w:r w:rsidR="00AF55C2" w:rsidRPr="00670830">
        <w:rPr>
          <w:rFonts w:ascii="Arial" w:eastAsia="Arial Unicode MS" w:hAnsi="Arial" w:cs="Arial"/>
          <w:sz w:val="24"/>
          <w:szCs w:val="24"/>
        </w:rPr>
        <w:t xml:space="preserve">) </w:t>
      </w:r>
      <w:r w:rsidRPr="00670830">
        <w:rPr>
          <w:rFonts w:ascii="Arial" w:eastAsia="Arial Unicode MS" w:hAnsi="Arial" w:cs="Arial"/>
          <w:sz w:val="24"/>
          <w:szCs w:val="24"/>
        </w:rPr>
        <w:t xml:space="preserve"> en cada una de las acciones, de tal manera que la combinación lineal de las mismas nos garantice e</w:t>
      </w:r>
      <w:r w:rsidR="00B34BEB" w:rsidRPr="00670830">
        <w:rPr>
          <w:rFonts w:ascii="Arial" w:eastAsia="Arial Unicode MS" w:hAnsi="Arial" w:cs="Arial"/>
          <w:sz w:val="24"/>
          <w:szCs w:val="24"/>
        </w:rPr>
        <w:t>l menor riesgo y el mayor retorno,</w:t>
      </w:r>
      <w:r w:rsidR="0067258A" w:rsidRPr="00670830">
        <w:rPr>
          <w:rFonts w:ascii="Arial" w:eastAsia="Arial Unicode MS" w:hAnsi="Arial" w:cs="Arial"/>
          <w:sz w:val="24"/>
          <w:szCs w:val="24"/>
        </w:rPr>
        <w:t xml:space="preserve"> determinamos nuestra cartera óptima</w:t>
      </w:r>
      <w:r w:rsidR="00B34BEB" w:rsidRPr="00670830">
        <w:rPr>
          <w:rFonts w:ascii="Arial" w:eastAsia="Arial Unicode MS" w:hAnsi="Arial" w:cs="Arial"/>
          <w:sz w:val="24"/>
          <w:szCs w:val="24"/>
        </w:rPr>
        <w:t>, el cual se</w:t>
      </w:r>
      <w:r w:rsidR="00DA1B41" w:rsidRPr="00670830">
        <w:rPr>
          <w:rFonts w:ascii="Arial" w:eastAsia="Arial Unicode MS" w:hAnsi="Arial" w:cs="Arial"/>
          <w:sz w:val="24"/>
          <w:szCs w:val="24"/>
        </w:rPr>
        <w:t xml:space="preserve"> </w:t>
      </w:r>
      <w:r w:rsidR="009D192D" w:rsidRPr="00670830">
        <w:rPr>
          <w:rFonts w:ascii="Arial" w:eastAsia="Arial Unicode MS" w:hAnsi="Arial" w:cs="Arial"/>
          <w:sz w:val="24"/>
          <w:szCs w:val="24"/>
        </w:rPr>
        <w:t>compone de la siguiente manera:</w:t>
      </w:r>
    </w:p>
    <w:tbl>
      <w:tblPr>
        <w:tblW w:w="9083" w:type="dxa"/>
        <w:jc w:val="center"/>
        <w:tblInd w:w="55" w:type="dxa"/>
        <w:tblCellMar>
          <w:left w:w="70" w:type="dxa"/>
          <w:right w:w="70" w:type="dxa"/>
        </w:tblCellMar>
        <w:tblLook w:val="04A0" w:firstRow="1" w:lastRow="0" w:firstColumn="1" w:lastColumn="0" w:noHBand="0" w:noVBand="1"/>
      </w:tblPr>
      <w:tblGrid>
        <w:gridCol w:w="1660"/>
        <w:gridCol w:w="954"/>
        <w:gridCol w:w="1781"/>
        <w:gridCol w:w="821"/>
        <w:gridCol w:w="1407"/>
        <w:gridCol w:w="821"/>
        <w:gridCol w:w="1514"/>
        <w:gridCol w:w="821"/>
      </w:tblGrid>
      <w:tr w:rsidR="00003043" w:rsidRPr="00670830" w:rsidTr="00DA1B41">
        <w:trPr>
          <w:trHeight w:val="310"/>
          <w:jc w:val="center"/>
        </w:trPr>
        <w:tc>
          <w:tcPr>
            <w:tcW w:w="1660" w:type="dxa"/>
            <w:tcBorders>
              <w:top w:val="single" w:sz="4" w:space="0" w:color="0070C0"/>
              <w:left w:val="single" w:sz="4" w:space="0" w:color="0070C0"/>
              <w:bottom w:val="single" w:sz="4" w:space="0" w:color="0070C0"/>
              <w:right w:val="single" w:sz="4" w:space="0" w:color="0070C0"/>
            </w:tcBorders>
            <w:shd w:val="clear" w:color="000000" w:fill="DCE6F1"/>
            <w:noWrap/>
            <w:vAlign w:val="bottom"/>
            <w:hideMark/>
          </w:tcPr>
          <w:p w:rsidR="00003043" w:rsidRPr="00670830" w:rsidRDefault="00003043"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Acción</w:t>
            </w:r>
          </w:p>
        </w:tc>
        <w:tc>
          <w:tcPr>
            <w:tcW w:w="874" w:type="dxa"/>
            <w:tcBorders>
              <w:top w:val="single" w:sz="4" w:space="0" w:color="0070C0"/>
              <w:left w:val="nil"/>
              <w:bottom w:val="single" w:sz="4" w:space="0" w:color="0070C0"/>
              <w:right w:val="single" w:sz="4" w:space="0" w:color="0070C0"/>
            </w:tcBorders>
            <w:shd w:val="clear" w:color="000000" w:fill="DCE6F1"/>
            <w:noWrap/>
            <w:vAlign w:val="bottom"/>
            <w:hideMark/>
          </w:tcPr>
          <w:p w:rsidR="00003043" w:rsidRPr="00670830" w:rsidRDefault="00003043"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proofErr w:type="spellStart"/>
            <w:r w:rsidRPr="00670830">
              <w:rPr>
                <w:rFonts w:ascii="Arial" w:eastAsia="Arial Unicode MS" w:hAnsi="Arial" w:cs="Arial"/>
                <w:b/>
                <w:bCs/>
                <w:color w:val="000000"/>
                <w:sz w:val="24"/>
                <w:szCs w:val="24"/>
                <w:lang w:eastAsia="es-MX"/>
              </w:rPr>
              <w:t>Wi</w:t>
            </w:r>
            <w:proofErr w:type="spellEnd"/>
          </w:p>
        </w:tc>
        <w:tc>
          <w:tcPr>
            <w:tcW w:w="1621" w:type="dxa"/>
            <w:tcBorders>
              <w:top w:val="single" w:sz="4" w:space="0" w:color="0070C0"/>
              <w:left w:val="nil"/>
              <w:bottom w:val="single" w:sz="4" w:space="0" w:color="0070C0"/>
              <w:right w:val="single" w:sz="4" w:space="0" w:color="0070C0"/>
            </w:tcBorders>
            <w:shd w:val="clear" w:color="000000" w:fill="DCE6F1"/>
            <w:noWrap/>
            <w:vAlign w:val="bottom"/>
            <w:hideMark/>
          </w:tcPr>
          <w:p w:rsidR="00003043" w:rsidRPr="00670830" w:rsidRDefault="00003043"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Acción</w:t>
            </w:r>
          </w:p>
        </w:tc>
        <w:tc>
          <w:tcPr>
            <w:tcW w:w="755" w:type="dxa"/>
            <w:tcBorders>
              <w:top w:val="single" w:sz="4" w:space="0" w:color="0070C0"/>
              <w:left w:val="nil"/>
              <w:bottom w:val="single" w:sz="4" w:space="0" w:color="0070C0"/>
              <w:right w:val="single" w:sz="4" w:space="0" w:color="0070C0"/>
            </w:tcBorders>
            <w:shd w:val="clear" w:color="000000" w:fill="DCE6F1"/>
            <w:noWrap/>
            <w:vAlign w:val="bottom"/>
            <w:hideMark/>
          </w:tcPr>
          <w:p w:rsidR="00003043" w:rsidRPr="00670830" w:rsidRDefault="00003043"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proofErr w:type="spellStart"/>
            <w:r w:rsidRPr="00670830">
              <w:rPr>
                <w:rFonts w:ascii="Arial" w:eastAsia="Arial Unicode MS" w:hAnsi="Arial" w:cs="Arial"/>
                <w:b/>
                <w:bCs/>
                <w:color w:val="000000"/>
                <w:sz w:val="24"/>
                <w:szCs w:val="24"/>
                <w:lang w:eastAsia="es-MX"/>
              </w:rPr>
              <w:t>Wi</w:t>
            </w:r>
            <w:proofErr w:type="spellEnd"/>
          </w:p>
        </w:tc>
        <w:tc>
          <w:tcPr>
            <w:tcW w:w="1283" w:type="dxa"/>
            <w:tcBorders>
              <w:top w:val="single" w:sz="4" w:space="0" w:color="0070C0"/>
              <w:left w:val="nil"/>
              <w:bottom w:val="single" w:sz="4" w:space="0" w:color="0070C0"/>
              <w:right w:val="single" w:sz="4" w:space="0" w:color="0070C0"/>
            </w:tcBorders>
            <w:shd w:val="clear" w:color="000000" w:fill="DCE6F1"/>
            <w:noWrap/>
            <w:vAlign w:val="bottom"/>
            <w:hideMark/>
          </w:tcPr>
          <w:p w:rsidR="00003043" w:rsidRPr="00670830" w:rsidRDefault="00003043"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Acción</w:t>
            </w:r>
          </w:p>
        </w:tc>
        <w:tc>
          <w:tcPr>
            <w:tcW w:w="755" w:type="dxa"/>
            <w:tcBorders>
              <w:top w:val="single" w:sz="4" w:space="0" w:color="0070C0"/>
              <w:left w:val="nil"/>
              <w:bottom w:val="single" w:sz="4" w:space="0" w:color="0070C0"/>
              <w:right w:val="single" w:sz="4" w:space="0" w:color="0070C0"/>
            </w:tcBorders>
            <w:shd w:val="clear" w:color="000000" w:fill="DCE6F1"/>
            <w:noWrap/>
            <w:vAlign w:val="bottom"/>
            <w:hideMark/>
          </w:tcPr>
          <w:p w:rsidR="00003043" w:rsidRPr="00670830" w:rsidRDefault="00003043"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proofErr w:type="spellStart"/>
            <w:r w:rsidRPr="00670830">
              <w:rPr>
                <w:rFonts w:ascii="Arial" w:eastAsia="Arial Unicode MS" w:hAnsi="Arial" w:cs="Arial"/>
                <w:b/>
                <w:bCs/>
                <w:color w:val="000000"/>
                <w:sz w:val="24"/>
                <w:szCs w:val="24"/>
                <w:lang w:eastAsia="es-MX"/>
              </w:rPr>
              <w:t>Wi</w:t>
            </w:r>
            <w:proofErr w:type="spellEnd"/>
          </w:p>
        </w:tc>
        <w:tc>
          <w:tcPr>
            <w:tcW w:w="1380" w:type="dxa"/>
            <w:tcBorders>
              <w:top w:val="single" w:sz="4" w:space="0" w:color="0070C0"/>
              <w:left w:val="nil"/>
              <w:bottom w:val="single" w:sz="4" w:space="0" w:color="0070C0"/>
              <w:right w:val="single" w:sz="4" w:space="0" w:color="0070C0"/>
            </w:tcBorders>
            <w:shd w:val="clear" w:color="000000" w:fill="DCE6F1"/>
            <w:noWrap/>
            <w:vAlign w:val="bottom"/>
            <w:hideMark/>
          </w:tcPr>
          <w:p w:rsidR="00003043" w:rsidRPr="00670830" w:rsidRDefault="00003043"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Acción</w:t>
            </w:r>
          </w:p>
        </w:tc>
        <w:tc>
          <w:tcPr>
            <w:tcW w:w="755" w:type="dxa"/>
            <w:tcBorders>
              <w:top w:val="single" w:sz="4" w:space="0" w:color="0070C0"/>
              <w:left w:val="nil"/>
              <w:bottom w:val="single" w:sz="4" w:space="0" w:color="0070C0"/>
              <w:right w:val="single" w:sz="4" w:space="0" w:color="0070C0"/>
            </w:tcBorders>
            <w:shd w:val="clear" w:color="000000" w:fill="DCE6F1"/>
            <w:noWrap/>
            <w:vAlign w:val="bottom"/>
            <w:hideMark/>
          </w:tcPr>
          <w:p w:rsidR="00003043" w:rsidRPr="00670830" w:rsidRDefault="00003043"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proofErr w:type="spellStart"/>
            <w:r w:rsidRPr="00670830">
              <w:rPr>
                <w:rFonts w:ascii="Arial" w:eastAsia="Arial Unicode MS" w:hAnsi="Arial" w:cs="Arial"/>
                <w:b/>
                <w:bCs/>
                <w:color w:val="000000"/>
                <w:sz w:val="24"/>
                <w:szCs w:val="24"/>
                <w:lang w:eastAsia="es-MX"/>
              </w:rPr>
              <w:t>Wi</w:t>
            </w:r>
            <w:proofErr w:type="spellEnd"/>
          </w:p>
        </w:tc>
      </w:tr>
      <w:tr w:rsidR="00003043" w:rsidRPr="00670830" w:rsidTr="00DA1B41">
        <w:trPr>
          <w:trHeight w:val="258"/>
          <w:jc w:val="center"/>
        </w:trPr>
        <w:tc>
          <w:tcPr>
            <w:tcW w:w="1660" w:type="dxa"/>
            <w:tcBorders>
              <w:top w:val="nil"/>
              <w:left w:val="single" w:sz="4" w:space="0" w:color="0070C0"/>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PINFRA</w:t>
            </w:r>
          </w:p>
        </w:tc>
        <w:tc>
          <w:tcPr>
            <w:tcW w:w="874"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15.81%</w:t>
            </w:r>
          </w:p>
        </w:tc>
        <w:tc>
          <w:tcPr>
            <w:tcW w:w="1621"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WALMEX</w:t>
            </w:r>
          </w:p>
        </w:tc>
        <w:tc>
          <w:tcPr>
            <w:tcW w:w="755"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5.83%</w:t>
            </w:r>
          </w:p>
        </w:tc>
        <w:tc>
          <w:tcPr>
            <w:tcW w:w="1283"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LABB</w:t>
            </w:r>
          </w:p>
        </w:tc>
        <w:tc>
          <w:tcPr>
            <w:tcW w:w="755"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0.35%</w:t>
            </w:r>
          </w:p>
        </w:tc>
        <w:tc>
          <w:tcPr>
            <w:tcW w:w="1380"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BIMBOA</w:t>
            </w:r>
          </w:p>
        </w:tc>
        <w:tc>
          <w:tcPr>
            <w:tcW w:w="755"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r>
      <w:tr w:rsidR="00003043" w:rsidRPr="00670830" w:rsidTr="00DA1B41">
        <w:trPr>
          <w:trHeight w:val="258"/>
          <w:jc w:val="center"/>
        </w:trPr>
        <w:tc>
          <w:tcPr>
            <w:tcW w:w="1660" w:type="dxa"/>
            <w:tcBorders>
              <w:top w:val="nil"/>
              <w:left w:val="single" w:sz="4" w:space="0" w:color="0070C0"/>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GAPB</w:t>
            </w:r>
          </w:p>
        </w:tc>
        <w:tc>
          <w:tcPr>
            <w:tcW w:w="874"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13.34%</w:t>
            </w:r>
          </w:p>
        </w:tc>
        <w:tc>
          <w:tcPr>
            <w:tcW w:w="1621"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ASURB</w:t>
            </w:r>
          </w:p>
        </w:tc>
        <w:tc>
          <w:tcPr>
            <w:tcW w:w="755"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5.78%</w:t>
            </w:r>
          </w:p>
        </w:tc>
        <w:tc>
          <w:tcPr>
            <w:tcW w:w="1283"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ELEKTRA</w:t>
            </w:r>
          </w:p>
        </w:tc>
        <w:tc>
          <w:tcPr>
            <w:tcW w:w="755"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0.23%</w:t>
            </w:r>
          </w:p>
        </w:tc>
        <w:tc>
          <w:tcPr>
            <w:tcW w:w="1380"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GFNORTEO</w:t>
            </w:r>
          </w:p>
        </w:tc>
        <w:tc>
          <w:tcPr>
            <w:tcW w:w="755"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r>
      <w:tr w:rsidR="00003043" w:rsidRPr="00670830" w:rsidTr="00DA1B41">
        <w:trPr>
          <w:trHeight w:val="258"/>
          <w:jc w:val="center"/>
        </w:trPr>
        <w:tc>
          <w:tcPr>
            <w:tcW w:w="1660" w:type="dxa"/>
            <w:tcBorders>
              <w:top w:val="nil"/>
              <w:left w:val="single" w:sz="4" w:space="0" w:color="0070C0"/>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LIVEPOLC-1</w:t>
            </w:r>
          </w:p>
        </w:tc>
        <w:tc>
          <w:tcPr>
            <w:tcW w:w="874"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12.99%</w:t>
            </w:r>
          </w:p>
        </w:tc>
        <w:tc>
          <w:tcPr>
            <w:tcW w:w="1621"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AMXL</w:t>
            </w:r>
          </w:p>
        </w:tc>
        <w:tc>
          <w:tcPr>
            <w:tcW w:w="755"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4.76%</w:t>
            </w:r>
          </w:p>
        </w:tc>
        <w:tc>
          <w:tcPr>
            <w:tcW w:w="1283"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GFINBURO</w:t>
            </w:r>
          </w:p>
        </w:tc>
        <w:tc>
          <w:tcPr>
            <w:tcW w:w="755"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w:t>
            </w:r>
          </w:p>
        </w:tc>
        <w:tc>
          <w:tcPr>
            <w:tcW w:w="1380"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ALFAA</w:t>
            </w:r>
          </w:p>
        </w:tc>
        <w:tc>
          <w:tcPr>
            <w:tcW w:w="755"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r>
      <w:tr w:rsidR="00003043" w:rsidRPr="00670830" w:rsidTr="00DA1B41">
        <w:trPr>
          <w:trHeight w:val="258"/>
          <w:jc w:val="center"/>
        </w:trPr>
        <w:tc>
          <w:tcPr>
            <w:tcW w:w="1660" w:type="dxa"/>
            <w:tcBorders>
              <w:top w:val="nil"/>
              <w:left w:val="single" w:sz="4" w:space="0" w:color="0070C0"/>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KOFL</w:t>
            </w:r>
          </w:p>
        </w:tc>
        <w:tc>
          <w:tcPr>
            <w:tcW w:w="874"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10.65%</w:t>
            </w:r>
          </w:p>
        </w:tc>
        <w:tc>
          <w:tcPr>
            <w:tcW w:w="1621"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BOLSAA</w:t>
            </w:r>
          </w:p>
        </w:tc>
        <w:tc>
          <w:tcPr>
            <w:tcW w:w="755"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2.36%</w:t>
            </w:r>
          </w:p>
        </w:tc>
        <w:tc>
          <w:tcPr>
            <w:tcW w:w="1283"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ICA</w:t>
            </w:r>
          </w:p>
        </w:tc>
        <w:tc>
          <w:tcPr>
            <w:tcW w:w="755"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80"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GCARSOA1</w:t>
            </w:r>
          </w:p>
        </w:tc>
        <w:tc>
          <w:tcPr>
            <w:tcW w:w="755"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r>
      <w:tr w:rsidR="00003043" w:rsidRPr="00670830" w:rsidTr="00DA1B41">
        <w:trPr>
          <w:trHeight w:val="258"/>
          <w:jc w:val="center"/>
        </w:trPr>
        <w:tc>
          <w:tcPr>
            <w:tcW w:w="1660" w:type="dxa"/>
            <w:tcBorders>
              <w:top w:val="nil"/>
              <w:left w:val="single" w:sz="4" w:space="0" w:color="0070C0"/>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AC</w:t>
            </w:r>
          </w:p>
        </w:tc>
        <w:tc>
          <w:tcPr>
            <w:tcW w:w="874"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10.09%</w:t>
            </w:r>
          </w:p>
        </w:tc>
        <w:tc>
          <w:tcPr>
            <w:tcW w:w="1621"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COMERCIUBC</w:t>
            </w:r>
          </w:p>
        </w:tc>
        <w:tc>
          <w:tcPr>
            <w:tcW w:w="755"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1.81%</w:t>
            </w:r>
          </w:p>
        </w:tc>
        <w:tc>
          <w:tcPr>
            <w:tcW w:w="1283"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MEXCHEM</w:t>
            </w:r>
          </w:p>
        </w:tc>
        <w:tc>
          <w:tcPr>
            <w:tcW w:w="755"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80"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GMEXICOB</w:t>
            </w:r>
          </w:p>
        </w:tc>
        <w:tc>
          <w:tcPr>
            <w:tcW w:w="755"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r>
      <w:tr w:rsidR="00003043" w:rsidRPr="00670830" w:rsidTr="00DA1B41">
        <w:trPr>
          <w:trHeight w:val="258"/>
          <w:jc w:val="center"/>
        </w:trPr>
        <w:tc>
          <w:tcPr>
            <w:tcW w:w="1660" w:type="dxa"/>
            <w:tcBorders>
              <w:top w:val="nil"/>
              <w:left w:val="single" w:sz="4" w:space="0" w:color="0070C0"/>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TLEVISACPO</w:t>
            </w:r>
          </w:p>
        </w:tc>
        <w:tc>
          <w:tcPr>
            <w:tcW w:w="874"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8.17%</w:t>
            </w:r>
          </w:p>
        </w:tc>
        <w:tc>
          <w:tcPr>
            <w:tcW w:w="1621"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ALSEA</w:t>
            </w:r>
          </w:p>
        </w:tc>
        <w:tc>
          <w:tcPr>
            <w:tcW w:w="755"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1.39%</w:t>
            </w:r>
          </w:p>
        </w:tc>
        <w:tc>
          <w:tcPr>
            <w:tcW w:w="1283"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GENTERA</w:t>
            </w:r>
          </w:p>
        </w:tc>
        <w:tc>
          <w:tcPr>
            <w:tcW w:w="755"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80"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CEMEXCPO</w:t>
            </w:r>
          </w:p>
        </w:tc>
        <w:tc>
          <w:tcPr>
            <w:tcW w:w="755"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r>
      <w:tr w:rsidR="00003043" w:rsidRPr="00670830" w:rsidTr="00DA1B41">
        <w:trPr>
          <w:trHeight w:val="258"/>
          <w:jc w:val="center"/>
        </w:trPr>
        <w:tc>
          <w:tcPr>
            <w:tcW w:w="1660" w:type="dxa"/>
            <w:tcBorders>
              <w:top w:val="nil"/>
              <w:left w:val="single" w:sz="4" w:space="0" w:color="0070C0"/>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GRUMAB</w:t>
            </w:r>
          </w:p>
        </w:tc>
        <w:tc>
          <w:tcPr>
            <w:tcW w:w="874"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5.85%</w:t>
            </w:r>
          </w:p>
        </w:tc>
        <w:tc>
          <w:tcPr>
            <w:tcW w:w="1621"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KIMBERA</w:t>
            </w:r>
          </w:p>
        </w:tc>
        <w:tc>
          <w:tcPr>
            <w:tcW w:w="755"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0.58%</w:t>
            </w:r>
          </w:p>
        </w:tc>
        <w:tc>
          <w:tcPr>
            <w:tcW w:w="1283"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OHLMEX</w:t>
            </w:r>
          </w:p>
        </w:tc>
        <w:tc>
          <w:tcPr>
            <w:tcW w:w="755"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80"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ICHB</w:t>
            </w:r>
          </w:p>
        </w:tc>
        <w:tc>
          <w:tcPr>
            <w:tcW w:w="755" w:type="dxa"/>
            <w:tcBorders>
              <w:top w:val="nil"/>
              <w:left w:val="nil"/>
              <w:bottom w:val="single" w:sz="4" w:space="0" w:color="0070C0"/>
              <w:right w:val="single" w:sz="4" w:space="0" w:color="0070C0"/>
            </w:tcBorders>
            <w:shd w:val="clear" w:color="auto" w:fill="auto"/>
            <w:noWrap/>
            <w:vAlign w:val="bottom"/>
            <w:hideMark/>
          </w:tcPr>
          <w:p w:rsidR="00003043" w:rsidRPr="00670830" w:rsidRDefault="0000304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r>
    </w:tbl>
    <w:p w:rsidR="005C36A9" w:rsidRPr="00670830" w:rsidRDefault="005C36A9" w:rsidP="00670830">
      <w:pPr>
        <w:pStyle w:val="Ttulo3"/>
        <w:numPr>
          <w:ilvl w:val="2"/>
          <w:numId w:val="3"/>
        </w:numPr>
        <w:spacing w:before="100" w:beforeAutospacing="1" w:after="100" w:afterAutospacing="1" w:line="360" w:lineRule="auto"/>
        <w:ind w:left="567" w:hanging="567"/>
        <w:jc w:val="both"/>
        <w:rPr>
          <w:rFonts w:ascii="Arial" w:eastAsia="Arial Unicode MS" w:hAnsi="Arial" w:cs="Arial"/>
          <w:color w:val="auto"/>
          <w:sz w:val="24"/>
          <w:szCs w:val="24"/>
        </w:rPr>
      </w:pPr>
      <w:r w:rsidRPr="00670830">
        <w:rPr>
          <w:rFonts w:ascii="Arial" w:eastAsia="Arial Unicode MS" w:hAnsi="Arial" w:cs="Arial"/>
          <w:color w:val="auto"/>
          <w:sz w:val="24"/>
          <w:szCs w:val="24"/>
        </w:rPr>
        <w:t xml:space="preserve"> </w:t>
      </w:r>
      <w:bookmarkStart w:id="35" w:name="_Toc488230512"/>
      <w:r w:rsidR="0067258A" w:rsidRPr="00670830">
        <w:rPr>
          <w:rFonts w:ascii="Arial" w:eastAsia="Arial Unicode MS" w:hAnsi="Arial" w:cs="Arial"/>
          <w:color w:val="auto"/>
          <w:sz w:val="24"/>
          <w:szCs w:val="24"/>
        </w:rPr>
        <w:t>Cartera diversificada</w:t>
      </w:r>
      <w:r w:rsidR="00C00C4C" w:rsidRPr="00670830">
        <w:rPr>
          <w:rFonts w:ascii="Arial" w:eastAsia="Arial Unicode MS" w:hAnsi="Arial" w:cs="Arial"/>
          <w:color w:val="auto"/>
          <w:sz w:val="24"/>
          <w:szCs w:val="24"/>
        </w:rPr>
        <w:t xml:space="preserve"> </w:t>
      </w:r>
      <w:r w:rsidR="000F4B88" w:rsidRPr="00670830">
        <w:rPr>
          <w:rFonts w:ascii="Arial" w:eastAsia="Arial Unicode MS" w:hAnsi="Arial" w:cs="Arial"/>
          <w:color w:val="auto"/>
          <w:sz w:val="24"/>
          <w:szCs w:val="24"/>
        </w:rPr>
        <w:t>aleatoriamente</w:t>
      </w:r>
      <w:bookmarkEnd w:id="35"/>
    </w:p>
    <w:p w:rsidR="005C36A9" w:rsidRPr="00670830" w:rsidRDefault="00AF55C2"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Para el armado de</w:t>
      </w:r>
      <w:r w:rsidR="0067258A" w:rsidRPr="00670830">
        <w:rPr>
          <w:rFonts w:ascii="Arial" w:eastAsia="Arial Unicode MS" w:hAnsi="Arial" w:cs="Arial"/>
          <w:sz w:val="24"/>
          <w:szCs w:val="24"/>
        </w:rPr>
        <w:t xml:space="preserve"> </w:t>
      </w:r>
      <w:r w:rsidRPr="00670830">
        <w:rPr>
          <w:rFonts w:ascii="Arial" w:eastAsia="Arial Unicode MS" w:hAnsi="Arial" w:cs="Arial"/>
          <w:sz w:val="24"/>
          <w:szCs w:val="24"/>
        </w:rPr>
        <w:t>l</w:t>
      </w:r>
      <w:r w:rsidR="0067258A" w:rsidRPr="00670830">
        <w:rPr>
          <w:rFonts w:ascii="Arial" w:eastAsia="Arial Unicode MS" w:hAnsi="Arial" w:cs="Arial"/>
          <w:sz w:val="24"/>
          <w:szCs w:val="24"/>
        </w:rPr>
        <w:t>a segunda cartera</w:t>
      </w:r>
      <w:r w:rsidRPr="00670830">
        <w:rPr>
          <w:rFonts w:ascii="Arial" w:eastAsia="Arial Unicode MS" w:hAnsi="Arial" w:cs="Arial"/>
          <w:sz w:val="24"/>
          <w:szCs w:val="24"/>
        </w:rPr>
        <w:t>, se analizaron los precios de cierre históricos de las mis</w:t>
      </w:r>
      <w:r w:rsidR="00313FF1" w:rsidRPr="00670830">
        <w:rPr>
          <w:rFonts w:ascii="Arial" w:eastAsia="Arial Unicode MS" w:hAnsi="Arial" w:cs="Arial"/>
          <w:sz w:val="24"/>
          <w:szCs w:val="24"/>
        </w:rPr>
        <w:t>mas 28</w:t>
      </w:r>
      <w:r w:rsidRPr="00670830">
        <w:rPr>
          <w:rFonts w:ascii="Arial" w:eastAsia="Arial Unicode MS" w:hAnsi="Arial" w:cs="Arial"/>
          <w:sz w:val="24"/>
          <w:szCs w:val="24"/>
        </w:rPr>
        <w:t xml:space="preserve"> empresas con las mismas consideraciones con l</w:t>
      </w:r>
      <w:r w:rsidR="0067258A" w:rsidRPr="00670830">
        <w:rPr>
          <w:rFonts w:ascii="Arial" w:eastAsia="Arial Unicode MS" w:hAnsi="Arial" w:cs="Arial"/>
          <w:sz w:val="24"/>
          <w:szCs w:val="24"/>
        </w:rPr>
        <w:t>a que se construyó la cartera óptima</w:t>
      </w:r>
      <w:r w:rsidRPr="00670830">
        <w:rPr>
          <w:rFonts w:ascii="Arial" w:eastAsia="Arial Unicode MS" w:hAnsi="Arial" w:cs="Arial"/>
          <w:sz w:val="24"/>
          <w:szCs w:val="24"/>
        </w:rPr>
        <w:t>.</w:t>
      </w:r>
    </w:p>
    <w:p w:rsidR="00AF55C2" w:rsidRPr="00670830" w:rsidRDefault="00AF55C2"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Sólo que esta vez, las proporciones a invertir (</w:t>
      </w:r>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x</m:t>
            </m:r>
          </m:e>
          <m:sub>
            <m:r>
              <w:rPr>
                <w:rFonts w:ascii="Cambria Math" w:eastAsia="Arial Unicode MS" w:hAnsi="Cambria Math" w:cs="Arial"/>
                <w:sz w:val="24"/>
                <w:szCs w:val="24"/>
              </w:rPr>
              <m:t>i</m:t>
            </m:r>
          </m:sub>
        </m:sSub>
      </m:oMath>
      <w:r w:rsidRPr="00670830">
        <w:rPr>
          <w:rFonts w:ascii="Arial" w:eastAsia="Arial Unicode MS" w:hAnsi="Arial" w:cs="Arial"/>
          <w:sz w:val="24"/>
          <w:szCs w:val="24"/>
        </w:rPr>
        <w:t>) se determinaron mediante valores aleatorios entre 0 y 1, sujeto a que la suma de éstas sea igual a 1.</w:t>
      </w:r>
    </w:p>
    <w:p w:rsidR="005C36A9" w:rsidRPr="00670830" w:rsidRDefault="0067258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cartera diversificada</w:t>
      </w:r>
      <w:r w:rsidR="00AF55C2" w:rsidRPr="00670830">
        <w:rPr>
          <w:rFonts w:ascii="Arial" w:eastAsia="Arial Unicode MS" w:hAnsi="Arial" w:cs="Arial"/>
          <w:sz w:val="24"/>
          <w:szCs w:val="24"/>
        </w:rPr>
        <w:t xml:space="preserve"> aleatoriamente, quedó conformado de la siguiente manera:</w:t>
      </w:r>
    </w:p>
    <w:tbl>
      <w:tblPr>
        <w:tblW w:w="9083" w:type="dxa"/>
        <w:jc w:val="center"/>
        <w:tblInd w:w="55" w:type="dxa"/>
        <w:tblCellMar>
          <w:left w:w="70" w:type="dxa"/>
          <w:right w:w="70" w:type="dxa"/>
        </w:tblCellMar>
        <w:tblLook w:val="04A0" w:firstRow="1" w:lastRow="0" w:firstColumn="1" w:lastColumn="0" w:noHBand="0" w:noVBand="1"/>
      </w:tblPr>
      <w:tblGrid>
        <w:gridCol w:w="1672"/>
        <w:gridCol w:w="821"/>
        <w:gridCol w:w="1474"/>
        <w:gridCol w:w="821"/>
        <w:gridCol w:w="1781"/>
        <w:gridCol w:w="821"/>
        <w:gridCol w:w="1514"/>
        <w:gridCol w:w="821"/>
      </w:tblGrid>
      <w:tr w:rsidR="00C60F5A" w:rsidRPr="00670830" w:rsidTr="00DA1B41">
        <w:trPr>
          <w:trHeight w:val="310"/>
          <w:jc w:val="center"/>
        </w:trPr>
        <w:tc>
          <w:tcPr>
            <w:tcW w:w="1672" w:type="dxa"/>
            <w:tcBorders>
              <w:top w:val="single" w:sz="4" w:space="0" w:color="0070C0"/>
              <w:left w:val="single" w:sz="4" w:space="0" w:color="0070C0"/>
              <w:bottom w:val="single" w:sz="4" w:space="0" w:color="0070C0"/>
              <w:right w:val="single" w:sz="4" w:space="0" w:color="0070C0"/>
            </w:tcBorders>
            <w:shd w:val="clear" w:color="000000" w:fill="DCE6F1"/>
            <w:noWrap/>
            <w:vAlign w:val="bottom"/>
            <w:hideMark/>
          </w:tcPr>
          <w:p w:rsidR="00C60F5A" w:rsidRPr="00670830" w:rsidRDefault="00C60F5A"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Acción</w:t>
            </w:r>
          </w:p>
        </w:tc>
        <w:tc>
          <w:tcPr>
            <w:tcW w:w="760" w:type="dxa"/>
            <w:tcBorders>
              <w:top w:val="single" w:sz="4" w:space="0" w:color="0070C0"/>
              <w:left w:val="nil"/>
              <w:bottom w:val="single" w:sz="4" w:space="0" w:color="0070C0"/>
              <w:right w:val="single" w:sz="4" w:space="0" w:color="0070C0"/>
            </w:tcBorders>
            <w:shd w:val="clear" w:color="000000" w:fill="DCE6F1"/>
            <w:noWrap/>
            <w:vAlign w:val="bottom"/>
            <w:hideMark/>
          </w:tcPr>
          <w:p w:rsidR="00C60F5A" w:rsidRPr="00670830" w:rsidRDefault="00C60F5A"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proofErr w:type="spellStart"/>
            <w:r w:rsidRPr="00670830">
              <w:rPr>
                <w:rFonts w:ascii="Arial" w:eastAsia="Arial Unicode MS" w:hAnsi="Arial" w:cs="Arial"/>
                <w:b/>
                <w:bCs/>
                <w:color w:val="000000"/>
                <w:sz w:val="24"/>
                <w:szCs w:val="24"/>
                <w:lang w:eastAsia="es-MX"/>
              </w:rPr>
              <w:t>Wi</w:t>
            </w:r>
            <w:proofErr w:type="spellEnd"/>
          </w:p>
        </w:tc>
        <w:tc>
          <w:tcPr>
            <w:tcW w:w="1353" w:type="dxa"/>
            <w:tcBorders>
              <w:top w:val="single" w:sz="4" w:space="0" w:color="0070C0"/>
              <w:left w:val="nil"/>
              <w:bottom w:val="single" w:sz="4" w:space="0" w:color="0070C0"/>
              <w:right w:val="single" w:sz="4" w:space="0" w:color="0070C0"/>
            </w:tcBorders>
            <w:shd w:val="clear" w:color="000000" w:fill="DCE6F1"/>
            <w:noWrap/>
            <w:vAlign w:val="bottom"/>
            <w:hideMark/>
          </w:tcPr>
          <w:p w:rsidR="00C60F5A" w:rsidRPr="00670830" w:rsidRDefault="00C60F5A"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Acción</w:t>
            </w:r>
          </w:p>
        </w:tc>
        <w:tc>
          <w:tcPr>
            <w:tcW w:w="759" w:type="dxa"/>
            <w:tcBorders>
              <w:top w:val="single" w:sz="4" w:space="0" w:color="0070C0"/>
              <w:left w:val="nil"/>
              <w:bottom w:val="single" w:sz="4" w:space="0" w:color="0070C0"/>
              <w:right w:val="single" w:sz="4" w:space="0" w:color="0070C0"/>
            </w:tcBorders>
            <w:shd w:val="clear" w:color="000000" w:fill="DCE6F1"/>
            <w:noWrap/>
            <w:vAlign w:val="bottom"/>
            <w:hideMark/>
          </w:tcPr>
          <w:p w:rsidR="00C60F5A" w:rsidRPr="00670830" w:rsidRDefault="00C60F5A"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proofErr w:type="spellStart"/>
            <w:r w:rsidRPr="00670830">
              <w:rPr>
                <w:rFonts w:ascii="Arial" w:eastAsia="Arial Unicode MS" w:hAnsi="Arial" w:cs="Arial"/>
                <w:b/>
                <w:bCs/>
                <w:color w:val="000000"/>
                <w:sz w:val="24"/>
                <w:szCs w:val="24"/>
                <w:lang w:eastAsia="es-MX"/>
              </w:rPr>
              <w:t>Wi</w:t>
            </w:r>
            <w:proofErr w:type="spellEnd"/>
          </w:p>
        </w:tc>
        <w:tc>
          <w:tcPr>
            <w:tcW w:w="1632" w:type="dxa"/>
            <w:tcBorders>
              <w:top w:val="single" w:sz="4" w:space="0" w:color="0070C0"/>
              <w:left w:val="nil"/>
              <w:bottom w:val="single" w:sz="4" w:space="0" w:color="0070C0"/>
              <w:right w:val="single" w:sz="4" w:space="0" w:color="0070C0"/>
            </w:tcBorders>
            <w:shd w:val="clear" w:color="000000" w:fill="DCE6F1"/>
            <w:noWrap/>
            <w:vAlign w:val="bottom"/>
            <w:hideMark/>
          </w:tcPr>
          <w:p w:rsidR="00C60F5A" w:rsidRPr="00670830" w:rsidRDefault="00C60F5A"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Acción</w:t>
            </w:r>
          </w:p>
        </w:tc>
        <w:tc>
          <w:tcPr>
            <w:tcW w:w="759" w:type="dxa"/>
            <w:tcBorders>
              <w:top w:val="single" w:sz="4" w:space="0" w:color="0070C0"/>
              <w:left w:val="nil"/>
              <w:bottom w:val="single" w:sz="4" w:space="0" w:color="0070C0"/>
              <w:right w:val="single" w:sz="4" w:space="0" w:color="0070C0"/>
            </w:tcBorders>
            <w:shd w:val="clear" w:color="000000" w:fill="DCE6F1"/>
            <w:noWrap/>
            <w:vAlign w:val="bottom"/>
            <w:hideMark/>
          </w:tcPr>
          <w:p w:rsidR="00C60F5A" w:rsidRPr="00670830" w:rsidRDefault="00C60F5A"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proofErr w:type="spellStart"/>
            <w:r w:rsidRPr="00670830">
              <w:rPr>
                <w:rFonts w:ascii="Arial" w:eastAsia="Arial Unicode MS" w:hAnsi="Arial" w:cs="Arial"/>
                <w:b/>
                <w:bCs/>
                <w:color w:val="000000"/>
                <w:sz w:val="24"/>
                <w:szCs w:val="24"/>
                <w:lang w:eastAsia="es-MX"/>
              </w:rPr>
              <w:t>Wi</w:t>
            </w:r>
            <w:proofErr w:type="spellEnd"/>
          </w:p>
        </w:tc>
        <w:tc>
          <w:tcPr>
            <w:tcW w:w="1389" w:type="dxa"/>
            <w:tcBorders>
              <w:top w:val="single" w:sz="4" w:space="0" w:color="0070C0"/>
              <w:left w:val="nil"/>
              <w:bottom w:val="single" w:sz="4" w:space="0" w:color="0070C0"/>
              <w:right w:val="single" w:sz="4" w:space="0" w:color="0070C0"/>
            </w:tcBorders>
            <w:shd w:val="clear" w:color="000000" w:fill="DCE6F1"/>
            <w:noWrap/>
            <w:vAlign w:val="bottom"/>
            <w:hideMark/>
          </w:tcPr>
          <w:p w:rsidR="00C60F5A" w:rsidRPr="00670830" w:rsidRDefault="00C60F5A"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Acción</w:t>
            </w:r>
          </w:p>
        </w:tc>
        <w:tc>
          <w:tcPr>
            <w:tcW w:w="759" w:type="dxa"/>
            <w:tcBorders>
              <w:top w:val="single" w:sz="4" w:space="0" w:color="0070C0"/>
              <w:left w:val="nil"/>
              <w:bottom w:val="single" w:sz="4" w:space="0" w:color="0070C0"/>
              <w:right w:val="single" w:sz="4" w:space="0" w:color="0070C0"/>
            </w:tcBorders>
            <w:shd w:val="clear" w:color="000000" w:fill="DCE6F1"/>
            <w:noWrap/>
            <w:vAlign w:val="bottom"/>
            <w:hideMark/>
          </w:tcPr>
          <w:p w:rsidR="00C60F5A" w:rsidRPr="00670830" w:rsidRDefault="00C60F5A"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proofErr w:type="spellStart"/>
            <w:r w:rsidRPr="00670830">
              <w:rPr>
                <w:rFonts w:ascii="Arial" w:eastAsia="Arial Unicode MS" w:hAnsi="Arial" w:cs="Arial"/>
                <w:b/>
                <w:bCs/>
                <w:color w:val="000000"/>
                <w:sz w:val="24"/>
                <w:szCs w:val="24"/>
                <w:lang w:eastAsia="es-MX"/>
              </w:rPr>
              <w:t>Wi</w:t>
            </w:r>
            <w:proofErr w:type="spellEnd"/>
          </w:p>
        </w:tc>
      </w:tr>
      <w:tr w:rsidR="00C60F5A" w:rsidRPr="00670830" w:rsidTr="00DA1B41">
        <w:trPr>
          <w:trHeight w:val="258"/>
          <w:jc w:val="center"/>
        </w:trPr>
        <w:tc>
          <w:tcPr>
            <w:tcW w:w="1672" w:type="dxa"/>
            <w:tcBorders>
              <w:top w:val="nil"/>
              <w:left w:val="single" w:sz="4" w:space="0" w:color="0070C0"/>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KIMBERA</w:t>
            </w:r>
          </w:p>
        </w:tc>
        <w:tc>
          <w:tcPr>
            <w:tcW w:w="760"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6.66%</w:t>
            </w:r>
          </w:p>
        </w:tc>
        <w:tc>
          <w:tcPr>
            <w:tcW w:w="1353"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GCARSOA1</w:t>
            </w:r>
          </w:p>
        </w:tc>
        <w:tc>
          <w:tcPr>
            <w:tcW w:w="75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5.70%</w:t>
            </w:r>
          </w:p>
        </w:tc>
        <w:tc>
          <w:tcPr>
            <w:tcW w:w="1632"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LABB</w:t>
            </w:r>
          </w:p>
        </w:tc>
        <w:tc>
          <w:tcPr>
            <w:tcW w:w="75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3.49%</w:t>
            </w:r>
          </w:p>
        </w:tc>
        <w:tc>
          <w:tcPr>
            <w:tcW w:w="138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ASURB</w:t>
            </w:r>
          </w:p>
        </w:tc>
        <w:tc>
          <w:tcPr>
            <w:tcW w:w="75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1.03%</w:t>
            </w:r>
          </w:p>
        </w:tc>
      </w:tr>
      <w:tr w:rsidR="00C60F5A" w:rsidRPr="00670830" w:rsidTr="00DA1B41">
        <w:trPr>
          <w:trHeight w:val="258"/>
          <w:jc w:val="center"/>
        </w:trPr>
        <w:tc>
          <w:tcPr>
            <w:tcW w:w="1672" w:type="dxa"/>
            <w:tcBorders>
              <w:top w:val="nil"/>
              <w:left w:val="single" w:sz="4" w:space="0" w:color="0070C0"/>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WALMEX</w:t>
            </w:r>
          </w:p>
        </w:tc>
        <w:tc>
          <w:tcPr>
            <w:tcW w:w="760"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6.58%</w:t>
            </w:r>
          </w:p>
        </w:tc>
        <w:tc>
          <w:tcPr>
            <w:tcW w:w="1353"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ICA</w:t>
            </w:r>
          </w:p>
        </w:tc>
        <w:tc>
          <w:tcPr>
            <w:tcW w:w="75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5.66%</w:t>
            </w:r>
          </w:p>
        </w:tc>
        <w:tc>
          <w:tcPr>
            <w:tcW w:w="1632"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GFNORTEO</w:t>
            </w:r>
          </w:p>
        </w:tc>
        <w:tc>
          <w:tcPr>
            <w:tcW w:w="75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3.47%</w:t>
            </w:r>
          </w:p>
        </w:tc>
        <w:tc>
          <w:tcPr>
            <w:tcW w:w="138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KOFL</w:t>
            </w:r>
          </w:p>
        </w:tc>
        <w:tc>
          <w:tcPr>
            <w:tcW w:w="75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0.92%</w:t>
            </w:r>
          </w:p>
        </w:tc>
      </w:tr>
      <w:tr w:rsidR="00C60F5A" w:rsidRPr="00670830" w:rsidTr="00DA1B41">
        <w:trPr>
          <w:trHeight w:val="258"/>
          <w:jc w:val="center"/>
        </w:trPr>
        <w:tc>
          <w:tcPr>
            <w:tcW w:w="1672" w:type="dxa"/>
            <w:tcBorders>
              <w:top w:val="nil"/>
              <w:left w:val="single" w:sz="4" w:space="0" w:color="0070C0"/>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MEXCHEM</w:t>
            </w:r>
          </w:p>
        </w:tc>
        <w:tc>
          <w:tcPr>
            <w:tcW w:w="760"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6.58%</w:t>
            </w:r>
          </w:p>
        </w:tc>
        <w:tc>
          <w:tcPr>
            <w:tcW w:w="1353"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GRUMAB</w:t>
            </w:r>
          </w:p>
        </w:tc>
        <w:tc>
          <w:tcPr>
            <w:tcW w:w="75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4.97%</w:t>
            </w:r>
          </w:p>
        </w:tc>
        <w:tc>
          <w:tcPr>
            <w:tcW w:w="1632"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COMERCIUBC</w:t>
            </w:r>
          </w:p>
        </w:tc>
        <w:tc>
          <w:tcPr>
            <w:tcW w:w="75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2.63%</w:t>
            </w:r>
          </w:p>
        </w:tc>
        <w:tc>
          <w:tcPr>
            <w:tcW w:w="138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CEMEXCPO</w:t>
            </w:r>
          </w:p>
        </w:tc>
        <w:tc>
          <w:tcPr>
            <w:tcW w:w="75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0.89%</w:t>
            </w:r>
          </w:p>
        </w:tc>
      </w:tr>
      <w:tr w:rsidR="00C60F5A" w:rsidRPr="00670830" w:rsidTr="00DA1B41">
        <w:trPr>
          <w:trHeight w:val="258"/>
          <w:jc w:val="center"/>
        </w:trPr>
        <w:tc>
          <w:tcPr>
            <w:tcW w:w="1672" w:type="dxa"/>
            <w:tcBorders>
              <w:top w:val="nil"/>
              <w:left w:val="single" w:sz="4" w:space="0" w:color="0070C0"/>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ALFAA</w:t>
            </w:r>
          </w:p>
        </w:tc>
        <w:tc>
          <w:tcPr>
            <w:tcW w:w="760"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6.33%</w:t>
            </w:r>
          </w:p>
        </w:tc>
        <w:tc>
          <w:tcPr>
            <w:tcW w:w="1353"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ICHB</w:t>
            </w:r>
          </w:p>
        </w:tc>
        <w:tc>
          <w:tcPr>
            <w:tcW w:w="75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4.91%</w:t>
            </w:r>
          </w:p>
        </w:tc>
        <w:tc>
          <w:tcPr>
            <w:tcW w:w="1632"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ELEKTRA</w:t>
            </w:r>
          </w:p>
        </w:tc>
        <w:tc>
          <w:tcPr>
            <w:tcW w:w="75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2.27%</w:t>
            </w:r>
          </w:p>
        </w:tc>
        <w:tc>
          <w:tcPr>
            <w:tcW w:w="138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OHLMEX</w:t>
            </w:r>
          </w:p>
        </w:tc>
        <w:tc>
          <w:tcPr>
            <w:tcW w:w="75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0.88%</w:t>
            </w:r>
          </w:p>
        </w:tc>
      </w:tr>
      <w:tr w:rsidR="00C60F5A" w:rsidRPr="00670830" w:rsidTr="00DA1B41">
        <w:trPr>
          <w:trHeight w:val="258"/>
          <w:jc w:val="center"/>
        </w:trPr>
        <w:tc>
          <w:tcPr>
            <w:tcW w:w="1672" w:type="dxa"/>
            <w:tcBorders>
              <w:top w:val="nil"/>
              <w:left w:val="single" w:sz="4" w:space="0" w:color="0070C0"/>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TLEVISACPO</w:t>
            </w:r>
          </w:p>
        </w:tc>
        <w:tc>
          <w:tcPr>
            <w:tcW w:w="760"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6.28%</w:t>
            </w:r>
          </w:p>
        </w:tc>
        <w:tc>
          <w:tcPr>
            <w:tcW w:w="1353"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GFINBURO</w:t>
            </w:r>
          </w:p>
        </w:tc>
        <w:tc>
          <w:tcPr>
            <w:tcW w:w="75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4.13%</w:t>
            </w:r>
          </w:p>
        </w:tc>
        <w:tc>
          <w:tcPr>
            <w:tcW w:w="1632"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LIVEPOLC-1</w:t>
            </w:r>
          </w:p>
        </w:tc>
        <w:tc>
          <w:tcPr>
            <w:tcW w:w="75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2.22%</w:t>
            </w:r>
          </w:p>
        </w:tc>
        <w:tc>
          <w:tcPr>
            <w:tcW w:w="138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BOLSAA</w:t>
            </w:r>
          </w:p>
        </w:tc>
        <w:tc>
          <w:tcPr>
            <w:tcW w:w="75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0.73%</w:t>
            </w:r>
          </w:p>
        </w:tc>
      </w:tr>
      <w:tr w:rsidR="00C60F5A" w:rsidRPr="00670830" w:rsidTr="00DA1B41">
        <w:trPr>
          <w:trHeight w:val="258"/>
          <w:jc w:val="center"/>
        </w:trPr>
        <w:tc>
          <w:tcPr>
            <w:tcW w:w="1672" w:type="dxa"/>
            <w:tcBorders>
              <w:top w:val="nil"/>
              <w:left w:val="single" w:sz="4" w:space="0" w:color="0070C0"/>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GENTERA</w:t>
            </w:r>
          </w:p>
        </w:tc>
        <w:tc>
          <w:tcPr>
            <w:tcW w:w="760"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6.17%</w:t>
            </w:r>
          </w:p>
        </w:tc>
        <w:tc>
          <w:tcPr>
            <w:tcW w:w="1353"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ALSEA</w:t>
            </w:r>
          </w:p>
        </w:tc>
        <w:tc>
          <w:tcPr>
            <w:tcW w:w="75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3.96%</w:t>
            </w:r>
          </w:p>
        </w:tc>
        <w:tc>
          <w:tcPr>
            <w:tcW w:w="1632"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GAPB</w:t>
            </w:r>
          </w:p>
        </w:tc>
        <w:tc>
          <w:tcPr>
            <w:tcW w:w="75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1.76%</w:t>
            </w:r>
          </w:p>
        </w:tc>
        <w:tc>
          <w:tcPr>
            <w:tcW w:w="138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PINFRA</w:t>
            </w:r>
          </w:p>
        </w:tc>
        <w:tc>
          <w:tcPr>
            <w:tcW w:w="75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0.63%</w:t>
            </w:r>
          </w:p>
        </w:tc>
      </w:tr>
      <w:tr w:rsidR="00C60F5A" w:rsidRPr="00670830" w:rsidTr="00DA1B41">
        <w:trPr>
          <w:trHeight w:val="258"/>
          <w:jc w:val="center"/>
        </w:trPr>
        <w:tc>
          <w:tcPr>
            <w:tcW w:w="1672" w:type="dxa"/>
            <w:tcBorders>
              <w:top w:val="nil"/>
              <w:left w:val="single" w:sz="4" w:space="0" w:color="0070C0"/>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GMEXICOB</w:t>
            </w:r>
          </w:p>
        </w:tc>
        <w:tc>
          <w:tcPr>
            <w:tcW w:w="760"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5.74%</w:t>
            </w:r>
          </w:p>
        </w:tc>
        <w:tc>
          <w:tcPr>
            <w:tcW w:w="1353"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AC</w:t>
            </w:r>
          </w:p>
        </w:tc>
        <w:tc>
          <w:tcPr>
            <w:tcW w:w="75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3.54%</w:t>
            </w:r>
          </w:p>
        </w:tc>
        <w:tc>
          <w:tcPr>
            <w:tcW w:w="1632"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BIMBOA</w:t>
            </w:r>
          </w:p>
        </w:tc>
        <w:tc>
          <w:tcPr>
            <w:tcW w:w="75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1.40%</w:t>
            </w:r>
          </w:p>
        </w:tc>
        <w:tc>
          <w:tcPr>
            <w:tcW w:w="138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AMXL</w:t>
            </w:r>
          </w:p>
        </w:tc>
        <w:tc>
          <w:tcPr>
            <w:tcW w:w="759" w:type="dxa"/>
            <w:tcBorders>
              <w:top w:val="nil"/>
              <w:left w:val="nil"/>
              <w:bottom w:val="single" w:sz="4" w:space="0" w:color="0070C0"/>
              <w:right w:val="single" w:sz="4" w:space="0" w:color="0070C0"/>
            </w:tcBorders>
            <w:shd w:val="clear" w:color="auto" w:fill="auto"/>
            <w:noWrap/>
            <w:vAlign w:val="bottom"/>
            <w:hideMark/>
          </w:tcPr>
          <w:p w:rsidR="00C60F5A" w:rsidRPr="00670830" w:rsidRDefault="00C60F5A"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0.46%</w:t>
            </w:r>
          </w:p>
        </w:tc>
      </w:tr>
    </w:tbl>
    <w:p w:rsidR="00C60F5A" w:rsidRPr="00670830" w:rsidRDefault="00C60F5A" w:rsidP="00670830">
      <w:pPr>
        <w:spacing w:before="100" w:beforeAutospacing="1" w:after="100" w:afterAutospacing="1" w:line="360" w:lineRule="auto"/>
        <w:rPr>
          <w:rFonts w:ascii="Arial" w:eastAsia="Arial Unicode MS" w:hAnsi="Arial" w:cs="Arial"/>
          <w:sz w:val="24"/>
          <w:szCs w:val="24"/>
        </w:rPr>
      </w:pPr>
    </w:p>
    <w:p w:rsidR="002F7930" w:rsidRPr="00670830" w:rsidRDefault="00563398" w:rsidP="00670830">
      <w:pPr>
        <w:pStyle w:val="Ttulo2"/>
        <w:numPr>
          <w:ilvl w:val="1"/>
          <w:numId w:val="3"/>
        </w:numPr>
        <w:spacing w:before="100" w:beforeAutospacing="1" w:after="100" w:afterAutospacing="1" w:line="360" w:lineRule="auto"/>
        <w:ind w:left="567" w:hanging="567"/>
        <w:jc w:val="both"/>
        <w:rPr>
          <w:rFonts w:ascii="Arial" w:eastAsia="Arial Unicode MS" w:hAnsi="Arial" w:cs="Arial"/>
          <w:color w:val="auto"/>
          <w:sz w:val="24"/>
          <w:szCs w:val="24"/>
        </w:rPr>
      </w:pPr>
      <w:bookmarkStart w:id="36" w:name="_Toc488230513"/>
      <w:r w:rsidRPr="00670830">
        <w:rPr>
          <w:rFonts w:ascii="Arial" w:eastAsia="Arial Unicode MS" w:hAnsi="Arial" w:cs="Arial"/>
          <w:color w:val="auto"/>
          <w:sz w:val="24"/>
          <w:szCs w:val="24"/>
        </w:rPr>
        <w:t>Cálculo del rendimiento y riesgo</w:t>
      </w:r>
      <w:bookmarkEnd w:id="36"/>
    </w:p>
    <w:p w:rsidR="00387B6A" w:rsidRPr="00670830" w:rsidRDefault="00387B6A" w:rsidP="00670830">
      <w:pPr>
        <w:spacing w:line="360" w:lineRule="auto"/>
        <w:rPr>
          <w:rFonts w:ascii="Arial" w:hAnsi="Arial" w:cs="Arial"/>
          <w:sz w:val="24"/>
          <w:szCs w:val="24"/>
        </w:rPr>
      </w:pPr>
    </w:p>
    <w:p w:rsidR="00DB4944" w:rsidRPr="00670830" w:rsidRDefault="0067258A" w:rsidP="00670830">
      <w:pPr>
        <w:pStyle w:val="Ttulo3"/>
        <w:numPr>
          <w:ilvl w:val="2"/>
          <w:numId w:val="3"/>
        </w:numPr>
        <w:spacing w:before="100" w:beforeAutospacing="1" w:after="100" w:afterAutospacing="1" w:line="360" w:lineRule="auto"/>
        <w:ind w:left="567" w:hanging="567"/>
        <w:jc w:val="both"/>
        <w:rPr>
          <w:rFonts w:ascii="Arial" w:eastAsia="Arial Unicode MS" w:hAnsi="Arial" w:cs="Arial"/>
          <w:color w:val="auto"/>
          <w:sz w:val="24"/>
          <w:szCs w:val="24"/>
        </w:rPr>
      </w:pPr>
      <w:bookmarkStart w:id="37" w:name="_Toc488230514"/>
      <w:r w:rsidRPr="00670830">
        <w:rPr>
          <w:rFonts w:ascii="Arial" w:eastAsia="Arial Unicode MS" w:hAnsi="Arial" w:cs="Arial"/>
          <w:color w:val="auto"/>
          <w:sz w:val="24"/>
          <w:szCs w:val="24"/>
        </w:rPr>
        <w:t>Cartera diversificada</w:t>
      </w:r>
      <w:r w:rsidR="00563398" w:rsidRPr="00670830">
        <w:rPr>
          <w:rFonts w:ascii="Arial" w:eastAsia="Arial Unicode MS" w:hAnsi="Arial" w:cs="Arial"/>
          <w:color w:val="auto"/>
          <w:sz w:val="24"/>
          <w:szCs w:val="24"/>
        </w:rPr>
        <w:t xml:space="preserve"> científicamente</w:t>
      </w:r>
      <w:bookmarkEnd w:id="37"/>
    </w:p>
    <w:p w:rsidR="00DB4944" w:rsidRPr="00670830" w:rsidRDefault="00DB494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Una vez que </w:t>
      </w:r>
      <w:r w:rsidR="00B6747C" w:rsidRPr="00670830">
        <w:rPr>
          <w:rFonts w:ascii="Arial" w:eastAsia="Arial Unicode MS" w:hAnsi="Arial" w:cs="Arial"/>
          <w:sz w:val="24"/>
          <w:szCs w:val="24"/>
        </w:rPr>
        <w:t>se han calculado las proporcion</w:t>
      </w:r>
      <w:r w:rsidR="00DA1B41" w:rsidRPr="00670830">
        <w:rPr>
          <w:rFonts w:ascii="Arial" w:eastAsia="Arial Unicode MS" w:hAnsi="Arial" w:cs="Arial"/>
          <w:sz w:val="24"/>
          <w:szCs w:val="24"/>
        </w:rPr>
        <w:t>e</w:t>
      </w:r>
      <w:r w:rsidRPr="00670830">
        <w:rPr>
          <w:rFonts w:ascii="Arial" w:eastAsia="Arial Unicode MS" w:hAnsi="Arial" w:cs="Arial"/>
          <w:sz w:val="24"/>
          <w:szCs w:val="24"/>
        </w:rPr>
        <w:t>s a invertir de cada una de las acciones para la conformación de</w:t>
      </w:r>
      <w:r w:rsidR="0067258A" w:rsidRPr="00670830">
        <w:rPr>
          <w:rFonts w:ascii="Arial" w:eastAsia="Arial Unicode MS" w:hAnsi="Arial" w:cs="Arial"/>
          <w:sz w:val="24"/>
          <w:szCs w:val="24"/>
        </w:rPr>
        <w:t xml:space="preserve"> </w:t>
      </w:r>
      <w:r w:rsidRPr="00670830">
        <w:rPr>
          <w:rFonts w:ascii="Arial" w:eastAsia="Arial Unicode MS" w:hAnsi="Arial" w:cs="Arial"/>
          <w:sz w:val="24"/>
          <w:szCs w:val="24"/>
        </w:rPr>
        <w:t>l</w:t>
      </w:r>
      <w:r w:rsidR="0067258A" w:rsidRPr="00670830">
        <w:rPr>
          <w:rFonts w:ascii="Arial" w:eastAsia="Arial Unicode MS" w:hAnsi="Arial" w:cs="Arial"/>
          <w:sz w:val="24"/>
          <w:szCs w:val="24"/>
        </w:rPr>
        <w:t>a cartera óptima, podemos calcular</w:t>
      </w:r>
      <w:r w:rsidRPr="00670830">
        <w:rPr>
          <w:rFonts w:ascii="Arial" w:eastAsia="Arial Unicode MS" w:hAnsi="Arial" w:cs="Arial"/>
          <w:sz w:val="24"/>
          <w:szCs w:val="24"/>
        </w:rPr>
        <w:t xml:space="preserve"> los rendimientos ponderados. La fórmula es la siguiente:</w:t>
      </w:r>
    </w:p>
    <w:p w:rsidR="00DA1B41" w:rsidRPr="00670830" w:rsidRDefault="00AC26BD" w:rsidP="00670830">
      <w:pPr>
        <w:spacing w:before="100" w:beforeAutospacing="1" w:after="100" w:afterAutospacing="1" w:line="360" w:lineRule="auto"/>
        <w:jc w:val="both"/>
        <w:rPr>
          <w:rFonts w:ascii="Arial" w:eastAsia="Arial Unicode MS" w:hAnsi="Arial" w:cs="Arial"/>
          <w:sz w:val="24"/>
          <w:szCs w:val="24"/>
        </w:rPr>
      </w:pPr>
      <m:oMathPara>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Rp</m:t>
              </m:r>
            </m:e>
            <m:sub>
              <m:r>
                <w:rPr>
                  <w:rFonts w:ascii="Cambria Math" w:eastAsia="Arial Unicode MS" w:hAnsi="Cambria Math" w:cs="Arial"/>
                  <w:sz w:val="24"/>
                  <w:szCs w:val="24"/>
                </w:rPr>
                <m:t>i</m:t>
              </m:r>
            </m:sub>
          </m:sSub>
          <m:r>
            <w:rPr>
              <w:rFonts w:ascii="Cambria Math" w:eastAsia="Arial Unicode MS" w:hAnsi="Cambria Math" w:cs="Arial"/>
              <w:sz w:val="24"/>
              <w:szCs w:val="24"/>
            </w:rPr>
            <m:t>=</m:t>
          </m:r>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Rend prom</m:t>
              </m:r>
            </m:e>
            <m:sub>
              <m:r>
                <w:rPr>
                  <w:rFonts w:ascii="Cambria Math" w:eastAsia="Arial Unicode MS" w:hAnsi="Cambria Math" w:cs="Arial"/>
                  <w:sz w:val="24"/>
                  <w:szCs w:val="24"/>
                </w:rPr>
                <m:t>i</m:t>
              </m:r>
            </m:sub>
          </m:sSub>
          <m:r>
            <w:rPr>
              <w:rFonts w:ascii="Cambria Math" w:eastAsia="Arial Unicode MS" w:hAnsi="Cambria Math" w:cs="Arial"/>
              <w:sz w:val="24"/>
              <w:szCs w:val="24"/>
            </w:rPr>
            <m:t>*</m:t>
          </m:r>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w</m:t>
              </m:r>
            </m:e>
            <m:sub>
              <m:r>
                <w:rPr>
                  <w:rFonts w:ascii="Cambria Math" w:eastAsia="Arial Unicode MS" w:hAnsi="Cambria Math" w:cs="Arial"/>
                  <w:sz w:val="24"/>
                  <w:szCs w:val="24"/>
                </w:rPr>
                <m:t>i</m:t>
              </m:r>
            </m:sub>
          </m:sSub>
        </m:oMath>
      </m:oMathPara>
    </w:p>
    <w:p w:rsidR="00DA1B41" w:rsidRPr="00670830" w:rsidRDefault="002823C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Para calcular el riesgo ponderado de cada acción, hacemos uso de la matriz de varianzas y covarianzas y de las proporciones asignadas a cada acción.</w:t>
      </w:r>
    </w:p>
    <w:p w:rsidR="00DA1B41" w:rsidRPr="00670830" w:rsidRDefault="00AC26BD" w:rsidP="00670830">
      <w:pPr>
        <w:spacing w:before="100" w:beforeAutospacing="1" w:after="100" w:afterAutospacing="1" w:line="360" w:lineRule="auto"/>
        <w:jc w:val="both"/>
        <w:rPr>
          <w:rFonts w:ascii="Arial" w:eastAsia="Arial Unicode MS" w:hAnsi="Arial" w:cs="Arial"/>
          <w:sz w:val="24"/>
          <w:szCs w:val="24"/>
        </w:rPr>
      </w:pPr>
      <m:oMathPara>
        <m:oMath>
          <m:sSubSup>
            <m:sSubSupPr>
              <m:ctrlPr>
                <w:rPr>
                  <w:rFonts w:ascii="Cambria Math" w:eastAsia="Arial Unicode MS" w:hAnsi="Cambria Math" w:cs="Arial"/>
                  <w:i/>
                  <w:sz w:val="24"/>
                  <w:szCs w:val="24"/>
                </w:rPr>
              </m:ctrlPr>
            </m:sSubSupPr>
            <m:e>
              <m:r>
                <w:rPr>
                  <w:rFonts w:ascii="Cambria Math" w:eastAsia="Arial Unicode MS" w:hAnsi="Cambria Math" w:cs="Arial"/>
                  <w:sz w:val="24"/>
                  <w:szCs w:val="24"/>
                </w:rPr>
                <m:t>σ</m:t>
              </m:r>
            </m:e>
            <m:sub>
              <m:r>
                <w:rPr>
                  <w:rFonts w:ascii="Cambria Math" w:eastAsia="Arial Unicode MS" w:hAnsi="Cambria Math" w:cs="Arial"/>
                  <w:sz w:val="24"/>
                  <w:szCs w:val="24"/>
                </w:rPr>
                <m:t>pi</m:t>
              </m:r>
            </m:sub>
            <m:sup>
              <m:r>
                <w:rPr>
                  <w:rFonts w:ascii="Cambria Math" w:eastAsia="Arial Unicode MS" w:hAnsi="Cambria Math" w:cs="Arial"/>
                  <w:sz w:val="24"/>
                  <w:szCs w:val="24"/>
                </w:rPr>
                <m:t>2</m:t>
              </m:r>
            </m:sup>
          </m:sSubSup>
          <m:r>
            <w:rPr>
              <w:rFonts w:ascii="Cambria Math" w:eastAsia="Arial Unicode MS" w:hAnsi="Cambria Math" w:cs="Arial"/>
              <w:sz w:val="24"/>
              <w:szCs w:val="24"/>
            </w:rPr>
            <m:t>=</m:t>
          </m:r>
          <m:nary>
            <m:naryPr>
              <m:chr m:val="∑"/>
              <m:limLoc m:val="undOvr"/>
              <m:ctrlPr>
                <w:rPr>
                  <w:rFonts w:ascii="Cambria Math" w:eastAsia="Arial Unicode MS" w:hAnsi="Cambria Math" w:cs="Arial"/>
                  <w:i/>
                  <w:sz w:val="24"/>
                  <w:szCs w:val="24"/>
                </w:rPr>
              </m:ctrlPr>
            </m:naryPr>
            <m:sub>
              <m:r>
                <w:rPr>
                  <w:rFonts w:ascii="Cambria Math" w:eastAsia="Arial Unicode MS" w:hAnsi="Cambria Math" w:cs="Arial"/>
                  <w:sz w:val="24"/>
                  <w:szCs w:val="24"/>
                </w:rPr>
                <m:t>i=1</m:t>
              </m:r>
            </m:sub>
            <m:sup>
              <m:r>
                <w:rPr>
                  <w:rFonts w:ascii="Cambria Math" w:eastAsia="Arial Unicode MS" w:hAnsi="Cambria Math" w:cs="Arial"/>
                  <w:sz w:val="24"/>
                  <w:szCs w:val="24"/>
                </w:rPr>
                <m:t>n</m:t>
              </m:r>
            </m:sup>
            <m:e>
              <m:nary>
                <m:naryPr>
                  <m:chr m:val="∑"/>
                  <m:limLoc m:val="undOvr"/>
                  <m:ctrlPr>
                    <w:rPr>
                      <w:rFonts w:ascii="Cambria Math" w:eastAsia="Arial Unicode MS" w:hAnsi="Cambria Math" w:cs="Arial"/>
                      <w:i/>
                      <w:sz w:val="24"/>
                      <w:szCs w:val="24"/>
                    </w:rPr>
                  </m:ctrlPr>
                </m:naryPr>
                <m:sub>
                  <m:r>
                    <w:rPr>
                      <w:rFonts w:ascii="Cambria Math" w:eastAsia="Arial Unicode MS" w:hAnsi="Cambria Math" w:cs="Arial"/>
                      <w:sz w:val="24"/>
                      <w:szCs w:val="24"/>
                    </w:rPr>
                    <m:t>j=1</m:t>
                  </m:r>
                </m:sub>
                <m:sup>
                  <m:r>
                    <w:rPr>
                      <w:rFonts w:ascii="Cambria Math" w:eastAsia="Arial Unicode MS" w:hAnsi="Cambria Math" w:cs="Arial"/>
                      <w:sz w:val="24"/>
                      <w:szCs w:val="24"/>
                    </w:rPr>
                    <m:t>n</m:t>
                  </m:r>
                </m:sup>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w</m:t>
                      </m:r>
                    </m:e>
                    <m:sub>
                      <m:r>
                        <w:rPr>
                          <w:rFonts w:ascii="Cambria Math" w:eastAsia="Arial Unicode MS" w:hAnsi="Cambria Math" w:cs="Arial"/>
                          <w:sz w:val="24"/>
                          <w:szCs w:val="24"/>
                        </w:rPr>
                        <m:t>i</m:t>
                      </m:r>
                    </m:sub>
                  </m:sSub>
                  <m:r>
                    <w:rPr>
                      <w:rFonts w:ascii="Cambria Math" w:eastAsia="Arial Unicode MS" w:hAnsi="Cambria Math" w:cs="Arial"/>
                      <w:sz w:val="24"/>
                      <w:szCs w:val="24"/>
                    </w:rPr>
                    <m:t>.</m:t>
                  </m:r>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w</m:t>
                      </m:r>
                    </m:e>
                    <m:sub>
                      <m:r>
                        <w:rPr>
                          <w:rFonts w:ascii="Cambria Math" w:eastAsia="Arial Unicode MS" w:hAnsi="Cambria Math" w:cs="Arial"/>
                          <w:sz w:val="24"/>
                          <w:szCs w:val="24"/>
                        </w:rPr>
                        <m:t>j</m:t>
                      </m:r>
                    </m:sub>
                  </m:sSub>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σ</m:t>
                      </m:r>
                    </m:e>
                    <m:sub>
                      <m:r>
                        <w:rPr>
                          <w:rFonts w:ascii="Cambria Math" w:eastAsia="Arial Unicode MS" w:hAnsi="Cambria Math" w:cs="Arial"/>
                          <w:sz w:val="24"/>
                          <w:szCs w:val="24"/>
                        </w:rPr>
                        <m:t>ij</m:t>
                      </m:r>
                    </m:sub>
                  </m:sSub>
                </m:e>
              </m:nary>
            </m:e>
          </m:nary>
        </m:oMath>
      </m:oMathPara>
    </w:p>
    <w:p w:rsidR="0067258A" w:rsidRPr="00670830" w:rsidRDefault="002823C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tabla a conti</w:t>
      </w:r>
      <w:r w:rsidR="00E414B3" w:rsidRPr="00670830">
        <w:rPr>
          <w:rFonts w:ascii="Arial" w:eastAsia="Arial Unicode MS" w:hAnsi="Arial" w:cs="Arial"/>
          <w:sz w:val="24"/>
          <w:szCs w:val="24"/>
        </w:rPr>
        <w:t>nuación muestra los resultados:</w:t>
      </w:r>
    </w:p>
    <w:tbl>
      <w:tblPr>
        <w:tblW w:w="7182" w:type="dxa"/>
        <w:jc w:val="center"/>
        <w:tblInd w:w="55" w:type="dxa"/>
        <w:tblCellMar>
          <w:left w:w="70" w:type="dxa"/>
          <w:right w:w="70" w:type="dxa"/>
        </w:tblCellMar>
        <w:tblLook w:val="04A0" w:firstRow="1" w:lastRow="0" w:firstColumn="1" w:lastColumn="0" w:noHBand="0" w:noVBand="1"/>
      </w:tblPr>
      <w:tblGrid>
        <w:gridCol w:w="2320"/>
        <w:gridCol w:w="1554"/>
        <w:gridCol w:w="960"/>
        <w:gridCol w:w="1260"/>
        <w:gridCol w:w="1088"/>
      </w:tblGrid>
      <w:tr w:rsidR="00E414B3" w:rsidRPr="00670830" w:rsidTr="00DA1B41">
        <w:trPr>
          <w:trHeight w:val="300"/>
          <w:jc w:val="center"/>
        </w:trPr>
        <w:tc>
          <w:tcPr>
            <w:tcW w:w="2320" w:type="dxa"/>
            <w:tcBorders>
              <w:top w:val="nil"/>
              <w:left w:val="nil"/>
              <w:bottom w:val="nil"/>
              <w:right w:val="nil"/>
            </w:tcBorders>
            <w:shd w:val="clear" w:color="auto" w:fill="auto"/>
            <w:noWrap/>
            <w:vAlign w:val="bottom"/>
            <w:hideMark/>
          </w:tcPr>
          <w:p w:rsidR="00E414B3" w:rsidRPr="00670830" w:rsidRDefault="0067258A" w:rsidP="00670830">
            <w:pPr>
              <w:spacing w:before="100" w:beforeAutospacing="1" w:after="100" w:afterAutospacing="1" w:line="360" w:lineRule="auto"/>
              <w:rPr>
                <w:rFonts w:ascii="Arial" w:eastAsia="Arial Unicode MS" w:hAnsi="Arial" w:cs="Arial"/>
                <w:b/>
                <w:bCs/>
                <w:color w:val="000000"/>
                <w:sz w:val="24"/>
                <w:szCs w:val="24"/>
                <w:u w:val="single"/>
                <w:lang w:eastAsia="es-MX"/>
              </w:rPr>
            </w:pPr>
            <w:r w:rsidRPr="00670830">
              <w:rPr>
                <w:rFonts w:ascii="Arial" w:eastAsia="Arial Unicode MS" w:hAnsi="Arial" w:cs="Arial"/>
                <w:b/>
                <w:bCs/>
                <w:color w:val="000000"/>
                <w:sz w:val="24"/>
                <w:szCs w:val="24"/>
                <w:u w:val="single"/>
                <w:lang w:eastAsia="es-MX"/>
              </w:rPr>
              <w:t>Cartera óptima</w:t>
            </w:r>
          </w:p>
        </w:tc>
        <w:tc>
          <w:tcPr>
            <w:tcW w:w="1554" w:type="dxa"/>
            <w:tcBorders>
              <w:top w:val="nil"/>
              <w:left w:val="nil"/>
              <w:bottom w:val="nil"/>
              <w:right w:val="nil"/>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p>
        </w:tc>
        <w:tc>
          <w:tcPr>
            <w:tcW w:w="960" w:type="dxa"/>
            <w:tcBorders>
              <w:top w:val="nil"/>
              <w:left w:val="nil"/>
              <w:bottom w:val="nil"/>
              <w:right w:val="nil"/>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p>
        </w:tc>
        <w:tc>
          <w:tcPr>
            <w:tcW w:w="1260" w:type="dxa"/>
            <w:tcBorders>
              <w:top w:val="nil"/>
              <w:left w:val="nil"/>
              <w:bottom w:val="nil"/>
              <w:right w:val="nil"/>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p>
        </w:tc>
        <w:tc>
          <w:tcPr>
            <w:tcW w:w="1088" w:type="dxa"/>
            <w:tcBorders>
              <w:top w:val="nil"/>
              <w:left w:val="nil"/>
              <w:bottom w:val="nil"/>
              <w:right w:val="nil"/>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p>
        </w:tc>
      </w:tr>
      <w:tr w:rsidR="00E414B3" w:rsidRPr="00670830" w:rsidTr="00DA1B41">
        <w:trPr>
          <w:trHeight w:val="360"/>
          <w:jc w:val="center"/>
        </w:trPr>
        <w:tc>
          <w:tcPr>
            <w:tcW w:w="2320" w:type="dxa"/>
            <w:tcBorders>
              <w:top w:val="single" w:sz="4" w:space="0" w:color="0070C0"/>
              <w:left w:val="single" w:sz="4" w:space="0" w:color="0070C0"/>
              <w:bottom w:val="single" w:sz="4" w:space="0" w:color="0070C0"/>
              <w:right w:val="single" w:sz="4" w:space="0" w:color="0070C0"/>
            </w:tcBorders>
            <w:shd w:val="clear" w:color="000000" w:fill="DCE6F1"/>
            <w:noWrap/>
            <w:vAlign w:val="bottom"/>
            <w:hideMark/>
          </w:tcPr>
          <w:p w:rsidR="00E414B3" w:rsidRPr="00670830" w:rsidRDefault="00E414B3"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Acción</w:t>
            </w:r>
          </w:p>
        </w:tc>
        <w:tc>
          <w:tcPr>
            <w:tcW w:w="1554" w:type="dxa"/>
            <w:tcBorders>
              <w:top w:val="single" w:sz="4" w:space="0" w:color="0070C0"/>
              <w:left w:val="nil"/>
              <w:bottom w:val="single" w:sz="4" w:space="0" w:color="0070C0"/>
              <w:right w:val="single" w:sz="4" w:space="0" w:color="0070C0"/>
            </w:tcBorders>
            <w:shd w:val="clear" w:color="000000" w:fill="DCE6F1"/>
            <w:noWrap/>
            <w:vAlign w:val="bottom"/>
            <w:hideMark/>
          </w:tcPr>
          <w:p w:rsidR="00E414B3" w:rsidRPr="00670830" w:rsidRDefault="00E414B3"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proofErr w:type="spellStart"/>
            <w:r w:rsidRPr="00670830">
              <w:rPr>
                <w:rFonts w:ascii="Arial" w:eastAsia="Arial Unicode MS" w:hAnsi="Arial" w:cs="Arial"/>
                <w:b/>
                <w:bCs/>
                <w:color w:val="000000"/>
                <w:sz w:val="24"/>
                <w:szCs w:val="24"/>
                <w:lang w:eastAsia="es-MX"/>
              </w:rPr>
              <w:t>Rend</w:t>
            </w:r>
            <w:proofErr w:type="spellEnd"/>
            <w:r w:rsidRPr="00670830">
              <w:rPr>
                <w:rFonts w:ascii="Arial" w:eastAsia="Arial Unicode MS" w:hAnsi="Arial" w:cs="Arial"/>
                <w:b/>
                <w:bCs/>
                <w:color w:val="000000"/>
                <w:sz w:val="24"/>
                <w:szCs w:val="24"/>
                <w:lang w:eastAsia="es-MX"/>
              </w:rPr>
              <w:t xml:space="preserve"> </w:t>
            </w:r>
            <w:proofErr w:type="spellStart"/>
            <w:r w:rsidRPr="00670830">
              <w:rPr>
                <w:rFonts w:ascii="Arial" w:eastAsia="Arial Unicode MS" w:hAnsi="Arial" w:cs="Arial"/>
                <w:b/>
                <w:bCs/>
                <w:color w:val="000000"/>
                <w:sz w:val="24"/>
                <w:szCs w:val="24"/>
                <w:lang w:eastAsia="es-MX"/>
              </w:rPr>
              <w:t>Prom</w:t>
            </w:r>
            <w:proofErr w:type="spellEnd"/>
          </w:p>
        </w:tc>
        <w:tc>
          <w:tcPr>
            <w:tcW w:w="960" w:type="dxa"/>
            <w:tcBorders>
              <w:top w:val="single" w:sz="4" w:space="0" w:color="0070C0"/>
              <w:left w:val="nil"/>
              <w:bottom w:val="single" w:sz="4" w:space="0" w:color="0070C0"/>
              <w:right w:val="single" w:sz="4" w:space="0" w:color="0070C0"/>
            </w:tcBorders>
            <w:shd w:val="clear" w:color="000000" w:fill="DCE6F1"/>
            <w:noWrap/>
            <w:vAlign w:val="bottom"/>
            <w:hideMark/>
          </w:tcPr>
          <w:p w:rsidR="00E414B3" w:rsidRPr="00670830" w:rsidRDefault="00E414B3"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proofErr w:type="spellStart"/>
            <w:r w:rsidRPr="00670830">
              <w:rPr>
                <w:rFonts w:ascii="Arial" w:eastAsia="Arial Unicode MS" w:hAnsi="Arial" w:cs="Arial"/>
                <w:b/>
                <w:bCs/>
                <w:color w:val="000000"/>
                <w:sz w:val="24"/>
                <w:szCs w:val="24"/>
                <w:lang w:eastAsia="es-MX"/>
              </w:rPr>
              <w:t>W</w:t>
            </w:r>
            <w:r w:rsidRPr="00670830">
              <w:rPr>
                <w:rFonts w:ascii="Arial" w:eastAsia="Arial Unicode MS" w:hAnsi="Arial" w:cs="Arial"/>
                <w:b/>
                <w:bCs/>
                <w:color w:val="000000"/>
                <w:sz w:val="24"/>
                <w:szCs w:val="24"/>
                <w:vertAlign w:val="subscript"/>
                <w:lang w:eastAsia="es-MX"/>
              </w:rPr>
              <w:t>i</w:t>
            </w:r>
            <w:proofErr w:type="spellEnd"/>
          </w:p>
        </w:tc>
        <w:tc>
          <w:tcPr>
            <w:tcW w:w="1260" w:type="dxa"/>
            <w:tcBorders>
              <w:top w:val="single" w:sz="4" w:space="0" w:color="0070C0"/>
              <w:left w:val="nil"/>
              <w:bottom w:val="single" w:sz="4" w:space="0" w:color="0070C0"/>
              <w:right w:val="single" w:sz="4" w:space="0" w:color="0070C0"/>
            </w:tcBorders>
            <w:shd w:val="clear" w:color="000000" w:fill="DCE6F1"/>
            <w:noWrap/>
            <w:vAlign w:val="bottom"/>
            <w:hideMark/>
          </w:tcPr>
          <w:p w:rsidR="00E414B3" w:rsidRPr="00670830" w:rsidRDefault="00E414B3"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proofErr w:type="spellStart"/>
            <w:r w:rsidRPr="00670830">
              <w:rPr>
                <w:rFonts w:ascii="Arial" w:eastAsia="Arial Unicode MS" w:hAnsi="Arial" w:cs="Arial"/>
                <w:b/>
                <w:bCs/>
                <w:color w:val="000000"/>
                <w:sz w:val="24"/>
                <w:szCs w:val="24"/>
                <w:lang w:eastAsia="es-MX"/>
              </w:rPr>
              <w:t>Rp</w:t>
            </w:r>
            <w:r w:rsidRPr="00670830">
              <w:rPr>
                <w:rFonts w:ascii="Arial" w:eastAsia="Arial Unicode MS" w:hAnsi="Arial" w:cs="Arial"/>
                <w:b/>
                <w:bCs/>
                <w:color w:val="000000"/>
                <w:sz w:val="24"/>
                <w:szCs w:val="24"/>
                <w:vertAlign w:val="subscript"/>
                <w:lang w:eastAsia="es-MX"/>
              </w:rPr>
              <w:t>i</w:t>
            </w:r>
            <w:proofErr w:type="spellEnd"/>
          </w:p>
        </w:tc>
        <w:tc>
          <w:tcPr>
            <w:tcW w:w="1088" w:type="dxa"/>
            <w:tcBorders>
              <w:top w:val="single" w:sz="4" w:space="0" w:color="0070C0"/>
              <w:left w:val="nil"/>
              <w:bottom w:val="single" w:sz="4" w:space="0" w:color="0070C0"/>
              <w:right w:val="single" w:sz="4" w:space="0" w:color="0070C0"/>
            </w:tcBorders>
            <w:shd w:val="clear" w:color="000000" w:fill="DCE6F1"/>
            <w:noWrap/>
            <w:vAlign w:val="bottom"/>
            <w:hideMark/>
          </w:tcPr>
          <w:p w:rsidR="00E414B3" w:rsidRPr="00670830" w:rsidRDefault="00E414B3"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σ²p</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ALSEA</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0.13%</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1.39%</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0.0018%</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0.0001%</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AC</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0.05%</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10.09%</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0.0048%</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0.0006%</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ELEKTRA</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0.23%</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ICA</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-0.06%</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PINFRA</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0.13%</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15.81%</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0.0200%</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0.0009%</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MEXCHEM</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0.02%</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GENTERA</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0.02%</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OHLMEX</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BIMBOA</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BOLSAA</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0.02%</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2.36%</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0.0005%</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0.0001%</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GAPB</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0.08%</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13.34%</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0.0101%</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0.0008%</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GFINBURO</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GFNORTEO</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0.05%</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WALMEX</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0.02%</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5.83%</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0.0014%</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0.0003%</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ALFAA</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0.02%</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GCARSOA1</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0.07%</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GRUMAB</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0.21%</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5.85%</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0.0120%</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0.0003%</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KIMBERA</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-0.02%</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0.58%</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-0.0001%</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ASURB</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0.11%</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5.78%</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0.0063%</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0.0003%</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COMERCIUBC</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0.11%</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1.81%</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0.0020%</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0.0001%</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GMEXICOB</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KOFL</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0.03%</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10.65%</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0.0030%</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0.0006%</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LABB</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-0.03%</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0.35%</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-0.0001%</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LIVEPOLC-1</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0.07%</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12.99%</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0.0096%</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0.0008%</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AMXL</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-0.04%</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4.76%</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-0.0021%</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0.0003%</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CEMEXCPO</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0.04%</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TLEVISACPO</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0.06%</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8.17%</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0.0051%</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0.0005%</w:t>
            </w:r>
          </w:p>
        </w:tc>
      </w:tr>
      <w:tr w:rsidR="00E414B3" w:rsidRPr="00670830" w:rsidTr="00DA1B41">
        <w:trPr>
          <w:trHeight w:val="300"/>
          <w:jc w:val="center"/>
        </w:trPr>
        <w:tc>
          <w:tcPr>
            <w:tcW w:w="2320"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ICHB</w:t>
            </w:r>
          </w:p>
        </w:tc>
        <w:tc>
          <w:tcPr>
            <w:tcW w:w="1554"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0.04%</w:t>
            </w:r>
          </w:p>
        </w:tc>
        <w:tc>
          <w:tcPr>
            <w:tcW w:w="9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26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c>
          <w:tcPr>
            <w:tcW w:w="1088"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w:t>
            </w:r>
          </w:p>
        </w:tc>
      </w:tr>
    </w:tbl>
    <w:p w:rsidR="002823CA" w:rsidRPr="00670830" w:rsidRDefault="002823CA" w:rsidP="00670830">
      <w:pPr>
        <w:tabs>
          <w:tab w:val="left" w:pos="6982"/>
        </w:tabs>
        <w:spacing w:before="100" w:beforeAutospacing="1" w:after="100" w:afterAutospacing="1" w:line="360" w:lineRule="auto"/>
        <w:rPr>
          <w:rFonts w:ascii="Arial" w:eastAsia="Arial Unicode MS" w:hAnsi="Arial" w:cs="Arial"/>
          <w:sz w:val="24"/>
          <w:szCs w:val="24"/>
        </w:rPr>
      </w:pPr>
    </w:p>
    <w:tbl>
      <w:tblPr>
        <w:tblW w:w="3822" w:type="dxa"/>
        <w:jc w:val="center"/>
        <w:tblInd w:w="55" w:type="dxa"/>
        <w:tblCellMar>
          <w:left w:w="70" w:type="dxa"/>
          <w:right w:w="70" w:type="dxa"/>
        </w:tblCellMar>
        <w:tblLook w:val="04A0" w:firstRow="1" w:lastRow="0" w:firstColumn="1" w:lastColumn="0" w:noHBand="0" w:noVBand="1"/>
      </w:tblPr>
      <w:tblGrid>
        <w:gridCol w:w="2702"/>
        <w:gridCol w:w="1120"/>
      </w:tblGrid>
      <w:tr w:rsidR="00E414B3" w:rsidRPr="00670830" w:rsidTr="00DA1B41">
        <w:trPr>
          <w:trHeight w:val="300"/>
          <w:jc w:val="center"/>
        </w:trPr>
        <w:tc>
          <w:tcPr>
            <w:tcW w:w="2702" w:type="dxa"/>
            <w:tcBorders>
              <w:top w:val="nil"/>
              <w:left w:val="nil"/>
              <w:bottom w:val="nil"/>
              <w:right w:val="nil"/>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Totales</w:t>
            </w:r>
          </w:p>
        </w:tc>
        <w:tc>
          <w:tcPr>
            <w:tcW w:w="1120" w:type="dxa"/>
            <w:tcBorders>
              <w:top w:val="nil"/>
              <w:left w:val="nil"/>
              <w:bottom w:val="nil"/>
              <w:right w:val="nil"/>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color w:val="000000"/>
                <w:sz w:val="24"/>
                <w:szCs w:val="24"/>
                <w:lang w:eastAsia="es-MX"/>
              </w:rPr>
            </w:pPr>
          </w:p>
        </w:tc>
      </w:tr>
      <w:tr w:rsidR="00E414B3" w:rsidRPr="00670830" w:rsidTr="00DA1B41">
        <w:trPr>
          <w:trHeight w:val="300"/>
          <w:jc w:val="center"/>
        </w:trPr>
        <w:tc>
          <w:tcPr>
            <w:tcW w:w="2702" w:type="dxa"/>
            <w:tcBorders>
              <w:top w:val="single" w:sz="4" w:space="0" w:color="0070C0"/>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bCs/>
                <w:color w:val="000000"/>
                <w:sz w:val="24"/>
                <w:szCs w:val="24"/>
                <w:lang w:eastAsia="es-MX"/>
              </w:rPr>
            </w:pPr>
            <w:proofErr w:type="spellStart"/>
            <w:r w:rsidRPr="00670830">
              <w:rPr>
                <w:rFonts w:ascii="Arial" w:eastAsia="Arial Unicode MS" w:hAnsi="Arial" w:cs="Arial"/>
                <w:bCs/>
                <w:color w:val="000000"/>
                <w:sz w:val="24"/>
                <w:szCs w:val="24"/>
                <w:lang w:eastAsia="es-MX"/>
              </w:rPr>
              <w:t>Rend</w:t>
            </w:r>
            <w:proofErr w:type="spellEnd"/>
            <w:r w:rsidRPr="00670830">
              <w:rPr>
                <w:rFonts w:ascii="Arial" w:eastAsia="Arial Unicode MS" w:hAnsi="Arial" w:cs="Arial"/>
                <w:bCs/>
                <w:color w:val="000000"/>
                <w:sz w:val="24"/>
                <w:szCs w:val="24"/>
                <w:lang w:eastAsia="es-MX"/>
              </w:rPr>
              <w:t xml:space="preserve"> </w:t>
            </w:r>
            <w:proofErr w:type="spellStart"/>
            <w:r w:rsidRPr="00670830">
              <w:rPr>
                <w:rFonts w:ascii="Arial" w:eastAsia="Arial Unicode MS" w:hAnsi="Arial" w:cs="Arial"/>
                <w:bCs/>
                <w:color w:val="000000"/>
                <w:sz w:val="24"/>
                <w:szCs w:val="24"/>
                <w:lang w:eastAsia="es-MX"/>
              </w:rPr>
              <w:t>prom</w:t>
            </w:r>
            <w:proofErr w:type="spellEnd"/>
          </w:p>
        </w:tc>
        <w:tc>
          <w:tcPr>
            <w:tcW w:w="1120" w:type="dxa"/>
            <w:tcBorders>
              <w:top w:val="single" w:sz="4" w:space="0" w:color="0070C0"/>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0.0394%</w:t>
            </w:r>
          </w:p>
        </w:tc>
      </w:tr>
      <w:tr w:rsidR="00E414B3" w:rsidRPr="00670830" w:rsidTr="00DA1B41">
        <w:trPr>
          <w:trHeight w:val="300"/>
          <w:jc w:val="center"/>
        </w:trPr>
        <w:tc>
          <w:tcPr>
            <w:tcW w:w="2702"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bCs/>
                <w:color w:val="000000"/>
                <w:sz w:val="24"/>
                <w:szCs w:val="24"/>
                <w:lang w:eastAsia="es-MX"/>
              </w:rPr>
            </w:pPr>
            <w:r w:rsidRPr="00670830">
              <w:rPr>
                <w:rFonts w:ascii="Arial" w:eastAsia="Arial Unicode MS" w:hAnsi="Arial" w:cs="Arial"/>
                <w:bCs/>
                <w:color w:val="000000"/>
                <w:sz w:val="24"/>
                <w:szCs w:val="24"/>
                <w:lang w:eastAsia="es-MX"/>
              </w:rPr>
              <w:t>Suma Ponderaciones</w:t>
            </w:r>
          </w:p>
        </w:tc>
        <w:tc>
          <w:tcPr>
            <w:tcW w:w="112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100.0%</w:t>
            </w:r>
          </w:p>
        </w:tc>
      </w:tr>
      <w:tr w:rsidR="00E414B3" w:rsidRPr="00670830" w:rsidTr="00DA1B41">
        <w:trPr>
          <w:trHeight w:val="300"/>
          <w:jc w:val="center"/>
        </w:trPr>
        <w:tc>
          <w:tcPr>
            <w:tcW w:w="2702"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rPr>
                <w:rFonts w:ascii="Arial" w:eastAsia="Arial Unicode MS" w:hAnsi="Arial" w:cs="Arial"/>
                <w:bCs/>
                <w:color w:val="000000"/>
                <w:sz w:val="24"/>
                <w:szCs w:val="24"/>
                <w:lang w:eastAsia="es-MX"/>
              </w:rPr>
            </w:pPr>
            <w:r w:rsidRPr="00670830">
              <w:rPr>
                <w:rFonts w:ascii="Arial" w:eastAsia="Arial Unicode MS" w:hAnsi="Arial" w:cs="Arial"/>
                <w:bCs/>
                <w:color w:val="000000"/>
                <w:sz w:val="24"/>
                <w:szCs w:val="24"/>
                <w:lang w:eastAsia="es-MX"/>
              </w:rPr>
              <w:t xml:space="preserve">Rendimiento </w:t>
            </w:r>
            <w:r w:rsidR="0067258A" w:rsidRPr="00670830">
              <w:rPr>
                <w:rFonts w:ascii="Arial" w:eastAsia="Arial Unicode MS" w:hAnsi="Arial" w:cs="Arial"/>
                <w:bCs/>
                <w:color w:val="000000"/>
                <w:sz w:val="24"/>
                <w:szCs w:val="24"/>
                <w:lang w:eastAsia="es-MX"/>
              </w:rPr>
              <w:t>Cartera</w:t>
            </w:r>
          </w:p>
        </w:tc>
        <w:tc>
          <w:tcPr>
            <w:tcW w:w="112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0.0743%</w:t>
            </w:r>
          </w:p>
        </w:tc>
      </w:tr>
      <w:tr w:rsidR="00E414B3" w:rsidRPr="00670830" w:rsidTr="00DA1B41">
        <w:trPr>
          <w:trHeight w:val="300"/>
          <w:jc w:val="center"/>
        </w:trPr>
        <w:tc>
          <w:tcPr>
            <w:tcW w:w="2702" w:type="dxa"/>
            <w:tcBorders>
              <w:top w:val="nil"/>
              <w:left w:val="single" w:sz="4" w:space="0" w:color="0070C0"/>
              <w:bottom w:val="single" w:sz="4" w:space="0" w:color="0070C0"/>
              <w:right w:val="single" w:sz="4" w:space="0" w:color="0070C0"/>
            </w:tcBorders>
            <w:shd w:val="clear" w:color="auto" w:fill="auto"/>
            <w:noWrap/>
            <w:vAlign w:val="bottom"/>
            <w:hideMark/>
          </w:tcPr>
          <w:p w:rsidR="00E414B3" w:rsidRPr="00670830" w:rsidRDefault="0067258A" w:rsidP="00670830">
            <w:pPr>
              <w:spacing w:before="100" w:beforeAutospacing="1" w:after="100" w:afterAutospacing="1" w:line="360" w:lineRule="auto"/>
              <w:rPr>
                <w:rFonts w:ascii="Arial" w:eastAsia="Arial Unicode MS" w:hAnsi="Arial" w:cs="Arial"/>
                <w:bCs/>
                <w:color w:val="000000"/>
                <w:sz w:val="24"/>
                <w:szCs w:val="24"/>
                <w:lang w:eastAsia="es-MX"/>
              </w:rPr>
            </w:pPr>
            <w:r w:rsidRPr="00670830">
              <w:rPr>
                <w:rFonts w:ascii="Arial" w:eastAsia="Arial Unicode MS" w:hAnsi="Arial" w:cs="Arial"/>
                <w:bCs/>
                <w:color w:val="000000"/>
                <w:sz w:val="24"/>
                <w:szCs w:val="24"/>
                <w:lang w:eastAsia="es-MX"/>
              </w:rPr>
              <w:t>Riesgo Cartera</w:t>
            </w:r>
          </w:p>
        </w:tc>
        <w:tc>
          <w:tcPr>
            <w:tcW w:w="1120" w:type="dxa"/>
            <w:tcBorders>
              <w:top w:val="nil"/>
              <w:left w:val="nil"/>
              <w:bottom w:val="single" w:sz="4" w:space="0" w:color="0070C0"/>
              <w:right w:val="single" w:sz="4" w:space="0" w:color="0070C0"/>
            </w:tcBorders>
            <w:shd w:val="clear" w:color="auto" w:fill="auto"/>
            <w:noWrap/>
            <w:vAlign w:val="bottom"/>
            <w:hideMark/>
          </w:tcPr>
          <w:p w:rsidR="00E414B3" w:rsidRPr="00670830" w:rsidRDefault="00E414B3"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0.0059%</w:t>
            </w:r>
          </w:p>
        </w:tc>
      </w:tr>
    </w:tbl>
    <w:p w:rsidR="00E414B3" w:rsidRPr="00670830" w:rsidRDefault="00E414B3" w:rsidP="00670830">
      <w:pPr>
        <w:spacing w:before="100" w:beforeAutospacing="1" w:after="100" w:afterAutospacing="1" w:line="360" w:lineRule="auto"/>
        <w:rPr>
          <w:rFonts w:ascii="Arial" w:eastAsia="Arial Unicode MS" w:hAnsi="Arial" w:cs="Arial"/>
          <w:sz w:val="24"/>
          <w:szCs w:val="24"/>
        </w:rPr>
      </w:pPr>
    </w:p>
    <w:p w:rsidR="00E414B3" w:rsidRPr="00670830" w:rsidRDefault="0067258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rendimiento de la cartera</w:t>
      </w:r>
      <w:r w:rsidR="00E414B3" w:rsidRPr="00670830">
        <w:rPr>
          <w:rFonts w:ascii="Arial" w:eastAsia="Arial Unicode MS" w:hAnsi="Arial" w:cs="Arial"/>
          <w:sz w:val="24"/>
          <w:szCs w:val="24"/>
        </w:rPr>
        <w:t xml:space="preserve"> resulta de la suma de los rendimientos ponderados de cada una de las a</w:t>
      </w:r>
      <w:r w:rsidRPr="00670830">
        <w:rPr>
          <w:rFonts w:ascii="Arial" w:eastAsia="Arial Unicode MS" w:hAnsi="Arial" w:cs="Arial"/>
          <w:sz w:val="24"/>
          <w:szCs w:val="24"/>
        </w:rPr>
        <w:t>cciones, para nuestra cartera óptima</w:t>
      </w:r>
      <w:r w:rsidR="00E414B3" w:rsidRPr="00670830">
        <w:rPr>
          <w:rFonts w:ascii="Arial" w:eastAsia="Arial Unicode MS" w:hAnsi="Arial" w:cs="Arial"/>
          <w:sz w:val="24"/>
          <w:szCs w:val="24"/>
        </w:rPr>
        <w:t xml:space="preserve">  el rendimiento es  de 0.0743%.</w:t>
      </w:r>
    </w:p>
    <w:p w:rsidR="00E414B3" w:rsidRPr="00670830" w:rsidRDefault="00E414B3"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ri</w:t>
      </w:r>
      <w:r w:rsidR="0067258A" w:rsidRPr="00670830">
        <w:rPr>
          <w:rFonts w:ascii="Arial" w:eastAsia="Arial Unicode MS" w:hAnsi="Arial" w:cs="Arial"/>
          <w:sz w:val="24"/>
          <w:szCs w:val="24"/>
        </w:rPr>
        <w:t>esgo total de nuestra cartera diversificada</w:t>
      </w:r>
      <w:r w:rsidRPr="00670830">
        <w:rPr>
          <w:rFonts w:ascii="Arial" w:eastAsia="Arial Unicode MS" w:hAnsi="Arial" w:cs="Arial"/>
          <w:sz w:val="24"/>
          <w:szCs w:val="24"/>
        </w:rPr>
        <w:t xml:space="preserve"> científicamente es igual a 0.0059%, es decir, la suma de los riesgos individuales ponderados de todas las acc</w:t>
      </w:r>
      <w:r w:rsidR="00670830">
        <w:rPr>
          <w:rFonts w:ascii="Arial" w:eastAsia="Arial Unicode MS" w:hAnsi="Arial" w:cs="Arial"/>
          <w:sz w:val="24"/>
          <w:szCs w:val="24"/>
        </w:rPr>
        <w:t>iones contenidas en la muestra.</w:t>
      </w:r>
    </w:p>
    <w:p w:rsidR="00AF55C2" w:rsidRPr="00670830" w:rsidRDefault="0067258A" w:rsidP="00670830">
      <w:pPr>
        <w:pStyle w:val="Ttulo3"/>
        <w:numPr>
          <w:ilvl w:val="2"/>
          <w:numId w:val="3"/>
        </w:numPr>
        <w:spacing w:before="100" w:beforeAutospacing="1" w:after="100" w:afterAutospacing="1" w:line="360" w:lineRule="auto"/>
        <w:ind w:left="567" w:hanging="567"/>
        <w:jc w:val="both"/>
        <w:rPr>
          <w:rFonts w:ascii="Arial" w:eastAsia="Arial Unicode MS" w:hAnsi="Arial" w:cs="Arial"/>
          <w:color w:val="auto"/>
          <w:sz w:val="24"/>
          <w:szCs w:val="24"/>
        </w:rPr>
      </w:pPr>
      <w:bookmarkStart w:id="38" w:name="_Toc488230515"/>
      <w:r w:rsidRPr="00670830">
        <w:rPr>
          <w:rFonts w:ascii="Arial" w:eastAsia="Arial Unicode MS" w:hAnsi="Arial" w:cs="Arial"/>
          <w:color w:val="auto"/>
          <w:sz w:val="24"/>
          <w:szCs w:val="24"/>
        </w:rPr>
        <w:t>Cartera diversificada</w:t>
      </w:r>
      <w:r w:rsidR="00563398" w:rsidRPr="00670830">
        <w:rPr>
          <w:rFonts w:ascii="Arial" w:eastAsia="Arial Unicode MS" w:hAnsi="Arial" w:cs="Arial"/>
          <w:color w:val="auto"/>
          <w:sz w:val="24"/>
          <w:szCs w:val="24"/>
        </w:rPr>
        <w:t xml:space="preserve"> aleatoriamente</w:t>
      </w:r>
      <w:bookmarkEnd w:id="38"/>
    </w:p>
    <w:p w:rsidR="00082B00" w:rsidRPr="00670830" w:rsidRDefault="0067258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Para la segunda cartera</w:t>
      </w:r>
      <w:r w:rsidR="00082B00" w:rsidRPr="00670830">
        <w:rPr>
          <w:rFonts w:ascii="Arial" w:eastAsia="Arial Unicode MS" w:hAnsi="Arial" w:cs="Arial"/>
          <w:sz w:val="24"/>
          <w:szCs w:val="24"/>
        </w:rPr>
        <w:t>, como se comentó anteriormente, se asignaron proporciones aleatorias a cada una de las acciones a invertir.</w:t>
      </w:r>
    </w:p>
    <w:p w:rsidR="00082B00" w:rsidRPr="00670830" w:rsidRDefault="00082B00" w:rsidP="00670830">
      <w:pPr>
        <w:spacing w:before="100" w:beforeAutospacing="1" w:after="100" w:afterAutospacing="1" w:line="360" w:lineRule="auto"/>
        <w:rPr>
          <w:rFonts w:ascii="Arial" w:eastAsia="Arial Unicode MS" w:hAnsi="Arial" w:cs="Arial"/>
          <w:sz w:val="24"/>
          <w:szCs w:val="24"/>
        </w:rPr>
      </w:pPr>
      <w:r w:rsidRPr="00670830">
        <w:rPr>
          <w:rFonts w:ascii="Arial" w:eastAsia="Arial Unicode MS" w:hAnsi="Arial" w:cs="Arial"/>
          <w:sz w:val="24"/>
          <w:szCs w:val="24"/>
        </w:rPr>
        <w:t>Ya con los pesos definidos para cada acción, el rendimiento y riesgo de</w:t>
      </w:r>
      <w:r w:rsidR="00B242A9" w:rsidRPr="00670830">
        <w:rPr>
          <w:rFonts w:ascii="Arial" w:eastAsia="Arial Unicode MS" w:hAnsi="Arial" w:cs="Arial"/>
          <w:sz w:val="24"/>
          <w:szCs w:val="24"/>
        </w:rPr>
        <w:t xml:space="preserve"> </w:t>
      </w:r>
      <w:r w:rsidRPr="00670830">
        <w:rPr>
          <w:rFonts w:ascii="Arial" w:eastAsia="Arial Unicode MS" w:hAnsi="Arial" w:cs="Arial"/>
          <w:sz w:val="24"/>
          <w:szCs w:val="24"/>
        </w:rPr>
        <w:t>l</w:t>
      </w:r>
      <w:r w:rsidR="00B242A9" w:rsidRPr="00670830">
        <w:rPr>
          <w:rFonts w:ascii="Arial" w:eastAsia="Arial Unicode MS" w:hAnsi="Arial" w:cs="Arial"/>
          <w:sz w:val="24"/>
          <w:szCs w:val="24"/>
        </w:rPr>
        <w:t>a cartera</w:t>
      </w:r>
      <w:r w:rsidRPr="00670830">
        <w:rPr>
          <w:rFonts w:ascii="Arial" w:eastAsia="Arial Unicode MS" w:hAnsi="Arial" w:cs="Arial"/>
          <w:sz w:val="24"/>
          <w:szCs w:val="24"/>
        </w:rPr>
        <w:t xml:space="preserve"> se calcularon como sigue:</w:t>
      </w:r>
    </w:p>
    <w:p w:rsidR="00C00C4C" w:rsidRPr="00670830" w:rsidRDefault="00AC26BD" w:rsidP="00670830">
      <w:pPr>
        <w:spacing w:before="100" w:beforeAutospacing="1" w:after="100" w:afterAutospacing="1" w:line="360" w:lineRule="auto"/>
        <w:jc w:val="center"/>
        <w:rPr>
          <w:rFonts w:ascii="Arial" w:eastAsia="Arial Unicode MS" w:hAnsi="Arial" w:cs="Arial"/>
          <w:sz w:val="24"/>
          <w:szCs w:val="24"/>
        </w:rPr>
      </w:pPr>
      <m:oMathPara>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Rp</m:t>
              </m:r>
            </m:e>
            <m:sub>
              <m:r>
                <w:rPr>
                  <w:rFonts w:ascii="Cambria Math" w:eastAsia="Arial Unicode MS" w:hAnsi="Cambria Math" w:cs="Arial"/>
                  <w:sz w:val="24"/>
                  <w:szCs w:val="24"/>
                </w:rPr>
                <m:t>i</m:t>
              </m:r>
            </m:sub>
          </m:sSub>
          <m:r>
            <w:rPr>
              <w:rFonts w:ascii="Cambria Math" w:eastAsia="Arial Unicode MS" w:hAnsi="Cambria Math" w:cs="Arial"/>
              <w:sz w:val="24"/>
              <w:szCs w:val="24"/>
            </w:rPr>
            <m:t>=</m:t>
          </m:r>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Rend prom</m:t>
              </m:r>
            </m:e>
            <m:sub>
              <m:r>
                <w:rPr>
                  <w:rFonts w:ascii="Cambria Math" w:eastAsia="Arial Unicode MS" w:hAnsi="Cambria Math" w:cs="Arial"/>
                  <w:sz w:val="24"/>
                  <w:szCs w:val="24"/>
                </w:rPr>
                <m:t>i</m:t>
              </m:r>
            </m:sub>
          </m:sSub>
          <m:r>
            <w:rPr>
              <w:rFonts w:ascii="Cambria Math" w:eastAsia="Arial Unicode MS" w:hAnsi="Cambria Math" w:cs="Arial"/>
              <w:sz w:val="24"/>
              <w:szCs w:val="24"/>
            </w:rPr>
            <m:t>*</m:t>
          </m:r>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w</m:t>
              </m:r>
            </m:e>
            <m:sub>
              <m:r>
                <w:rPr>
                  <w:rFonts w:ascii="Cambria Math" w:eastAsia="Arial Unicode MS" w:hAnsi="Cambria Math" w:cs="Arial"/>
                  <w:sz w:val="24"/>
                  <w:szCs w:val="24"/>
                </w:rPr>
                <m:t>i</m:t>
              </m:r>
            </m:sub>
          </m:sSub>
        </m:oMath>
      </m:oMathPara>
    </w:p>
    <w:p w:rsidR="00DA1B41" w:rsidRPr="00670830" w:rsidRDefault="00DA1B41" w:rsidP="00670830">
      <w:pPr>
        <w:spacing w:before="100" w:beforeAutospacing="1" w:after="100" w:afterAutospacing="1" w:line="360" w:lineRule="auto"/>
        <w:rPr>
          <w:rFonts w:ascii="Arial" w:eastAsia="Arial Unicode MS" w:hAnsi="Arial" w:cs="Arial"/>
          <w:sz w:val="24"/>
          <w:szCs w:val="24"/>
        </w:rPr>
      </w:pPr>
    </w:p>
    <w:p w:rsidR="00082B00" w:rsidRPr="00670830" w:rsidRDefault="00AC26BD" w:rsidP="00670830">
      <w:pPr>
        <w:spacing w:before="100" w:beforeAutospacing="1" w:after="100" w:afterAutospacing="1" w:line="360" w:lineRule="auto"/>
        <w:jc w:val="center"/>
        <w:rPr>
          <w:rFonts w:ascii="Arial" w:eastAsia="Arial Unicode MS" w:hAnsi="Arial" w:cs="Arial"/>
          <w:sz w:val="24"/>
          <w:szCs w:val="24"/>
        </w:rPr>
      </w:pPr>
      <m:oMathPara>
        <m:oMath>
          <m:sSubSup>
            <m:sSubSupPr>
              <m:ctrlPr>
                <w:rPr>
                  <w:rFonts w:ascii="Cambria Math" w:eastAsia="Arial Unicode MS" w:hAnsi="Cambria Math" w:cs="Arial"/>
                  <w:i/>
                  <w:sz w:val="24"/>
                  <w:szCs w:val="24"/>
                </w:rPr>
              </m:ctrlPr>
            </m:sSubSupPr>
            <m:e>
              <m:r>
                <w:rPr>
                  <w:rFonts w:ascii="Cambria Math" w:eastAsia="Arial Unicode MS" w:hAnsi="Cambria Math" w:cs="Arial"/>
                  <w:sz w:val="24"/>
                  <w:szCs w:val="24"/>
                </w:rPr>
                <m:t>σ</m:t>
              </m:r>
            </m:e>
            <m:sub>
              <m:r>
                <w:rPr>
                  <w:rFonts w:ascii="Cambria Math" w:eastAsia="Arial Unicode MS" w:hAnsi="Cambria Math" w:cs="Arial"/>
                  <w:sz w:val="24"/>
                  <w:szCs w:val="24"/>
                </w:rPr>
                <m:t>pi</m:t>
              </m:r>
            </m:sub>
            <m:sup>
              <m:r>
                <w:rPr>
                  <w:rFonts w:ascii="Cambria Math" w:eastAsia="Arial Unicode MS" w:hAnsi="Cambria Math" w:cs="Arial"/>
                  <w:sz w:val="24"/>
                  <w:szCs w:val="24"/>
                </w:rPr>
                <m:t>2</m:t>
              </m:r>
            </m:sup>
          </m:sSubSup>
          <m:r>
            <w:rPr>
              <w:rFonts w:ascii="Cambria Math" w:eastAsia="Arial Unicode MS" w:hAnsi="Cambria Math" w:cs="Arial"/>
              <w:sz w:val="24"/>
              <w:szCs w:val="24"/>
            </w:rPr>
            <m:t>=</m:t>
          </m:r>
          <m:nary>
            <m:naryPr>
              <m:chr m:val="∑"/>
              <m:limLoc m:val="undOvr"/>
              <m:ctrlPr>
                <w:rPr>
                  <w:rFonts w:ascii="Cambria Math" w:eastAsia="Arial Unicode MS" w:hAnsi="Cambria Math" w:cs="Arial"/>
                  <w:i/>
                  <w:sz w:val="24"/>
                  <w:szCs w:val="24"/>
                </w:rPr>
              </m:ctrlPr>
            </m:naryPr>
            <m:sub>
              <m:r>
                <w:rPr>
                  <w:rFonts w:ascii="Cambria Math" w:eastAsia="Arial Unicode MS" w:hAnsi="Cambria Math" w:cs="Arial"/>
                  <w:sz w:val="24"/>
                  <w:szCs w:val="24"/>
                </w:rPr>
                <m:t>i=1</m:t>
              </m:r>
            </m:sub>
            <m:sup>
              <m:r>
                <w:rPr>
                  <w:rFonts w:ascii="Cambria Math" w:eastAsia="Arial Unicode MS" w:hAnsi="Cambria Math" w:cs="Arial"/>
                  <w:sz w:val="24"/>
                  <w:szCs w:val="24"/>
                </w:rPr>
                <m:t>n</m:t>
              </m:r>
            </m:sup>
            <m:e>
              <m:nary>
                <m:naryPr>
                  <m:chr m:val="∑"/>
                  <m:limLoc m:val="undOvr"/>
                  <m:ctrlPr>
                    <w:rPr>
                      <w:rFonts w:ascii="Cambria Math" w:eastAsia="Arial Unicode MS" w:hAnsi="Cambria Math" w:cs="Arial"/>
                      <w:i/>
                      <w:sz w:val="24"/>
                      <w:szCs w:val="24"/>
                    </w:rPr>
                  </m:ctrlPr>
                </m:naryPr>
                <m:sub>
                  <m:r>
                    <w:rPr>
                      <w:rFonts w:ascii="Cambria Math" w:eastAsia="Arial Unicode MS" w:hAnsi="Cambria Math" w:cs="Arial"/>
                      <w:sz w:val="24"/>
                      <w:szCs w:val="24"/>
                    </w:rPr>
                    <m:t>j=1</m:t>
                  </m:r>
                </m:sub>
                <m:sup>
                  <m:r>
                    <w:rPr>
                      <w:rFonts w:ascii="Cambria Math" w:eastAsia="Arial Unicode MS" w:hAnsi="Cambria Math" w:cs="Arial"/>
                      <w:sz w:val="24"/>
                      <w:szCs w:val="24"/>
                    </w:rPr>
                    <m:t>n</m:t>
                  </m:r>
                </m:sup>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w</m:t>
                      </m:r>
                    </m:e>
                    <m:sub>
                      <m:r>
                        <w:rPr>
                          <w:rFonts w:ascii="Cambria Math" w:eastAsia="Arial Unicode MS" w:hAnsi="Cambria Math" w:cs="Arial"/>
                          <w:sz w:val="24"/>
                          <w:szCs w:val="24"/>
                        </w:rPr>
                        <m:t>i</m:t>
                      </m:r>
                    </m:sub>
                  </m:sSub>
                  <m:r>
                    <w:rPr>
                      <w:rFonts w:ascii="Cambria Math" w:eastAsia="Arial Unicode MS" w:hAnsi="Cambria Math" w:cs="Arial"/>
                      <w:sz w:val="24"/>
                      <w:szCs w:val="24"/>
                    </w:rPr>
                    <m:t>.</m:t>
                  </m:r>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w</m:t>
                      </m:r>
                    </m:e>
                    <m:sub>
                      <m:r>
                        <w:rPr>
                          <w:rFonts w:ascii="Cambria Math" w:eastAsia="Arial Unicode MS" w:hAnsi="Cambria Math" w:cs="Arial"/>
                          <w:sz w:val="24"/>
                          <w:szCs w:val="24"/>
                        </w:rPr>
                        <m:t>j</m:t>
                      </m:r>
                    </m:sub>
                  </m:sSub>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σ</m:t>
                      </m:r>
                    </m:e>
                    <m:sub>
                      <m:r>
                        <w:rPr>
                          <w:rFonts w:ascii="Cambria Math" w:eastAsia="Arial Unicode MS" w:hAnsi="Cambria Math" w:cs="Arial"/>
                          <w:sz w:val="24"/>
                          <w:szCs w:val="24"/>
                        </w:rPr>
                        <m:t>ij</m:t>
                      </m:r>
                    </m:sub>
                  </m:sSub>
                </m:e>
              </m:nary>
            </m:e>
          </m:nary>
        </m:oMath>
      </m:oMathPara>
    </w:p>
    <w:tbl>
      <w:tblPr>
        <w:tblW w:w="7590" w:type="dxa"/>
        <w:jc w:val="center"/>
        <w:tblInd w:w="55" w:type="dxa"/>
        <w:tblCellMar>
          <w:left w:w="70" w:type="dxa"/>
          <w:right w:w="70" w:type="dxa"/>
        </w:tblCellMar>
        <w:tblLook w:val="04A0" w:firstRow="1" w:lastRow="0" w:firstColumn="1" w:lastColumn="0" w:noHBand="0" w:noVBand="1"/>
      </w:tblPr>
      <w:tblGrid>
        <w:gridCol w:w="2461"/>
        <w:gridCol w:w="1554"/>
        <w:gridCol w:w="960"/>
        <w:gridCol w:w="1260"/>
        <w:gridCol w:w="1355"/>
      </w:tblGrid>
      <w:tr w:rsidR="008A503F" w:rsidRPr="00670830" w:rsidTr="00DA1B41">
        <w:trPr>
          <w:trHeight w:val="300"/>
          <w:jc w:val="center"/>
        </w:trPr>
        <w:tc>
          <w:tcPr>
            <w:tcW w:w="2461" w:type="dxa"/>
            <w:tcBorders>
              <w:top w:val="nil"/>
              <w:left w:val="nil"/>
              <w:bottom w:val="nil"/>
              <w:right w:val="nil"/>
            </w:tcBorders>
            <w:shd w:val="clear" w:color="auto" w:fill="auto"/>
            <w:noWrap/>
            <w:vAlign w:val="bottom"/>
            <w:hideMark/>
          </w:tcPr>
          <w:p w:rsidR="009D192D" w:rsidRPr="00670830" w:rsidRDefault="009D192D" w:rsidP="00670830">
            <w:pPr>
              <w:spacing w:before="100" w:beforeAutospacing="1" w:after="100" w:afterAutospacing="1" w:line="360" w:lineRule="auto"/>
              <w:rPr>
                <w:rFonts w:ascii="Arial" w:eastAsia="Arial Unicode MS" w:hAnsi="Arial" w:cs="Arial"/>
                <w:b/>
                <w:bCs/>
                <w:color w:val="000000"/>
                <w:sz w:val="24"/>
                <w:szCs w:val="24"/>
                <w:u w:val="single"/>
                <w:lang w:eastAsia="es-MX"/>
              </w:rPr>
            </w:pPr>
          </w:p>
          <w:p w:rsidR="008A503F" w:rsidRPr="00670830" w:rsidRDefault="0067258A" w:rsidP="00670830">
            <w:pPr>
              <w:spacing w:before="100" w:beforeAutospacing="1" w:after="100" w:afterAutospacing="1" w:line="360" w:lineRule="auto"/>
              <w:rPr>
                <w:rFonts w:ascii="Arial" w:eastAsia="Arial Unicode MS" w:hAnsi="Arial" w:cs="Arial"/>
                <w:b/>
                <w:bCs/>
                <w:color w:val="000000"/>
                <w:sz w:val="24"/>
                <w:szCs w:val="24"/>
                <w:u w:val="single"/>
                <w:lang w:eastAsia="es-MX"/>
              </w:rPr>
            </w:pPr>
            <w:r w:rsidRPr="00670830">
              <w:rPr>
                <w:rFonts w:ascii="Arial" w:eastAsia="Arial Unicode MS" w:hAnsi="Arial" w:cs="Arial"/>
                <w:b/>
                <w:bCs/>
                <w:color w:val="000000"/>
                <w:sz w:val="24"/>
                <w:szCs w:val="24"/>
                <w:u w:val="single"/>
                <w:lang w:eastAsia="es-MX"/>
              </w:rPr>
              <w:t>Cartera aleatoria</w:t>
            </w:r>
          </w:p>
        </w:tc>
        <w:tc>
          <w:tcPr>
            <w:tcW w:w="1554" w:type="dxa"/>
            <w:tcBorders>
              <w:top w:val="nil"/>
              <w:left w:val="nil"/>
              <w:bottom w:val="nil"/>
              <w:right w:val="nil"/>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p>
        </w:tc>
        <w:tc>
          <w:tcPr>
            <w:tcW w:w="960" w:type="dxa"/>
            <w:tcBorders>
              <w:top w:val="nil"/>
              <w:left w:val="nil"/>
              <w:bottom w:val="nil"/>
              <w:right w:val="nil"/>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p>
        </w:tc>
        <w:tc>
          <w:tcPr>
            <w:tcW w:w="1260" w:type="dxa"/>
            <w:tcBorders>
              <w:top w:val="nil"/>
              <w:left w:val="nil"/>
              <w:bottom w:val="nil"/>
              <w:right w:val="nil"/>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p>
        </w:tc>
        <w:tc>
          <w:tcPr>
            <w:tcW w:w="1355" w:type="dxa"/>
            <w:tcBorders>
              <w:top w:val="nil"/>
              <w:left w:val="nil"/>
              <w:bottom w:val="nil"/>
              <w:right w:val="nil"/>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p>
        </w:tc>
      </w:tr>
      <w:tr w:rsidR="008A503F" w:rsidRPr="00670830" w:rsidTr="00DA1B41">
        <w:trPr>
          <w:trHeight w:val="360"/>
          <w:jc w:val="center"/>
        </w:trPr>
        <w:tc>
          <w:tcPr>
            <w:tcW w:w="2461" w:type="dxa"/>
            <w:tcBorders>
              <w:top w:val="single" w:sz="4" w:space="0" w:color="0070C0"/>
              <w:left w:val="single" w:sz="4" w:space="0" w:color="0070C0"/>
              <w:bottom w:val="single" w:sz="4" w:space="0" w:color="0070C0"/>
              <w:right w:val="single" w:sz="4" w:space="0" w:color="0070C0"/>
            </w:tcBorders>
            <w:shd w:val="clear" w:color="000000" w:fill="DCE6F1"/>
            <w:noWrap/>
            <w:vAlign w:val="bottom"/>
            <w:hideMark/>
          </w:tcPr>
          <w:p w:rsidR="008A503F" w:rsidRPr="00670830" w:rsidRDefault="008A503F"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Acción</w:t>
            </w:r>
          </w:p>
        </w:tc>
        <w:tc>
          <w:tcPr>
            <w:tcW w:w="1554" w:type="dxa"/>
            <w:tcBorders>
              <w:top w:val="single" w:sz="4" w:space="0" w:color="0070C0"/>
              <w:left w:val="nil"/>
              <w:bottom w:val="single" w:sz="4" w:space="0" w:color="0070C0"/>
              <w:right w:val="single" w:sz="4" w:space="0" w:color="0070C0"/>
            </w:tcBorders>
            <w:shd w:val="clear" w:color="000000" w:fill="DCE6F1"/>
            <w:noWrap/>
            <w:vAlign w:val="bottom"/>
            <w:hideMark/>
          </w:tcPr>
          <w:p w:rsidR="008A503F" w:rsidRPr="00670830" w:rsidRDefault="008A503F"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proofErr w:type="spellStart"/>
            <w:r w:rsidRPr="00670830">
              <w:rPr>
                <w:rFonts w:ascii="Arial" w:eastAsia="Arial Unicode MS" w:hAnsi="Arial" w:cs="Arial"/>
                <w:b/>
                <w:bCs/>
                <w:color w:val="000000"/>
                <w:sz w:val="24"/>
                <w:szCs w:val="24"/>
                <w:lang w:eastAsia="es-MX"/>
              </w:rPr>
              <w:t>Rend</w:t>
            </w:r>
            <w:proofErr w:type="spellEnd"/>
            <w:r w:rsidRPr="00670830">
              <w:rPr>
                <w:rFonts w:ascii="Arial" w:eastAsia="Arial Unicode MS" w:hAnsi="Arial" w:cs="Arial"/>
                <w:b/>
                <w:bCs/>
                <w:color w:val="000000"/>
                <w:sz w:val="24"/>
                <w:szCs w:val="24"/>
                <w:lang w:eastAsia="es-MX"/>
              </w:rPr>
              <w:t xml:space="preserve"> </w:t>
            </w:r>
            <w:proofErr w:type="spellStart"/>
            <w:r w:rsidRPr="00670830">
              <w:rPr>
                <w:rFonts w:ascii="Arial" w:eastAsia="Arial Unicode MS" w:hAnsi="Arial" w:cs="Arial"/>
                <w:b/>
                <w:bCs/>
                <w:color w:val="000000"/>
                <w:sz w:val="24"/>
                <w:szCs w:val="24"/>
                <w:lang w:eastAsia="es-MX"/>
              </w:rPr>
              <w:t>Prom</w:t>
            </w:r>
            <w:proofErr w:type="spellEnd"/>
          </w:p>
        </w:tc>
        <w:tc>
          <w:tcPr>
            <w:tcW w:w="960" w:type="dxa"/>
            <w:tcBorders>
              <w:top w:val="single" w:sz="4" w:space="0" w:color="0070C0"/>
              <w:left w:val="nil"/>
              <w:bottom w:val="single" w:sz="4" w:space="0" w:color="0070C0"/>
              <w:right w:val="single" w:sz="4" w:space="0" w:color="0070C0"/>
            </w:tcBorders>
            <w:shd w:val="clear" w:color="000000" w:fill="DCE6F1"/>
            <w:noWrap/>
            <w:vAlign w:val="bottom"/>
            <w:hideMark/>
          </w:tcPr>
          <w:p w:rsidR="008A503F" w:rsidRPr="00670830" w:rsidRDefault="008A503F"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proofErr w:type="spellStart"/>
            <w:r w:rsidRPr="00670830">
              <w:rPr>
                <w:rFonts w:ascii="Arial" w:eastAsia="Arial Unicode MS" w:hAnsi="Arial" w:cs="Arial"/>
                <w:b/>
                <w:bCs/>
                <w:color w:val="000000"/>
                <w:sz w:val="24"/>
                <w:szCs w:val="24"/>
                <w:lang w:eastAsia="es-MX"/>
              </w:rPr>
              <w:t>W</w:t>
            </w:r>
            <w:r w:rsidRPr="00670830">
              <w:rPr>
                <w:rFonts w:ascii="Arial" w:eastAsia="Arial Unicode MS" w:hAnsi="Arial" w:cs="Arial"/>
                <w:b/>
                <w:bCs/>
                <w:color w:val="000000"/>
                <w:sz w:val="24"/>
                <w:szCs w:val="24"/>
                <w:vertAlign w:val="subscript"/>
                <w:lang w:eastAsia="es-MX"/>
              </w:rPr>
              <w:t>i</w:t>
            </w:r>
            <w:proofErr w:type="spellEnd"/>
          </w:p>
        </w:tc>
        <w:tc>
          <w:tcPr>
            <w:tcW w:w="1260" w:type="dxa"/>
            <w:tcBorders>
              <w:top w:val="single" w:sz="4" w:space="0" w:color="0070C0"/>
              <w:left w:val="nil"/>
              <w:bottom w:val="single" w:sz="4" w:space="0" w:color="0070C0"/>
              <w:right w:val="single" w:sz="4" w:space="0" w:color="0070C0"/>
            </w:tcBorders>
            <w:shd w:val="clear" w:color="000000" w:fill="DCE6F1"/>
            <w:noWrap/>
            <w:vAlign w:val="bottom"/>
            <w:hideMark/>
          </w:tcPr>
          <w:p w:rsidR="008A503F" w:rsidRPr="00670830" w:rsidRDefault="008A503F"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proofErr w:type="spellStart"/>
            <w:r w:rsidRPr="00670830">
              <w:rPr>
                <w:rFonts w:ascii="Arial" w:eastAsia="Arial Unicode MS" w:hAnsi="Arial" w:cs="Arial"/>
                <w:b/>
                <w:bCs/>
                <w:color w:val="000000"/>
                <w:sz w:val="24"/>
                <w:szCs w:val="24"/>
                <w:lang w:eastAsia="es-MX"/>
              </w:rPr>
              <w:t>Rp</w:t>
            </w:r>
            <w:r w:rsidRPr="00670830">
              <w:rPr>
                <w:rFonts w:ascii="Arial" w:eastAsia="Arial Unicode MS" w:hAnsi="Arial" w:cs="Arial"/>
                <w:b/>
                <w:bCs/>
                <w:color w:val="000000"/>
                <w:sz w:val="24"/>
                <w:szCs w:val="24"/>
                <w:vertAlign w:val="subscript"/>
                <w:lang w:eastAsia="es-MX"/>
              </w:rPr>
              <w:t>i</w:t>
            </w:r>
            <w:proofErr w:type="spellEnd"/>
          </w:p>
        </w:tc>
        <w:tc>
          <w:tcPr>
            <w:tcW w:w="1355" w:type="dxa"/>
            <w:tcBorders>
              <w:top w:val="single" w:sz="4" w:space="0" w:color="0070C0"/>
              <w:left w:val="nil"/>
              <w:bottom w:val="single" w:sz="4" w:space="0" w:color="0070C0"/>
              <w:right w:val="single" w:sz="4" w:space="0" w:color="0070C0"/>
            </w:tcBorders>
            <w:shd w:val="clear" w:color="000000" w:fill="DCE6F1"/>
            <w:noWrap/>
            <w:vAlign w:val="bottom"/>
            <w:hideMark/>
          </w:tcPr>
          <w:p w:rsidR="008A503F" w:rsidRPr="00670830" w:rsidRDefault="008A503F"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σ²p</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ALSEA</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0.13%</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3.96%</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0.000360%</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AC</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0.05%</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3.54%</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0.000212%</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ELEKTRA</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2.27%</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0.000214%</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ICA</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-0.06%</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5.66%</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0.000781%</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PINFRA</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0.13%</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0.63%</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0.000034%</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MEXCHEM</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0.02%</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6.58%</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0.000708%</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GENTERA</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0.02%</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6.17%</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0.000709%</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OHLMEX</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0.88%</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0.000074%</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BIMBOA</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1.40%</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0.000136%</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BOLSAA</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0.02%</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0.73%</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0.000064%</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GAPB</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0.08%</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1.76%</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0.000090%</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GFINBURO</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4.13%</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0.000452%</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GFNORTEO</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0.05%</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3.47%</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0.000346%</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WALMEX</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0.02%</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6.58%</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0.000528%</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ALFAA</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0.02%</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6.33%</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0.001129%</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GCARSOA1</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0.07%</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5.70%</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0.000640%</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GRUMAB</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0.21%</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4.97%</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0.000398%</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KIMBERA</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-0.02%</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6.66%</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0.000752%</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ASURB</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0.11%</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1.03%</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0.000067%</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COMERCIUBC</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0.11%</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2.63%</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0.000228%</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GMEXICOB</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5.74%</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0.000638%</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KOFL</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0.03%</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0.92%</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0.000052%</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LABB</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-0.03%</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3.49%</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0.000357%</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LIVEPOLC-1</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0.07%</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2.22%</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0.000135%</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AMXL</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-0.04%</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0.46%</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0.000029%</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CEMEXCPO</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0.04%</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0.89%</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0.000118%</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TLEVISACPO</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0.06%</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6.28%</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0.000456%</w:t>
            </w:r>
          </w:p>
        </w:tc>
      </w:tr>
      <w:tr w:rsidR="008A503F" w:rsidRPr="00670830" w:rsidTr="00DA1B41">
        <w:trPr>
          <w:trHeight w:val="300"/>
          <w:jc w:val="center"/>
        </w:trPr>
        <w:tc>
          <w:tcPr>
            <w:tcW w:w="2461"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ICHB</w:t>
            </w:r>
          </w:p>
        </w:tc>
        <w:tc>
          <w:tcPr>
            <w:tcW w:w="1554"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0.04%</w:t>
            </w:r>
          </w:p>
        </w:tc>
        <w:tc>
          <w:tcPr>
            <w:tcW w:w="9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4.91%</w:t>
            </w:r>
          </w:p>
        </w:tc>
        <w:tc>
          <w:tcPr>
            <w:tcW w:w="1260"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0.000482%</w:t>
            </w:r>
          </w:p>
        </w:tc>
      </w:tr>
    </w:tbl>
    <w:p w:rsidR="00071EC1" w:rsidRPr="00670830" w:rsidRDefault="00071EC1" w:rsidP="00670830">
      <w:pPr>
        <w:spacing w:before="100" w:beforeAutospacing="1" w:after="100" w:afterAutospacing="1" w:line="360" w:lineRule="auto"/>
        <w:rPr>
          <w:rFonts w:ascii="Arial" w:eastAsia="Arial Unicode MS" w:hAnsi="Arial" w:cs="Arial"/>
          <w:sz w:val="24"/>
          <w:szCs w:val="24"/>
        </w:rPr>
      </w:pPr>
    </w:p>
    <w:tbl>
      <w:tblPr>
        <w:tblW w:w="4057" w:type="dxa"/>
        <w:jc w:val="center"/>
        <w:tblInd w:w="55" w:type="dxa"/>
        <w:tblCellMar>
          <w:left w:w="70" w:type="dxa"/>
          <w:right w:w="70" w:type="dxa"/>
        </w:tblCellMar>
        <w:tblLook w:val="04A0" w:firstRow="1" w:lastRow="0" w:firstColumn="1" w:lastColumn="0" w:noHBand="0" w:noVBand="1"/>
      </w:tblPr>
      <w:tblGrid>
        <w:gridCol w:w="2702"/>
        <w:gridCol w:w="1355"/>
      </w:tblGrid>
      <w:tr w:rsidR="008A503F" w:rsidRPr="00670830" w:rsidTr="00DA1B41">
        <w:trPr>
          <w:trHeight w:val="300"/>
          <w:jc w:val="center"/>
        </w:trPr>
        <w:tc>
          <w:tcPr>
            <w:tcW w:w="2702" w:type="dxa"/>
            <w:tcBorders>
              <w:top w:val="nil"/>
              <w:left w:val="nil"/>
              <w:bottom w:val="nil"/>
              <w:right w:val="nil"/>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Totales</w:t>
            </w:r>
          </w:p>
        </w:tc>
        <w:tc>
          <w:tcPr>
            <w:tcW w:w="1355" w:type="dxa"/>
            <w:tcBorders>
              <w:top w:val="nil"/>
              <w:left w:val="nil"/>
              <w:bottom w:val="nil"/>
              <w:right w:val="nil"/>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color w:val="000000"/>
                <w:sz w:val="24"/>
                <w:szCs w:val="24"/>
                <w:lang w:eastAsia="es-MX"/>
              </w:rPr>
            </w:pPr>
          </w:p>
        </w:tc>
      </w:tr>
      <w:tr w:rsidR="008A503F" w:rsidRPr="00670830" w:rsidTr="00DA1B41">
        <w:trPr>
          <w:trHeight w:val="300"/>
          <w:jc w:val="center"/>
        </w:trPr>
        <w:tc>
          <w:tcPr>
            <w:tcW w:w="2702" w:type="dxa"/>
            <w:tcBorders>
              <w:top w:val="single" w:sz="4" w:space="0" w:color="0070C0"/>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bCs/>
                <w:color w:val="000000"/>
                <w:sz w:val="24"/>
                <w:szCs w:val="24"/>
                <w:lang w:eastAsia="es-MX"/>
              </w:rPr>
            </w:pPr>
            <w:proofErr w:type="spellStart"/>
            <w:r w:rsidRPr="00670830">
              <w:rPr>
                <w:rFonts w:ascii="Arial" w:eastAsia="Arial Unicode MS" w:hAnsi="Arial" w:cs="Arial"/>
                <w:bCs/>
                <w:color w:val="000000"/>
                <w:sz w:val="24"/>
                <w:szCs w:val="24"/>
                <w:lang w:eastAsia="es-MX"/>
              </w:rPr>
              <w:t>Rend</w:t>
            </w:r>
            <w:proofErr w:type="spellEnd"/>
            <w:r w:rsidRPr="00670830">
              <w:rPr>
                <w:rFonts w:ascii="Arial" w:eastAsia="Arial Unicode MS" w:hAnsi="Arial" w:cs="Arial"/>
                <w:bCs/>
                <w:color w:val="000000"/>
                <w:sz w:val="24"/>
                <w:szCs w:val="24"/>
                <w:lang w:eastAsia="es-MX"/>
              </w:rPr>
              <w:t xml:space="preserve"> </w:t>
            </w:r>
            <w:proofErr w:type="spellStart"/>
            <w:r w:rsidRPr="00670830">
              <w:rPr>
                <w:rFonts w:ascii="Arial" w:eastAsia="Arial Unicode MS" w:hAnsi="Arial" w:cs="Arial"/>
                <w:bCs/>
                <w:color w:val="000000"/>
                <w:sz w:val="24"/>
                <w:szCs w:val="24"/>
                <w:lang w:eastAsia="es-MX"/>
              </w:rPr>
              <w:t>prom</w:t>
            </w:r>
            <w:proofErr w:type="spellEnd"/>
          </w:p>
        </w:tc>
        <w:tc>
          <w:tcPr>
            <w:tcW w:w="1355" w:type="dxa"/>
            <w:tcBorders>
              <w:top w:val="single" w:sz="4" w:space="0" w:color="0070C0"/>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0.039359%</w:t>
            </w:r>
          </w:p>
        </w:tc>
      </w:tr>
      <w:tr w:rsidR="008A503F" w:rsidRPr="00670830" w:rsidTr="00DA1B41">
        <w:trPr>
          <w:trHeight w:val="300"/>
          <w:jc w:val="center"/>
        </w:trPr>
        <w:tc>
          <w:tcPr>
            <w:tcW w:w="2702"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rPr>
                <w:rFonts w:ascii="Arial" w:eastAsia="Arial Unicode MS" w:hAnsi="Arial" w:cs="Arial"/>
                <w:bCs/>
                <w:color w:val="000000"/>
                <w:sz w:val="24"/>
                <w:szCs w:val="24"/>
                <w:lang w:eastAsia="es-MX"/>
              </w:rPr>
            </w:pPr>
            <w:r w:rsidRPr="00670830">
              <w:rPr>
                <w:rFonts w:ascii="Arial" w:eastAsia="Arial Unicode MS" w:hAnsi="Arial" w:cs="Arial"/>
                <w:bCs/>
                <w:color w:val="000000"/>
                <w:sz w:val="24"/>
                <w:szCs w:val="24"/>
                <w:lang w:eastAsia="es-MX"/>
              </w:rPr>
              <w:t>Suma Ponderaciones</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100.0%</w:t>
            </w:r>
          </w:p>
        </w:tc>
      </w:tr>
      <w:tr w:rsidR="008A503F" w:rsidRPr="00670830" w:rsidTr="00DA1B41">
        <w:trPr>
          <w:trHeight w:val="300"/>
          <w:jc w:val="center"/>
        </w:trPr>
        <w:tc>
          <w:tcPr>
            <w:tcW w:w="2702"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67258A" w:rsidP="00670830">
            <w:pPr>
              <w:spacing w:before="100" w:beforeAutospacing="1" w:after="100" w:afterAutospacing="1" w:line="360" w:lineRule="auto"/>
              <w:rPr>
                <w:rFonts w:ascii="Arial" w:eastAsia="Arial Unicode MS" w:hAnsi="Arial" w:cs="Arial"/>
                <w:bCs/>
                <w:color w:val="000000"/>
                <w:sz w:val="24"/>
                <w:szCs w:val="24"/>
                <w:lang w:eastAsia="es-MX"/>
              </w:rPr>
            </w:pPr>
            <w:r w:rsidRPr="00670830">
              <w:rPr>
                <w:rFonts w:ascii="Arial" w:eastAsia="Arial Unicode MS" w:hAnsi="Arial" w:cs="Arial"/>
                <w:bCs/>
                <w:color w:val="000000"/>
                <w:sz w:val="24"/>
                <w:szCs w:val="24"/>
                <w:lang w:eastAsia="es-MX"/>
              </w:rPr>
              <w:t>Rendimiento Cartera</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0.036455%</w:t>
            </w:r>
          </w:p>
        </w:tc>
      </w:tr>
      <w:tr w:rsidR="008A503F" w:rsidRPr="00670830" w:rsidTr="00DA1B41">
        <w:trPr>
          <w:trHeight w:val="300"/>
          <w:jc w:val="center"/>
        </w:trPr>
        <w:tc>
          <w:tcPr>
            <w:tcW w:w="2702" w:type="dxa"/>
            <w:tcBorders>
              <w:top w:val="nil"/>
              <w:left w:val="single" w:sz="4" w:space="0" w:color="0070C0"/>
              <w:bottom w:val="single" w:sz="4" w:space="0" w:color="0070C0"/>
              <w:right w:val="single" w:sz="4" w:space="0" w:color="0070C0"/>
            </w:tcBorders>
            <w:shd w:val="clear" w:color="auto" w:fill="auto"/>
            <w:noWrap/>
            <w:vAlign w:val="bottom"/>
            <w:hideMark/>
          </w:tcPr>
          <w:p w:rsidR="008A503F" w:rsidRPr="00670830" w:rsidRDefault="0067258A" w:rsidP="00670830">
            <w:pPr>
              <w:spacing w:before="100" w:beforeAutospacing="1" w:after="100" w:afterAutospacing="1" w:line="360" w:lineRule="auto"/>
              <w:rPr>
                <w:rFonts w:ascii="Arial" w:eastAsia="Arial Unicode MS" w:hAnsi="Arial" w:cs="Arial"/>
                <w:bCs/>
                <w:color w:val="000000"/>
                <w:sz w:val="24"/>
                <w:szCs w:val="24"/>
                <w:lang w:eastAsia="es-MX"/>
              </w:rPr>
            </w:pPr>
            <w:r w:rsidRPr="00670830">
              <w:rPr>
                <w:rFonts w:ascii="Arial" w:eastAsia="Arial Unicode MS" w:hAnsi="Arial" w:cs="Arial"/>
                <w:bCs/>
                <w:color w:val="000000"/>
                <w:sz w:val="24"/>
                <w:szCs w:val="24"/>
                <w:lang w:eastAsia="es-MX"/>
              </w:rPr>
              <w:t>Riesgo Cartera</w:t>
            </w:r>
          </w:p>
        </w:tc>
        <w:tc>
          <w:tcPr>
            <w:tcW w:w="1355" w:type="dxa"/>
            <w:tcBorders>
              <w:top w:val="nil"/>
              <w:left w:val="nil"/>
              <w:bottom w:val="single" w:sz="4" w:space="0" w:color="0070C0"/>
              <w:right w:val="single" w:sz="4" w:space="0" w:color="0070C0"/>
            </w:tcBorders>
            <w:shd w:val="clear" w:color="auto" w:fill="auto"/>
            <w:noWrap/>
            <w:vAlign w:val="bottom"/>
            <w:hideMark/>
          </w:tcPr>
          <w:p w:rsidR="008A503F" w:rsidRPr="00670830" w:rsidRDefault="008A503F"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0.010189%</w:t>
            </w:r>
          </w:p>
        </w:tc>
      </w:tr>
    </w:tbl>
    <w:p w:rsidR="008A503F" w:rsidRPr="00670830" w:rsidRDefault="00DD6AC8" w:rsidP="00670830">
      <w:pPr>
        <w:tabs>
          <w:tab w:val="left" w:pos="1500"/>
        </w:tabs>
        <w:spacing w:before="100" w:beforeAutospacing="1" w:after="100" w:afterAutospacing="1" w:line="360" w:lineRule="auto"/>
        <w:rPr>
          <w:rFonts w:ascii="Arial" w:eastAsia="Arial Unicode MS" w:hAnsi="Arial" w:cs="Arial"/>
          <w:sz w:val="24"/>
          <w:szCs w:val="24"/>
        </w:rPr>
      </w:pPr>
      <w:r w:rsidRPr="00670830">
        <w:rPr>
          <w:rFonts w:ascii="Arial" w:eastAsia="Arial Unicode MS" w:hAnsi="Arial" w:cs="Arial"/>
          <w:sz w:val="24"/>
          <w:szCs w:val="24"/>
        </w:rPr>
        <w:tab/>
      </w:r>
    </w:p>
    <w:p w:rsidR="00636920" w:rsidRPr="00670830" w:rsidRDefault="00636920"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Análogamente</w:t>
      </w:r>
      <w:r w:rsidR="0067258A" w:rsidRPr="00670830">
        <w:rPr>
          <w:rFonts w:ascii="Arial" w:eastAsia="Arial Unicode MS" w:hAnsi="Arial" w:cs="Arial"/>
          <w:sz w:val="24"/>
          <w:szCs w:val="24"/>
        </w:rPr>
        <w:t>, el rendimiento de la cartera</w:t>
      </w:r>
      <w:r w:rsidRPr="00670830">
        <w:rPr>
          <w:rFonts w:ascii="Arial" w:eastAsia="Arial Unicode MS" w:hAnsi="Arial" w:cs="Arial"/>
          <w:sz w:val="24"/>
          <w:szCs w:val="24"/>
        </w:rPr>
        <w:t xml:space="preserve"> resulta de la suma de los rendimientos ponderados de cada una de las a</w:t>
      </w:r>
      <w:r w:rsidR="0067258A" w:rsidRPr="00670830">
        <w:rPr>
          <w:rFonts w:ascii="Arial" w:eastAsia="Arial Unicode MS" w:hAnsi="Arial" w:cs="Arial"/>
          <w:sz w:val="24"/>
          <w:szCs w:val="24"/>
        </w:rPr>
        <w:t>cciones, para nuestra cartera</w:t>
      </w:r>
      <w:r w:rsidRPr="00670830">
        <w:rPr>
          <w:rFonts w:ascii="Arial" w:eastAsia="Arial Unicode MS" w:hAnsi="Arial" w:cs="Arial"/>
          <w:sz w:val="24"/>
          <w:szCs w:val="24"/>
        </w:rPr>
        <w:t xml:space="preserve"> con pesos aleatorios  el rendimiento es  de 0.036455%.</w:t>
      </w:r>
    </w:p>
    <w:p w:rsidR="00636920" w:rsidRPr="00670830" w:rsidRDefault="0067258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riesgo total de la cartera</w:t>
      </w:r>
      <w:r w:rsidR="00636920" w:rsidRPr="00670830">
        <w:rPr>
          <w:rFonts w:ascii="Arial" w:eastAsia="Arial Unicode MS" w:hAnsi="Arial" w:cs="Arial"/>
          <w:sz w:val="24"/>
          <w:szCs w:val="24"/>
        </w:rPr>
        <w:t xml:space="preserve"> es 0.010189%, es decir, la suma de los riesgos individuales ponderados de todas las acciones contenidas en la muestra.</w:t>
      </w:r>
    </w:p>
    <w:p w:rsidR="00636920" w:rsidRPr="00670830" w:rsidRDefault="00636920" w:rsidP="00670830">
      <w:pPr>
        <w:spacing w:before="100" w:beforeAutospacing="1" w:after="100" w:afterAutospacing="1" w:line="360" w:lineRule="auto"/>
        <w:rPr>
          <w:rFonts w:ascii="Arial" w:eastAsia="Arial Unicode MS" w:hAnsi="Arial" w:cs="Arial"/>
          <w:sz w:val="24"/>
          <w:szCs w:val="24"/>
        </w:rPr>
      </w:pPr>
    </w:p>
    <w:p w:rsidR="00D042B7" w:rsidRPr="00670830" w:rsidRDefault="00D042B7" w:rsidP="00670830">
      <w:pPr>
        <w:pStyle w:val="Ttulo2"/>
        <w:numPr>
          <w:ilvl w:val="1"/>
          <w:numId w:val="3"/>
        </w:numPr>
        <w:spacing w:before="100" w:beforeAutospacing="1" w:after="100" w:afterAutospacing="1" w:line="360" w:lineRule="auto"/>
        <w:ind w:left="567" w:hanging="567"/>
        <w:jc w:val="both"/>
        <w:rPr>
          <w:rFonts w:ascii="Arial" w:eastAsia="Arial Unicode MS" w:hAnsi="Arial" w:cs="Arial"/>
          <w:color w:val="auto"/>
          <w:sz w:val="24"/>
          <w:szCs w:val="24"/>
        </w:rPr>
      </w:pPr>
      <w:bookmarkStart w:id="39" w:name="_Toc488230516"/>
      <w:r w:rsidRPr="00670830">
        <w:rPr>
          <w:rFonts w:ascii="Arial" w:eastAsia="Arial Unicode MS" w:hAnsi="Arial" w:cs="Arial"/>
          <w:color w:val="auto"/>
          <w:sz w:val="24"/>
          <w:szCs w:val="24"/>
        </w:rPr>
        <w:t>Cálculo del valor en riesgo (</w:t>
      </w:r>
      <w:proofErr w:type="spellStart"/>
      <w:r w:rsidRPr="00670830">
        <w:rPr>
          <w:rFonts w:ascii="Arial" w:eastAsia="Arial Unicode MS" w:hAnsi="Arial" w:cs="Arial"/>
          <w:color w:val="auto"/>
          <w:sz w:val="24"/>
          <w:szCs w:val="24"/>
        </w:rPr>
        <w:t>VaR</w:t>
      </w:r>
      <w:proofErr w:type="spellEnd"/>
      <w:r w:rsidRPr="00670830">
        <w:rPr>
          <w:rFonts w:ascii="Arial" w:eastAsia="Arial Unicode MS" w:hAnsi="Arial" w:cs="Arial"/>
          <w:color w:val="auto"/>
          <w:sz w:val="24"/>
          <w:szCs w:val="24"/>
        </w:rPr>
        <w:t>)</w:t>
      </w:r>
      <w:bookmarkEnd w:id="39"/>
    </w:p>
    <w:p w:rsidR="00913618" w:rsidRPr="00670830" w:rsidRDefault="0091361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Para nuestro ejercicio, calcularemos </w:t>
      </w:r>
      <w:r w:rsidR="0067258A" w:rsidRPr="00670830">
        <w:rPr>
          <w:rFonts w:ascii="Arial" w:eastAsia="Arial Unicode MS" w:hAnsi="Arial" w:cs="Arial"/>
          <w:sz w:val="24"/>
          <w:szCs w:val="24"/>
        </w:rPr>
        <w:t>el valor el riesgo (</w:t>
      </w:r>
      <w:proofErr w:type="spellStart"/>
      <w:r w:rsidR="0067258A" w:rsidRPr="00670830">
        <w:rPr>
          <w:rFonts w:ascii="Arial" w:eastAsia="Arial Unicode MS" w:hAnsi="Arial" w:cs="Arial"/>
          <w:sz w:val="24"/>
          <w:szCs w:val="24"/>
        </w:rPr>
        <w:t>VaR</w:t>
      </w:r>
      <w:proofErr w:type="spellEnd"/>
      <w:r w:rsidR="0067258A" w:rsidRPr="00670830">
        <w:rPr>
          <w:rFonts w:ascii="Arial" w:eastAsia="Arial Unicode MS" w:hAnsi="Arial" w:cs="Arial"/>
          <w:sz w:val="24"/>
          <w:szCs w:val="24"/>
        </w:rPr>
        <w:t>) de ambas carteras</w:t>
      </w:r>
      <w:r w:rsidRPr="00670830">
        <w:rPr>
          <w:rFonts w:ascii="Arial" w:eastAsia="Arial Unicode MS" w:hAnsi="Arial" w:cs="Arial"/>
          <w:sz w:val="24"/>
          <w:szCs w:val="24"/>
        </w:rPr>
        <w:t xml:space="preserve"> utilizando el Método Delta – Norm</w:t>
      </w:r>
      <w:r w:rsidR="00F401F5" w:rsidRPr="00670830">
        <w:rPr>
          <w:rFonts w:ascii="Arial" w:eastAsia="Arial Unicode MS" w:hAnsi="Arial" w:cs="Arial"/>
          <w:sz w:val="24"/>
          <w:szCs w:val="24"/>
        </w:rPr>
        <w:t>al.</w:t>
      </w:r>
      <w:r w:rsidRPr="00670830">
        <w:rPr>
          <w:rFonts w:ascii="Arial" w:eastAsia="Arial Unicode MS" w:hAnsi="Arial" w:cs="Arial"/>
          <w:sz w:val="24"/>
          <w:szCs w:val="24"/>
        </w:rPr>
        <w:t xml:space="preserve"> </w:t>
      </w:r>
      <w:r w:rsidR="00F401F5" w:rsidRPr="00670830">
        <w:rPr>
          <w:rFonts w:ascii="Arial" w:eastAsia="Arial Unicode MS" w:hAnsi="Arial" w:cs="Arial"/>
          <w:sz w:val="24"/>
          <w:szCs w:val="24"/>
        </w:rPr>
        <w:t>Se asumirá</w:t>
      </w:r>
      <w:r w:rsidRPr="00670830">
        <w:rPr>
          <w:rFonts w:ascii="Arial" w:eastAsia="Arial Unicode MS" w:hAnsi="Arial" w:cs="Arial"/>
          <w:sz w:val="24"/>
          <w:szCs w:val="24"/>
        </w:rPr>
        <w:t xml:space="preserve"> que los rendimientos de la cartera son normales y se encuentran idénticamente distribuidos.</w:t>
      </w:r>
    </w:p>
    <w:p w:rsidR="004071F8" w:rsidRPr="00670830" w:rsidRDefault="004071F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Dado el supuesto anterior, calculamos el ren</w:t>
      </w:r>
      <w:r w:rsidR="0067258A" w:rsidRPr="00670830">
        <w:rPr>
          <w:rFonts w:ascii="Arial" w:eastAsia="Arial Unicode MS" w:hAnsi="Arial" w:cs="Arial"/>
          <w:sz w:val="24"/>
          <w:szCs w:val="24"/>
        </w:rPr>
        <w:t>dimiento esperado de la cartera</w:t>
      </w:r>
      <w:r w:rsidRPr="00670830">
        <w:rPr>
          <w:rFonts w:ascii="Arial" w:eastAsia="Arial Unicode MS" w:hAnsi="Arial" w:cs="Arial"/>
          <w:sz w:val="24"/>
          <w:szCs w:val="24"/>
        </w:rPr>
        <w:t xml:space="preserve"> con la fórmula siguiente:</w:t>
      </w:r>
    </w:p>
    <w:p w:rsidR="004071F8" w:rsidRPr="00670830" w:rsidRDefault="00AC26BD" w:rsidP="00670830">
      <w:pPr>
        <w:spacing w:before="100" w:beforeAutospacing="1" w:after="100" w:afterAutospacing="1" w:line="360" w:lineRule="auto"/>
        <w:rPr>
          <w:rFonts w:ascii="Arial" w:eastAsia="Arial Unicode MS" w:hAnsi="Arial" w:cs="Arial"/>
          <w:sz w:val="24"/>
          <w:szCs w:val="24"/>
        </w:rPr>
      </w:pPr>
      <m:oMathPara>
        <m:oMathParaPr>
          <m:jc m:val="center"/>
        </m:oMathParaPr>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R</m:t>
              </m:r>
            </m:e>
            <m:sub>
              <m:r>
                <w:rPr>
                  <w:rFonts w:ascii="Cambria Math" w:eastAsia="Arial Unicode MS" w:hAnsi="Cambria Math" w:cs="Arial"/>
                  <w:sz w:val="24"/>
                  <w:szCs w:val="24"/>
                </w:rPr>
                <m:t>t</m:t>
              </m:r>
            </m:sub>
          </m:sSub>
          <m:r>
            <w:rPr>
              <w:rFonts w:ascii="Cambria Math" w:eastAsia="Arial Unicode MS" w:hAnsi="Cambria Math" w:cs="Arial"/>
              <w:sz w:val="24"/>
              <w:szCs w:val="24"/>
            </w:rPr>
            <m:t>=</m:t>
          </m:r>
          <m:nary>
            <m:naryPr>
              <m:chr m:val="∑"/>
              <m:limLoc m:val="undOvr"/>
              <m:ctrlPr>
                <w:rPr>
                  <w:rFonts w:ascii="Cambria Math" w:eastAsia="Arial Unicode MS" w:hAnsi="Cambria Math" w:cs="Arial"/>
                  <w:i/>
                  <w:sz w:val="24"/>
                  <w:szCs w:val="24"/>
                </w:rPr>
              </m:ctrlPr>
            </m:naryPr>
            <m:sub>
              <m:r>
                <w:rPr>
                  <w:rFonts w:ascii="Cambria Math" w:eastAsia="Arial Unicode MS" w:hAnsi="Cambria Math" w:cs="Arial"/>
                  <w:sz w:val="24"/>
                  <w:szCs w:val="24"/>
                </w:rPr>
                <m:t>i=1</m:t>
              </m:r>
            </m:sub>
            <m:sup>
              <m:r>
                <w:rPr>
                  <w:rFonts w:ascii="Cambria Math" w:eastAsia="Arial Unicode MS" w:hAnsi="Cambria Math" w:cs="Arial"/>
                  <w:sz w:val="24"/>
                  <w:szCs w:val="24"/>
                </w:rPr>
                <m:t>N</m:t>
              </m:r>
            </m:sup>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w</m:t>
                  </m:r>
                </m:e>
                <m:sub>
                  <m:r>
                    <w:rPr>
                      <w:rFonts w:ascii="Cambria Math" w:eastAsia="Arial Unicode MS" w:hAnsi="Cambria Math" w:cs="Arial"/>
                      <w:sz w:val="24"/>
                      <w:szCs w:val="24"/>
                    </w:rPr>
                    <m:t>i</m:t>
                  </m:r>
                </m:sub>
              </m:sSub>
              <m:sSubSup>
                <m:sSubSupPr>
                  <m:ctrlPr>
                    <w:rPr>
                      <w:rFonts w:ascii="Cambria Math" w:eastAsia="Arial Unicode MS" w:hAnsi="Cambria Math" w:cs="Arial"/>
                      <w:i/>
                      <w:sz w:val="24"/>
                      <w:szCs w:val="24"/>
                    </w:rPr>
                  </m:ctrlPr>
                </m:sSubSupPr>
                <m:e>
                  <m:r>
                    <w:rPr>
                      <w:rFonts w:ascii="Cambria Math" w:eastAsia="Arial Unicode MS" w:hAnsi="Cambria Math" w:cs="Arial"/>
                      <w:sz w:val="24"/>
                      <w:szCs w:val="24"/>
                    </w:rPr>
                    <m:t>R</m:t>
                  </m:r>
                </m:e>
                <m:sub>
                  <m:r>
                    <w:rPr>
                      <w:rFonts w:ascii="Cambria Math" w:eastAsia="Arial Unicode MS" w:hAnsi="Cambria Math" w:cs="Arial"/>
                      <w:sz w:val="24"/>
                      <w:szCs w:val="24"/>
                    </w:rPr>
                    <m:t>t</m:t>
                  </m:r>
                </m:sub>
                <m:sup>
                  <m:r>
                    <w:rPr>
                      <w:rFonts w:ascii="Cambria Math" w:eastAsia="Arial Unicode MS" w:hAnsi="Cambria Math" w:cs="Arial"/>
                      <w:sz w:val="24"/>
                      <w:szCs w:val="24"/>
                    </w:rPr>
                    <m:t>i</m:t>
                  </m:r>
                </m:sup>
              </m:sSubSup>
            </m:e>
          </m:nary>
        </m:oMath>
      </m:oMathPara>
    </w:p>
    <w:p w:rsidR="00134CB7" w:rsidRPr="00670830" w:rsidRDefault="0067258A" w:rsidP="00670830">
      <w:pPr>
        <w:spacing w:before="100" w:beforeAutospacing="1" w:after="100" w:afterAutospacing="1" w:line="360" w:lineRule="auto"/>
        <w:rPr>
          <w:rFonts w:ascii="Arial" w:eastAsia="Arial Unicode MS" w:hAnsi="Arial" w:cs="Arial"/>
          <w:sz w:val="24"/>
          <w:szCs w:val="24"/>
        </w:rPr>
      </w:pPr>
      <w:r w:rsidRPr="00670830">
        <w:rPr>
          <w:rFonts w:ascii="Arial" w:eastAsia="Arial Unicode MS" w:hAnsi="Arial" w:cs="Arial"/>
          <w:sz w:val="24"/>
          <w:szCs w:val="24"/>
        </w:rPr>
        <w:t>Y la varianza de la cartera</w:t>
      </w:r>
      <w:r w:rsidR="00134CB7" w:rsidRPr="00670830">
        <w:rPr>
          <w:rFonts w:ascii="Arial" w:eastAsia="Arial Unicode MS" w:hAnsi="Arial" w:cs="Arial"/>
          <w:sz w:val="24"/>
          <w:szCs w:val="24"/>
        </w:rPr>
        <w:t xml:space="preserve"> como sigue:</w:t>
      </w:r>
    </w:p>
    <w:p w:rsidR="00134CB7" w:rsidRPr="00670830" w:rsidRDefault="00AC26BD" w:rsidP="00670830">
      <w:pPr>
        <w:spacing w:before="100" w:beforeAutospacing="1" w:after="100" w:afterAutospacing="1" w:line="360" w:lineRule="auto"/>
        <w:rPr>
          <w:rFonts w:ascii="Arial" w:eastAsia="Arial Unicode MS" w:hAnsi="Arial" w:cs="Arial"/>
          <w:sz w:val="24"/>
          <w:szCs w:val="24"/>
        </w:rPr>
      </w:pPr>
      <m:oMathPara>
        <m:oMathParaPr>
          <m:jc m:val="center"/>
        </m:oMathParaPr>
        <m:oMath>
          <m:sSup>
            <m:sSupPr>
              <m:ctrlPr>
                <w:rPr>
                  <w:rFonts w:ascii="Cambria Math" w:eastAsia="Arial Unicode MS" w:hAnsi="Cambria Math" w:cs="Arial"/>
                  <w:i/>
                  <w:sz w:val="24"/>
                  <w:szCs w:val="24"/>
                </w:rPr>
              </m:ctrlPr>
            </m:sSupPr>
            <m:e>
              <m:r>
                <w:rPr>
                  <w:rFonts w:ascii="Cambria Math" w:eastAsia="Arial Unicode MS" w:hAnsi="Cambria Math" w:cs="Arial"/>
                  <w:sz w:val="24"/>
                  <w:szCs w:val="24"/>
                </w:rPr>
                <m:t>σ</m:t>
              </m:r>
            </m:e>
            <m:sup>
              <m:r>
                <w:rPr>
                  <w:rFonts w:ascii="Cambria Math" w:eastAsia="Arial Unicode MS" w:hAnsi="Cambria Math" w:cs="Arial"/>
                  <w:sz w:val="24"/>
                  <w:szCs w:val="24"/>
                </w:rPr>
                <m:t>2</m:t>
              </m:r>
            </m:sup>
          </m:sSup>
          <m:r>
            <w:rPr>
              <w:rFonts w:ascii="Cambria Math" w:eastAsia="Arial Unicode MS" w:hAnsi="Cambria Math" w:cs="Arial"/>
              <w:sz w:val="24"/>
              <w:szCs w:val="24"/>
            </w:rPr>
            <m:t>=</m:t>
          </m:r>
          <m:nary>
            <m:naryPr>
              <m:chr m:val="∑"/>
              <m:limLoc m:val="undOvr"/>
              <m:ctrlPr>
                <w:rPr>
                  <w:rFonts w:ascii="Cambria Math" w:eastAsia="Arial Unicode MS" w:hAnsi="Cambria Math" w:cs="Arial"/>
                  <w:i/>
                  <w:sz w:val="24"/>
                  <w:szCs w:val="24"/>
                </w:rPr>
              </m:ctrlPr>
            </m:naryPr>
            <m:sub>
              <m:r>
                <w:rPr>
                  <w:rFonts w:ascii="Cambria Math" w:eastAsia="Arial Unicode MS" w:hAnsi="Cambria Math" w:cs="Arial"/>
                  <w:sz w:val="24"/>
                  <w:szCs w:val="24"/>
                </w:rPr>
                <m:t>i=1</m:t>
              </m:r>
            </m:sub>
            <m:sup>
              <m:r>
                <w:rPr>
                  <w:rFonts w:ascii="Cambria Math" w:eastAsia="Arial Unicode MS" w:hAnsi="Cambria Math" w:cs="Arial"/>
                  <w:sz w:val="24"/>
                  <w:szCs w:val="24"/>
                </w:rPr>
                <m:t>N</m:t>
              </m:r>
            </m:sup>
            <m:e>
              <m:sSubSup>
                <m:sSubSupPr>
                  <m:ctrlPr>
                    <w:rPr>
                      <w:rFonts w:ascii="Cambria Math" w:eastAsia="Arial Unicode MS" w:hAnsi="Cambria Math" w:cs="Arial"/>
                      <w:i/>
                      <w:sz w:val="24"/>
                      <w:szCs w:val="24"/>
                    </w:rPr>
                  </m:ctrlPr>
                </m:sSubSupPr>
                <m:e>
                  <m:r>
                    <w:rPr>
                      <w:rFonts w:ascii="Cambria Math" w:eastAsia="Arial Unicode MS" w:hAnsi="Cambria Math" w:cs="Arial"/>
                      <w:sz w:val="24"/>
                      <w:szCs w:val="24"/>
                    </w:rPr>
                    <m:t>w</m:t>
                  </m:r>
                </m:e>
                <m:sub>
                  <m:r>
                    <w:rPr>
                      <w:rFonts w:ascii="Cambria Math" w:eastAsia="Arial Unicode MS" w:hAnsi="Cambria Math" w:cs="Arial"/>
                      <w:sz w:val="24"/>
                      <w:szCs w:val="24"/>
                    </w:rPr>
                    <m:t>i</m:t>
                  </m:r>
                </m:sub>
                <m:sup>
                  <m:r>
                    <w:rPr>
                      <w:rFonts w:ascii="Cambria Math" w:eastAsia="Arial Unicode MS" w:hAnsi="Cambria Math" w:cs="Arial"/>
                      <w:sz w:val="24"/>
                      <w:szCs w:val="24"/>
                    </w:rPr>
                    <m:t>2</m:t>
                  </m:r>
                </m:sup>
              </m:sSubSup>
              <m:sSubSup>
                <m:sSubSupPr>
                  <m:ctrlPr>
                    <w:rPr>
                      <w:rFonts w:ascii="Cambria Math" w:eastAsia="Arial Unicode MS" w:hAnsi="Cambria Math" w:cs="Arial"/>
                      <w:i/>
                      <w:sz w:val="24"/>
                      <w:szCs w:val="24"/>
                    </w:rPr>
                  </m:ctrlPr>
                </m:sSubSupPr>
                <m:e>
                  <m:r>
                    <w:rPr>
                      <w:rFonts w:ascii="Cambria Math" w:eastAsia="Arial Unicode MS" w:hAnsi="Cambria Math" w:cs="Arial"/>
                      <w:sz w:val="24"/>
                      <w:szCs w:val="24"/>
                    </w:rPr>
                    <m:t>σ</m:t>
                  </m:r>
                </m:e>
                <m:sub>
                  <m:r>
                    <w:rPr>
                      <w:rFonts w:ascii="Cambria Math" w:eastAsia="Arial Unicode MS" w:hAnsi="Cambria Math" w:cs="Arial"/>
                      <w:sz w:val="24"/>
                      <w:szCs w:val="24"/>
                    </w:rPr>
                    <m:t>i</m:t>
                  </m:r>
                </m:sub>
                <m:sup>
                  <m:r>
                    <w:rPr>
                      <w:rFonts w:ascii="Cambria Math" w:eastAsia="Arial Unicode MS" w:hAnsi="Cambria Math" w:cs="Arial"/>
                      <w:sz w:val="24"/>
                      <w:szCs w:val="24"/>
                    </w:rPr>
                    <m:t>2</m:t>
                  </m:r>
                </m:sup>
              </m:sSubSup>
            </m:e>
          </m:nary>
          <m:r>
            <w:rPr>
              <w:rFonts w:ascii="Cambria Math" w:eastAsia="Arial Unicode MS" w:hAnsi="Cambria Math" w:cs="Arial"/>
              <w:sz w:val="24"/>
              <w:szCs w:val="24"/>
            </w:rPr>
            <m:t>+2</m:t>
          </m:r>
          <m:nary>
            <m:naryPr>
              <m:chr m:val="∑"/>
              <m:limLoc m:val="undOvr"/>
              <m:ctrlPr>
                <w:rPr>
                  <w:rFonts w:ascii="Cambria Math" w:eastAsia="Arial Unicode MS" w:hAnsi="Cambria Math" w:cs="Arial"/>
                  <w:i/>
                  <w:sz w:val="24"/>
                  <w:szCs w:val="24"/>
                </w:rPr>
              </m:ctrlPr>
            </m:naryPr>
            <m:sub>
              <m:r>
                <w:rPr>
                  <w:rFonts w:ascii="Cambria Math" w:eastAsia="Arial Unicode MS" w:hAnsi="Cambria Math" w:cs="Arial"/>
                  <w:sz w:val="24"/>
                  <w:szCs w:val="24"/>
                </w:rPr>
                <m:t>i=1</m:t>
              </m:r>
            </m:sub>
            <m:sup>
              <m:r>
                <w:rPr>
                  <w:rFonts w:ascii="Cambria Math" w:eastAsia="Arial Unicode MS" w:hAnsi="Cambria Math" w:cs="Arial"/>
                  <w:sz w:val="24"/>
                  <w:szCs w:val="24"/>
                </w:rPr>
                <m:t>N</m:t>
              </m:r>
            </m:sup>
            <m:e>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w</m:t>
                  </m:r>
                </m:e>
                <m:sub>
                  <m:r>
                    <w:rPr>
                      <w:rFonts w:ascii="Cambria Math" w:eastAsia="Arial Unicode MS" w:hAnsi="Cambria Math" w:cs="Arial"/>
                      <w:sz w:val="24"/>
                      <w:szCs w:val="24"/>
                    </w:rPr>
                    <m:t>i</m:t>
                  </m:r>
                </m:sub>
              </m:sSub>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w</m:t>
                  </m:r>
                </m:e>
                <m:sub>
                  <m:r>
                    <w:rPr>
                      <w:rFonts w:ascii="Cambria Math" w:eastAsia="Arial Unicode MS" w:hAnsi="Cambria Math" w:cs="Arial"/>
                      <w:sz w:val="24"/>
                      <w:szCs w:val="24"/>
                    </w:rPr>
                    <m:t>j</m:t>
                  </m:r>
                </m:sub>
              </m:sSub>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σ</m:t>
                  </m:r>
                </m:e>
                <m:sub>
                  <m:r>
                    <w:rPr>
                      <w:rFonts w:ascii="Cambria Math" w:eastAsia="Arial Unicode MS" w:hAnsi="Cambria Math" w:cs="Arial"/>
                      <w:sz w:val="24"/>
                      <w:szCs w:val="24"/>
                    </w:rPr>
                    <m:t>ij</m:t>
                  </m:r>
                </m:sub>
              </m:sSub>
            </m:e>
          </m:nary>
        </m:oMath>
      </m:oMathPara>
    </w:p>
    <w:p w:rsidR="00134CB7" w:rsidRPr="00670830" w:rsidRDefault="00134CB7" w:rsidP="00670830">
      <w:pPr>
        <w:spacing w:before="100" w:beforeAutospacing="1" w:after="100" w:afterAutospacing="1" w:line="360" w:lineRule="auto"/>
        <w:rPr>
          <w:rFonts w:ascii="Arial" w:eastAsia="Arial Unicode MS" w:hAnsi="Arial" w:cs="Arial"/>
          <w:sz w:val="24"/>
          <w:szCs w:val="24"/>
        </w:rPr>
      </w:pPr>
      <w:proofErr w:type="spellStart"/>
      <w:r w:rsidRPr="00670830">
        <w:rPr>
          <w:rFonts w:ascii="Arial" w:eastAsia="Arial Unicode MS" w:hAnsi="Arial" w:cs="Arial"/>
          <w:sz w:val="24"/>
          <w:szCs w:val="24"/>
        </w:rPr>
        <w:t>Donde</w:t>
      </w:r>
      <w:proofErr w:type="spellEnd"/>
      <w:r w:rsidRPr="00670830">
        <w:rPr>
          <w:rFonts w:ascii="Arial" w:eastAsia="Arial Unicode MS" w:hAnsi="Arial" w:cs="Arial"/>
          <w:sz w:val="24"/>
          <w:szCs w:val="24"/>
        </w:rPr>
        <w:t>:</w:t>
      </w:r>
    </w:p>
    <w:p w:rsidR="00134CB7" w:rsidRPr="00670830" w:rsidRDefault="00AC26BD" w:rsidP="00670830">
      <w:pPr>
        <w:spacing w:before="100" w:beforeAutospacing="1" w:after="100" w:afterAutospacing="1" w:line="360" w:lineRule="auto"/>
        <w:jc w:val="both"/>
        <w:rPr>
          <w:rFonts w:ascii="Arial" w:eastAsia="Arial Unicode MS" w:hAnsi="Arial" w:cs="Arial"/>
          <w:sz w:val="24"/>
          <w:szCs w:val="24"/>
        </w:rPr>
      </w:pPr>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w</m:t>
            </m:r>
          </m:e>
          <m:sub>
            <m:r>
              <w:rPr>
                <w:rFonts w:ascii="Cambria Math" w:eastAsia="Arial Unicode MS" w:hAnsi="Cambria Math" w:cs="Arial"/>
                <w:sz w:val="24"/>
                <w:szCs w:val="24"/>
              </w:rPr>
              <m:t>i</m:t>
            </m:r>
          </m:sub>
        </m:sSub>
      </m:oMath>
      <w:r w:rsidR="00134CB7" w:rsidRPr="00670830">
        <w:rPr>
          <w:rFonts w:ascii="Arial" w:eastAsia="Arial Unicode MS" w:hAnsi="Arial" w:cs="Arial"/>
          <w:sz w:val="24"/>
          <w:szCs w:val="24"/>
        </w:rPr>
        <w:t>= ponderación a invertir de la acción i</w:t>
      </w:r>
    </w:p>
    <w:p w:rsidR="00134CB7" w:rsidRPr="00670830" w:rsidRDefault="00AC26BD" w:rsidP="00670830">
      <w:pPr>
        <w:spacing w:before="100" w:beforeAutospacing="1" w:after="100" w:afterAutospacing="1" w:line="360" w:lineRule="auto"/>
        <w:jc w:val="both"/>
        <w:rPr>
          <w:rFonts w:ascii="Arial" w:eastAsia="Arial Unicode MS" w:hAnsi="Arial" w:cs="Arial"/>
          <w:sz w:val="24"/>
          <w:szCs w:val="24"/>
        </w:rPr>
      </w:pPr>
      <m:oMath>
        <m:sSubSup>
          <m:sSubSupPr>
            <m:ctrlPr>
              <w:rPr>
                <w:rFonts w:ascii="Cambria Math" w:eastAsia="Arial Unicode MS" w:hAnsi="Cambria Math" w:cs="Arial"/>
                <w:i/>
                <w:sz w:val="24"/>
                <w:szCs w:val="24"/>
              </w:rPr>
            </m:ctrlPr>
          </m:sSubSupPr>
          <m:e>
            <m:r>
              <w:rPr>
                <w:rFonts w:ascii="Cambria Math" w:eastAsia="Arial Unicode MS" w:hAnsi="Cambria Math" w:cs="Arial"/>
                <w:sz w:val="24"/>
                <w:szCs w:val="24"/>
              </w:rPr>
              <m:t>σ</m:t>
            </m:r>
          </m:e>
          <m:sub>
            <m:r>
              <w:rPr>
                <w:rFonts w:ascii="Cambria Math" w:eastAsia="Arial Unicode MS" w:hAnsi="Cambria Math" w:cs="Arial"/>
                <w:sz w:val="24"/>
                <w:szCs w:val="24"/>
              </w:rPr>
              <m:t>i</m:t>
            </m:r>
          </m:sub>
          <m:sup>
            <m:r>
              <w:rPr>
                <w:rFonts w:ascii="Cambria Math" w:eastAsia="Arial Unicode MS" w:hAnsi="Cambria Math" w:cs="Arial"/>
                <w:sz w:val="24"/>
                <w:szCs w:val="24"/>
              </w:rPr>
              <m:t>2</m:t>
            </m:r>
          </m:sup>
        </m:sSubSup>
      </m:oMath>
      <w:r w:rsidR="00134CB7" w:rsidRPr="00670830">
        <w:rPr>
          <w:rFonts w:ascii="Arial" w:eastAsia="Arial Unicode MS" w:hAnsi="Arial" w:cs="Arial"/>
          <w:sz w:val="24"/>
          <w:szCs w:val="24"/>
        </w:rPr>
        <w:t>= varianza de los rendimientos de la acción i</w:t>
      </w:r>
    </w:p>
    <w:p w:rsidR="00134CB7" w:rsidRPr="00670830" w:rsidRDefault="00AC26BD" w:rsidP="00670830">
      <w:pPr>
        <w:spacing w:before="100" w:beforeAutospacing="1" w:after="100" w:afterAutospacing="1" w:line="360" w:lineRule="auto"/>
        <w:jc w:val="both"/>
        <w:rPr>
          <w:rFonts w:ascii="Arial" w:eastAsia="Arial Unicode MS" w:hAnsi="Arial" w:cs="Arial"/>
          <w:sz w:val="24"/>
          <w:szCs w:val="24"/>
        </w:rPr>
      </w:pPr>
      <m:oMath>
        <m:sSubSup>
          <m:sSubSupPr>
            <m:ctrlPr>
              <w:rPr>
                <w:rFonts w:ascii="Cambria Math" w:eastAsia="Arial Unicode MS" w:hAnsi="Cambria Math" w:cs="Arial"/>
                <w:i/>
                <w:sz w:val="24"/>
                <w:szCs w:val="24"/>
              </w:rPr>
            </m:ctrlPr>
          </m:sSubSupPr>
          <m:e>
            <m:r>
              <w:rPr>
                <w:rFonts w:ascii="Cambria Math" w:eastAsia="Arial Unicode MS" w:hAnsi="Cambria Math" w:cs="Arial"/>
                <w:sz w:val="24"/>
                <w:szCs w:val="24"/>
              </w:rPr>
              <m:t>σ</m:t>
            </m:r>
          </m:e>
          <m:sub>
            <m:r>
              <w:rPr>
                <w:rFonts w:ascii="Cambria Math" w:eastAsia="Arial Unicode MS" w:hAnsi="Cambria Math" w:cs="Arial"/>
                <w:sz w:val="24"/>
                <w:szCs w:val="24"/>
              </w:rPr>
              <m:t>ij</m:t>
            </m:r>
          </m:sub>
          <m:sup/>
        </m:sSubSup>
      </m:oMath>
      <w:r w:rsidR="00134CB7" w:rsidRPr="00670830">
        <w:rPr>
          <w:rFonts w:ascii="Arial" w:eastAsia="Arial Unicode MS" w:hAnsi="Arial" w:cs="Arial"/>
          <w:sz w:val="24"/>
          <w:szCs w:val="24"/>
        </w:rPr>
        <w:t xml:space="preserve">= covarianza de los rendimientos de la acción i y la acción j </w:t>
      </w:r>
    </w:p>
    <w:p w:rsidR="00913618" w:rsidRPr="00670830" w:rsidRDefault="00134CB7"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El </w:t>
      </w:r>
      <w:proofErr w:type="spellStart"/>
      <w:r w:rsidRPr="00670830">
        <w:rPr>
          <w:rFonts w:ascii="Arial" w:eastAsia="Arial Unicode MS" w:hAnsi="Arial" w:cs="Arial"/>
          <w:sz w:val="24"/>
          <w:szCs w:val="24"/>
        </w:rPr>
        <w:t>VaR</w:t>
      </w:r>
      <w:proofErr w:type="spellEnd"/>
      <w:r w:rsidRPr="00670830">
        <w:rPr>
          <w:rFonts w:ascii="Arial" w:eastAsia="Arial Unicode MS" w:hAnsi="Arial" w:cs="Arial"/>
          <w:sz w:val="24"/>
          <w:szCs w:val="24"/>
        </w:rPr>
        <w:t xml:space="preserve"> de c</w:t>
      </w:r>
      <w:r w:rsidR="0067258A" w:rsidRPr="00670830">
        <w:rPr>
          <w:rFonts w:ascii="Arial" w:eastAsia="Arial Unicode MS" w:hAnsi="Arial" w:cs="Arial"/>
          <w:sz w:val="24"/>
          <w:szCs w:val="24"/>
        </w:rPr>
        <w:t>ada uno de las carteras</w:t>
      </w:r>
      <w:r w:rsidR="00F94151" w:rsidRPr="00670830">
        <w:rPr>
          <w:rFonts w:ascii="Arial" w:eastAsia="Arial Unicode MS" w:hAnsi="Arial" w:cs="Arial"/>
          <w:sz w:val="24"/>
          <w:szCs w:val="24"/>
        </w:rPr>
        <w:t>, considerando un nivel de significancia establecido, está dado por:</w:t>
      </w:r>
    </w:p>
    <w:p w:rsidR="004071F8" w:rsidRPr="00670830" w:rsidRDefault="00AC26BD" w:rsidP="00670830">
      <w:pPr>
        <w:spacing w:before="100" w:beforeAutospacing="1" w:after="100" w:afterAutospacing="1" w:line="360" w:lineRule="auto"/>
        <w:rPr>
          <w:rFonts w:ascii="Arial" w:eastAsia="Arial Unicode MS" w:hAnsi="Arial" w:cs="Arial"/>
          <w:sz w:val="24"/>
          <w:szCs w:val="24"/>
        </w:rPr>
      </w:pPr>
      <m:oMathPara>
        <m:oMath>
          <m:sSub>
            <m:sSubPr>
              <m:ctrlPr>
                <w:rPr>
                  <w:rFonts w:ascii="Cambria Math" w:eastAsia="Arial Unicode MS" w:hAnsi="Cambria Math" w:cs="Arial"/>
                  <w:i/>
                  <w:sz w:val="24"/>
                  <w:szCs w:val="24"/>
                </w:rPr>
              </m:ctrlPr>
            </m:sSubPr>
            <m:e>
              <m:r>
                <w:rPr>
                  <w:rFonts w:ascii="Cambria Math" w:eastAsia="Arial Unicode MS" w:hAnsi="Cambria Math" w:cs="Arial"/>
                  <w:sz w:val="24"/>
                  <w:szCs w:val="24"/>
                </w:rPr>
                <m:t>VaR</m:t>
              </m:r>
            </m:e>
            <m:sub>
              <m:r>
                <w:rPr>
                  <w:rFonts w:ascii="Cambria Math" w:eastAsia="Arial Unicode MS" w:hAnsi="Cambria Math" w:cs="Arial"/>
                  <w:sz w:val="24"/>
                  <w:szCs w:val="24"/>
                </w:rPr>
                <m:t>p</m:t>
              </m:r>
            </m:sub>
          </m:sSub>
          <m:r>
            <w:rPr>
              <w:rFonts w:ascii="Cambria Math" w:eastAsia="Arial Unicode MS" w:hAnsi="Cambria Math" w:cs="Arial"/>
              <w:sz w:val="24"/>
              <w:szCs w:val="24"/>
            </w:rPr>
            <m:t>= α∙</m:t>
          </m:r>
          <m:rad>
            <m:radPr>
              <m:degHide m:val="1"/>
              <m:ctrlPr>
                <w:rPr>
                  <w:rFonts w:ascii="Cambria Math" w:eastAsia="Arial Unicode MS" w:hAnsi="Cambria Math" w:cs="Arial"/>
                  <w:i/>
                  <w:sz w:val="24"/>
                  <w:szCs w:val="24"/>
                </w:rPr>
              </m:ctrlPr>
            </m:radPr>
            <m:deg/>
            <m:e>
              <m:sSup>
                <m:sSupPr>
                  <m:ctrlPr>
                    <w:rPr>
                      <w:rFonts w:ascii="Cambria Math" w:eastAsia="Arial Unicode MS" w:hAnsi="Cambria Math" w:cs="Arial"/>
                      <w:i/>
                      <w:sz w:val="24"/>
                      <w:szCs w:val="24"/>
                    </w:rPr>
                  </m:ctrlPr>
                </m:sSupPr>
                <m:e>
                  <m:r>
                    <w:rPr>
                      <w:rFonts w:ascii="Cambria Math" w:eastAsia="Arial Unicode MS" w:hAnsi="Cambria Math" w:cs="Arial"/>
                      <w:sz w:val="24"/>
                      <w:szCs w:val="24"/>
                    </w:rPr>
                    <m:t>w</m:t>
                  </m:r>
                </m:e>
                <m:sup>
                  <m:r>
                    <w:rPr>
                      <w:rFonts w:ascii="Cambria Math" w:eastAsia="Arial Unicode MS" w:hAnsi="Cambria Math" w:cs="Arial"/>
                      <w:sz w:val="24"/>
                      <w:szCs w:val="24"/>
                    </w:rPr>
                    <m:t>T</m:t>
                  </m:r>
                </m:sup>
              </m:sSup>
              <m:r>
                <w:rPr>
                  <w:rFonts w:ascii="Cambria Math" w:eastAsia="Arial Unicode MS" w:hAnsi="Cambria Math" w:cs="Arial"/>
                  <w:sz w:val="24"/>
                  <w:szCs w:val="24"/>
                </w:rPr>
                <m:t>∙</m:t>
              </m:r>
              <m:r>
                <m:rPr>
                  <m:sty m:val="p"/>
                </m:rPr>
                <w:rPr>
                  <w:rFonts w:ascii="Cambria Math" w:eastAsia="Arial Unicode MS" w:hAnsi="Cambria Math" w:cs="Arial"/>
                  <w:sz w:val="24"/>
                  <w:szCs w:val="24"/>
                </w:rPr>
                <m:t>Σ</m:t>
              </m:r>
              <m:r>
                <w:rPr>
                  <w:rFonts w:ascii="Cambria Math" w:eastAsia="Arial Unicode MS" w:hAnsi="Cambria Math" w:cs="Arial"/>
                  <w:sz w:val="24"/>
                  <w:szCs w:val="24"/>
                </w:rPr>
                <m:t>∙w</m:t>
              </m:r>
            </m:e>
          </m:rad>
          <m:r>
            <w:rPr>
              <w:rFonts w:ascii="Cambria Math" w:eastAsia="Arial Unicode MS" w:hAnsi="Cambria Math" w:cs="Arial"/>
              <w:sz w:val="24"/>
              <w:szCs w:val="24"/>
            </w:rPr>
            <m:t>∙</m:t>
          </m:r>
          <m:rad>
            <m:radPr>
              <m:degHide m:val="1"/>
              <m:ctrlPr>
                <w:rPr>
                  <w:rFonts w:ascii="Cambria Math" w:eastAsia="Arial Unicode MS" w:hAnsi="Cambria Math" w:cs="Arial"/>
                  <w:i/>
                  <w:sz w:val="24"/>
                  <w:szCs w:val="24"/>
                </w:rPr>
              </m:ctrlPr>
            </m:radPr>
            <m:deg/>
            <m:e>
              <m:r>
                <m:rPr>
                  <m:sty m:val="p"/>
                </m:rPr>
                <w:rPr>
                  <w:rFonts w:ascii="Cambria Math" w:eastAsia="Arial Unicode MS" w:hAnsi="Cambria Math" w:cs="Arial"/>
                  <w:sz w:val="24"/>
                  <w:szCs w:val="24"/>
                </w:rPr>
                <m:t>Δ</m:t>
              </m:r>
              <m:r>
                <w:rPr>
                  <w:rFonts w:ascii="Cambria Math" w:eastAsia="Arial Unicode MS" w:hAnsi="Cambria Math" w:cs="Arial"/>
                  <w:sz w:val="24"/>
                  <w:szCs w:val="24"/>
                </w:rPr>
                <m:t>t</m:t>
              </m:r>
            </m:e>
          </m:rad>
        </m:oMath>
      </m:oMathPara>
    </w:p>
    <w:p w:rsidR="00AC0277" w:rsidRPr="00670830" w:rsidRDefault="00AC0277"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Para el nivel de significancia utilizaremos los valores α de la distribución normal estandarizada para el rango de valores del 1% al 10%.</w:t>
      </w:r>
    </w:p>
    <w:p w:rsidR="00DA1B41" w:rsidRPr="00670830" w:rsidRDefault="00DA1B41" w:rsidP="00670830">
      <w:pPr>
        <w:spacing w:before="100" w:beforeAutospacing="1" w:after="100" w:afterAutospacing="1" w:line="360" w:lineRule="auto"/>
        <w:jc w:val="both"/>
        <w:rPr>
          <w:rFonts w:ascii="Arial" w:eastAsia="Arial Unicode MS" w:hAnsi="Arial" w:cs="Arial"/>
          <w:sz w:val="24"/>
          <w:szCs w:val="24"/>
        </w:rPr>
      </w:pPr>
    </w:p>
    <w:tbl>
      <w:tblPr>
        <w:tblW w:w="4736" w:type="dxa"/>
        <w:jc w:val="center"/>
        <w:tblInd w:w="55" w:type="dxa"/>
        <w:tblCellMar>
          <w:left w:w="70" w:type="dxa"/>
          <w:right w:w="70" w:type="dxa"/>
        </w:tblCellMar>
        <w:tblLook w:val="04A0" w:firstRow="1" w:lastRow="0" w:firstColumn="1" w:lastColumn="0" w:noHBand="0" w:noVBand="1"/>
      </w:tblPr>
      <w:tblGrid>
        <w:gridCol w:w="2368"/>
        <w:gridCol w:w="2368"/>
      </w:tblGrid>
      <w:tr w:rsidR="002F2300" w:rsidRPr="00670830" w:rsidTr="00DA1B41">
        <w:trPr>
          <w:trHeight w:val="227"/>
          <w:jc w:val="center"/>
        </w:trPr>
        <w:tc>
          <w:tcPr>
            <w:tcW w:w="2368" w:type="dxa"/>
            <w:tcBorders>
              <w:top w:val="single" w:sz="4" w:space="0" w:color="0070C0"/>
              <w:left w:val="single" w:sz="4" w:space="0" w:color="0070C0"/>
              <w:bottom w:val="single" w:sz="4" w:space="0" w:color="0070C0"/>
              <w:right w:val="single" w:sz="4" w:space="0" w:color="0070C0"/>
            </w:tcBorders>
            <w:shd w:val="clear" w:color="000000" w:fill="DCE6F1"/>
            <w:noWrap/>
            <w:vAlign w:val="bottom"/>
            <w:hideMark/>
          </w:tcPr>
          <w:p w:rsidR="002F2300" w:rsidRPr="00670830" w:rsidRDefault="002F230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Nivel de confianza</w:t>
            </w:r>
          </w:p>
        </w:tc>
        <w:tc>
          <w:tcPr>
            <w:tcW w:w="2368" w:type="dxa"/>
            <w:tcBorders>
              <w:top w:val="single" w:sz="4" w:space="0" w:color="0070C0"/>
              <w:left w:val="nil"/>
              <w:bottom w:val="single" w:sz="4" w:space="0" w:color="0070C0"/>
              <w:right w:val="single" w:sz="4" w:space="0" w:color="0070C0"/>
            </w:tcBorders>
            <w:shd w:val="clear" w:color="000000" w:fill="DCE6F1"/>
            <w:noWrap/>
            <w:vAlign w:val="bottom"/>
            <w:hideMark/>
          </w:tcPr>
          <w:p w:rsidR="002F2300" w:rsidRPr="00670830" w:rsidRDefault="002F230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Valor tabla normal</w:t>
            </w:r>
          </w:p>
        </w:tc>
      </w:tr>
      <w:tr w:rsidR="002F2300" w:rsidRPr="00670830" w:rsidTr="00DA1B41">
        <w:trPr>
          <w:trHeight w:val="227"/>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2F2300" w:rsidRPr="00670830" w:rsidRDefault="002F230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w:t>
            </w:r>
          </w:p>
        </w:tc>
        <w:tc>
          <w:tcPr>
            <w:tcW w:w="2368" w:type="dxa"/>
            <w:tcBorders>
              <w:top w:val="nil"/>
              <w:left w:val="nil"/>
              <w:bottom w:val="single" w:sz="4" w:space="0" w:color="0070C0"/>
              <w:right w:val="single" w:sz="4" w:space="0" w:color="0070C0"/>
            </w:tcBorders>
            <w:shd w:val="clear" w:color="auto" w:fill="auto"/>
            <w:noWrap/>
            <w:vAlign w:val="bottom"/>
            <w:hideMark/>
          </w:tcPr>
          <w:p w:rsidR="002F2300" w:rsidRPr="00670830" w:rsidRDefault="002F230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2.33</w:t>
            </w:r>
          </w:p>
        </w:tc>
      </w:tr>
      <w:tr w:rsidR="002F2300" w:rsidRPr="00670830" w:rsidTr="00DA1B41">
        <w:trPr>
          <w:trHeight w:val="227"/>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2F2300" w:rsidRPr="00670830" w:rsidRDefault="002F230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2%</w:t>
            </w:r>
          </w:p>
        </w:tc>
        <w:tc>
          <w:tcPr>
            <w:tcW w:w="2368" w:type="dxa"/>
            <w:tcBorders>
              <w:top w:val="nil"/>
              <w:left w:val="nil"/>
              <w:bottom w:val="single" w:sz="4" w:space="0" w:color="0070C0"/>
              <w:right w:val="single" w:sz="4" w:space="0" w:color="0070C0"/>
            </w:tcBorders>
            <w:shd w:val="clear" w:color="auto" w:fill="auto"/>
            <w:noWrap/>
            <w:vAlign w:val="bottom"/>
            <w:hideMark/>
          </w:tcPr>
          <w:p w:rsidR="002F2300" w:rsidRPr="00670830" w:rsidRDefault="002F230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2.055</w:t>
            </w:r>
          </w:p>
        </w:tc>
      </w:tr>
      <w:tr w:rsidR="002F2300" w:rsidRPr="00670830" w:rsidTr="00DA1B41">
        <w:trPr>
          <w:trHeight w:val="227"/>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2F2300" w:rsidRPr="00670830" w:rsidRDefault="002F230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3%</w:t>
            </w:r>
          </w:p>
        </w:tc>
        <w:tc>
          <w:tcPr>
            <w:tcW w:w="2368" w:type="dxa"/>
            <w:tcBorders>
              <w:top w:val="nil"/>
              <w:left w:val="nil"/>
              <w:bottom w:val="single" w:sz="4" w:space="0" w:color="0070C0"/>
              <w:right w:val="single" w:sz="4" w:space="0" w:color="0070C0"/>
            </w:tcBorders>
            <w:shd w:val="clear" w:color="auto" w:fill="auto"/>
            <w:noWrap/>
            <w:vAlign w:val="bottom"/>
            <w:hideMark/>
          </w:tcPr>
          <w:p w:rsidR="002F2300" w:rsidRPr="00670830" w:rsidRDefault="002F230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1.88</w:t>
            </w:r>
          </w:p>
        </w:tc>
      </w:tr>
      <w:tr w:rsidR="002F2300" w:rsidRPr="00670830" w:rsidTr="00DA1B41">
        <w:trPr>
          <w:trHeight w:val="227"/>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2F2300" w:rsidRPr="00670830" w:rsidRDefault="002F230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4%</w:t>
            </w:r>
          </w:p>
        </w:tc>
        <w:tc>
          <w:tcPr>
            <w:tcW w:w="2368" w:type="dxa"/>
            <w:tcBorders>
              <w:top w:val="nil"/>
              <w:left w:val="nil"/>
              <w:bottom w:val="single" w:sz="4" w:space="0" w:color="0070C0"/>
              <w:right w:val="single" w:sz="4" w:space="0" w:color="0070C0"/>
            </w:tcBorders>
            <w:shd w:val="clear" w:color="auto" w:fill="auto"/>
            <w:noWrap/>
            <w:vAlign w:val="bottom"/>
            <w:hideMark/>
          </w:tcPr>
          <w:p w:rsidR="002F2300" w:rsidRPr="00670830" w:rsidRDefault="002F230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1.75</w:t>
            </w:r>
          </w:p>
        </w:tc>
      </w:tr>
      <w:tr w:rsidR="002F2300" w:rsidRPr="00670830" w:rsidTr="00DA1B41">
        <w:trPr>
          <w:trHeight w:val="227"/>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2F2300" w:rsidRPr="00670830" w:rsidRDefault="002F230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5%</w:t>
            </w:r>
          </w:p>
        </w:tc>
        <w:tc>
          <w:tcPr>
            <w:tcW w:w="2368" w:type="dxa"/>
            <w:tcBorders>
              <w:top w:val="nil"/>
              <w:left w:val="nil"/>
              <w:bottom w:val="single" w:sz="4" w:space="0" w:color="0070C0"/>
              <w:right w:val="single" w:sz="4" w:space="0" w:color="0070C0"/>
            </w:tcBorders>
            <w:shd w:val="clear" w:color="auto" w:fill="auto"/>
            <w:noWrap/>
            <w:vAlign w:val="bottom"/>
            <w:hideMark/>
          </w:tcPr>
          <w:p w:rsidR="002F2300" w:rsidRPr="00670830" w:rsidRDefault="002F230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1.645</w:t>
            </w:r>
          </w:p>
        </w:tc>
      </w:tr>
      <w:tr w:rsidR="002F2300" w:rsidRPr="00670830" w:rsidTr="00DA1B41">
        <w:trPr>
          <w:trHeight w:val="227"/>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2F2300" w:rsidRPr="00670830" w:rsidRDefault="002F230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6%</w:t>
            </w:r>
          </w:p>
        </w:tc>
        <w:tc>
          <w:tcPr>
            <w:tcW w:w="2368" w:type="dxa"/>
            <w:tcBorders>
              <w:top w:val="nil"/>
              <w:left w:val="nil"/>
              <w:bottom w:val="single" w:sz="4" w:space="0" w:color="0070C0"/>
              <w:right w:val="single" w:sz="4" w:space="0" w:color="0070C0"/>
            </w:tcBorders>
            <w:shd w:val="clear" w:color="auto" w:fill="auto"/>
            <w:noWrap/>
            <w:vAlign w:val="bottom"/>
            <w:hideMark/>
          </w:tcPr>
          <w:p w:rsidR="002F2300" w:rsidRPr="00670830" w:rsidRDefault="002F230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1.555</w:t>
            </w:r>
          </w:p>
        </w:tc>
      </w:tr>
      <w:tr w:rsidR="002F2300" w:rsidRPr="00670830" w:rsidTr="00DA1B41">
        <w:trPr>
          <w:trHeight w:val="227"/>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2F2300" w:rsidRPr="00670830" w:rsidRDefault="002F230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7%</w:t>
            </w:r>
          </w:p>
        </w:tc>
        <w:tc>
          <w:tcPr>
            <w:tcW w:w="2368" w:type="dxa"/>
            <w:tcBorders>
              <w:top w:val="nil"/>
              <w:left w:val="nil"/>
              <w:bottom w:val="single" w:sz="4" w:space="0" w:color="0070C0"/>
              <w:right w:val="single" w:sz="4" w:space="0" w:color="0070C0"/>
            </w:tcBorders>
            <w:shd w:val="clear" w:color="auto" w:fill="auto"/>
            <w:noWrap/>
            <w:vAlign w:val="bottom"/>
            <w:hideMark/>
          </w:tcPr>
          <w:p w:rsidR="002F2300" w:rsidRPr="00670830" w:rsidRDefault="002F230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1.475</w:t>
            </w:r>
          </w:p>
        </w:tc>
      </w:tr>
      <w:tr w:rsidR="002F2300" w:rsidRPr="00670830" w:rsidTr="00DA1B41">
        <w:trPr>
          <w:trHeight w:val="227"/>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2F2300" w:rsidRPr="00670830" w:rsidRDefault="002F230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8%</w:t>
            </w:r>
          </w:p>
        </w:tc>
        <w:tc>
          <w:tcPr>
            <w:tcW w:w="2368" w:type="dxa"/>
            <w:tcBorders>
              <w:top w:val="nil"/>
              <w:left w:val="nil"/>
              <w:bottom w:val="single" w:sz="4" w:space="0" w:color="0070C0"/>
              <w:right w:val="single" w:sz="4" w:space="0" w:color="0070C0"/>
            </w:tcBorders>
            <w:shd w:val="clear" w:color="auto" w:fill="auto"/>
            <w:noWrap/>
            <w:vAlign w:val="bottom"/>
            <w:hideMark/>
          </w:tcPr>
          <w:p w:rsidR="002F2300" w:rsidRPr="00670830" w:rsidRDefault="002F230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1.405</w:t>
            </w:r>
          </w:p>
        </w:tc>
      </w:tr>
      <w:tr w:rsidR="002F2300" w:rsidRPr="00670830" w:rsidTr="00DA1B41">
        <w:trPr>
          <w:trHeight w:val="227"/>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2F2300" w:rsidRPr="00670830" w:rsidRDefault="002F230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9%</w:t>
            </w:r>
          </w:p>
        </w:tc>
        <w:tc>
          <w:tcPr>
            <w:tcW w:w="2368" w:type="dxa"/>
            <w:tcBorders>
              <w:top w:val="nil"/>
              <w:left w:val="nil"/>
              <w:bottom w:val="single" w:sz="4" w:space="0" w:color="0070C0"/>
              <w:right w:val="single" w:sz="4" w:space="0" w:color="0070C0"/>
            </w:tcBorders>
            <w:shd w:val="clear" w:color="auto" w:fill="auto"/>
            <w:noWrap/>
            <w:vAlign w:val="bottom"/>
            <w:hideMark/>
          </w:tcPr>
          <w:p w:rsidR="002F2300" w:rsidRPr="00670830" w:rsidRDefault="002F230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1.34</w:t>
            </w:r>
          </w:p>
        </w:tc>
      </w:tr>
      <w:tr w:rsidR="002F2300" w:rsidRPr="00670830" w:rsidTr="00DA1B41">
        <w:trPr>
          <w:trHeight w:val="227"/>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2F2300" w:rsidRPr="00670830" w:rsidRDefault="002F230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10%</w:t>
            </w:r>
          </w:p>
        </w:tc>
        <w:tc>
          <w:tcPr>
            <w:tcW w:w="2368" w:type="dxa"/>
            <w:tcBorders>
              <w:top w:val="nil"/>
              <w:left w:val="nil"/>
              <w:bottom w:val="single" w:sz="4" w:space="0" w:color="0070C0"/>
              <w:right w:val="single" w:sz="4" w:space="0" w:color="0070C0"/>
            </w:tcBorders>
            <w:shd w:val="clear" w:color="auto" w:fill="auto"/>
            <w:noWrap/>
            <w:vAlign w:val="bottom"/>
            <w:hideMark/>
          </w:tcPr>
          <w:p w:rsidR="002F2300" w:rsidRPr="00670830" w:rsidRDefault="002F230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1.285</w:t>
            </w:r>
          </w:p>
        </w:tc>
      </w:tr>
    </w:tbl>
    <w:p w:rsidR="00AC4EDA" w:rsidRPr="00670830" w:rsidRDefault="00AC4ED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En cuanto el nivel de significancia vaya incrementando (1-α), aumentará también el </w:t>
      </w:r>
      <w:proofErr w:type="spellStart"/>
      <w:r w:rsidRPr="00670830">
        <w:rPr>
          <w:rFonts w:ascii="Arial" w:eastAsia="Arial Unicode MS" w:hAnsi="Arial" w:cs="Arial"/>
          <w:sz w:val="24"/>
          <w:szCs w:val="24"/>
        </w:rPr>
        <w:t>VaR</w:t>
      </w:r>
      <w:proofErr w:type="spellEnd"/>
      <w:r w:rsidRPr="00670830">
        <w:rPr>
          <w:rFonts w:ascii="Arial" w:eastAsia="Arial Unicode MS" w:hAnsi="Arial" w:cs="Arial"/>
          <w:sz w:val="24"/>
          <w:szCs w:val="24"/>
        </w:rPr>
        <w:t xml:space="preserve"> y la aversión al riesgo, y a su vez esto implicará pérdidas que requieran cantidades mayores de capital para ser cubiertas.</w:t>
      </w:r>
    </w:p>
    <w:p w:rsidR="00162A85" w:rsidRPr="00670830" w:rsidRDefault="00162A85" w:rsidP="00670830">
      <w:pPr>
        <w:spacing w:before="100" w:beforeAutospacing="1" w:after="100" w:afterAutospacing="1" w:line="360" w:lineRule="auto"/>
        <w:jc w:val="both"/>
        <w:rPr>
          <w:rFonts w:ascii="Arial" w:eastAsia="Arial Unicode MS" w:hAnsi="Arial" w:cs="Arial"/>
          <w:sz w:val="24"/>
          <w:szCs w:val="24"/>
        </w:rPr>
      </w:pPr>
    </w:p>
    <w:p w:rsidR="00D042B7" w:rsidRPr="00670830" w:rsidRDefault="0067258A" w:rsidP="00670830">
      <w:pPr>
        <w:pStyle w:val="Ttulo3"/>
        <w:numPr>
          <w:ilvl w:val="2"/>
          <w:numId w:val="3"/>
        </w:numPr>
        <w:spacing w:before="100" w:beforeAutospacing="1" w:after="100" w:afterAutospacing="1" w:line="360" w:lineRule="auto"/>
        <w:ind w:left="567" w:hanging="567"/>
        <w:jc w:val="both"/>
        <w:rPr>
          <w:rFonts w:ascii="Arial" w:eastAsia="Arial Unicode MS" w:hAnsi="Arial" w:cs="Arial"/>
          <w:color w:val="auto"/>
          <w:sz w:val="24"/>
          <w:szCs w:val="24"/>
        </w:rPr>
      </w:pPr>
      <w:bookmarkStart w:id="40" w:name="_Toc488230517"/>
      <w:r w:rsidRPr="00670830">
        <w:rPr>
          <w:rFonts w:ascii="Arial" w:eastAsia="Arial Unicode MS" w:hAnsi="Arial" w:cs="Arial"/>
          <w:color w:val="auto"/>
          <w:sz w:val="24"/>
          <w:szCs w:val="24"/>
        </w:rPr>
        <w:t>Cartera diversificada</w:t>
      </w:r>
      <w:r w:rsidR="00D042B7" w:rsidRPr="00670830">
        <w:rPr>
          <w:rFonts w:ascii="Arial" w:eastAsia="Arial Unicode MS" w:hAnsi="Arial" w:cs="Arial"/>
          <w:color w:val="auto"/>
          <w:sz w:val="24"/>
          <w:szCs w:val="24"/>
        </w:rPr>
        <w:t xml:space="preserve"> científicamente</w:t>
      </w:r>
      <w:bookmarkEnd w:id="40"/>
    </w:p>
    <w:p w:rsidR="00AC4EDA" w:rsidRPr="00670830" w:rsidRDefault="00AC4ED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Consideraremos una inversión inicial de $1</w:t>
      </w:r>
      <w:proofErr w:type="gramStart"/>
      <w:r w:rsidRPr="00670830">
        <w:rPr>
          <w:rFonts w:ascii="Arial" w:eastAsia="Arial Unicode MS" w:hAnsi="Arial" w:cs="Arial"/>
          <w:sz w:val="24"/>
          <w:szCs w:val="24"/>
        </w:rPr>
        <w:t>,000,000.00</w:t>
      </w:r>
      <w:proofErr w:type="gramEnd"/>
      <w:r w:rsidRPr="00670830">
        <w:rPr>
          <w:rFonts w:ascii="Arial" w:eastAsia="Arial Unicode MS" w:hAnsi="Arial" w:cs="Arial"/>
          <w:sz w:val="24"/>
          <w:szCs w:val="24"/>
        </w:rPr>
        <w:t xml:space="preserve"> (un millón de pesos 00/100 M.N.)</w:t>
      </w:r>
    </w:p>
    <w:p w:rsidR="00AC4EDA" w:rsidRPr="00670830" w:rsidRDefault="00AC4EDA"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w:t>
      </w:r>
      <w:r w:rsidR="0067258A" w:rsidRPr="00670830">
        <w:rPr>
          <w:rFonts w:ascii="Arial" w:eastAsia="Arial Unicode MS" w:hAnsi="Arial" w:cs="Arial"/>
          <w:sz w:val="24"/>
          <w:szCs w:val="24"/>
        </w:rPr>
        <w:t xml:space="preserve">l cálculo del </w:t>
      </w:r>
      <w:proofErr w:type="spellStart"/>
      <w:r w:rsidR="0067258A" w:rsidRPr="00670830">
        <w:rPr>
          <w:rFonts w:ascii="Arial" w:eastAsia="Arial Unicode MS" w:hAnsi="Arial" w:cs="Arial"/>
          <w:sz w:val="24"/>
          <w:szCs w:val="24"/>
        </w:rPr>
        <w:t>VaR</w:t>
      </w:r>
      <w:proofErr w:type="spellEnd"/>
      <w:r w:rsidR="0067258A" w:rsidRPr="00670830">
        <w:rPr>
          <w:rFonts w:ascii="Arial" w:eastAsia="Arial Unicode MS" w:hAnsi="Arial" w:cs="Arial"/>
          <w:sz w:val="24"/>
          <w:szCs w:val="24"/>
        </w:rPr>
        <w:t xml:space="preserve"> de nuestra cartera científicamente diversificada</w:t>
      </w:r>
      <w:r w:rsidRPr="00670830">
        <w:rPr>
          <w:rFonts w:ascii="Arial" w:eastAsia="Arial Unicode MS" w:hAnsi="Arial" w:cs="Arial"/>
          <w:sz w:val="24"/>
          <w:szCs w:val="24"/>
        </w:rPr>
        <w:t xml:space="preserve"> s</w:t>
      </w:r>
      <w:r w:rsidR="006B5A7A" w:rsidRPr="00670830">
        <w:rPr>
          <w:rFonts w:ascii="Arial" w:eastAsia="Arial Unicode MS" w:hAnsi="Arial" w:cs="Arial"/>
          <w:sz w:val="24"/>
          <w:szCs w:val="24"/>
        </w:rPr>
        <w:t>e muestra en la siguiente tabla:</w:t>
      </w:r>
    </w:p>
    <w:tbl>
      <w:tblPr>
        <w:tblW w:w="7078" w:type="dxa"/>
        <w:jc w:val="center"/>
        <w:tblInd w:w="55" w:type="dxa"/>
        <w:tblCellMar>
          <w:left w:w="70" w:type="dxa"/>
          <w:right w:w="70" w:type="dxa"/>
        </w:tblCellMar>
        <w:tblLook w:val="04A0" w:firstRow="1" w:lastRow="0" w:firstColumn="1" w:lastColumn="0" w:noHBand="0" w:noVBand="1"/>
      </w:tblPr>
      <w:tblGrid>
        <w:gridCol w:w="2368"/>
        <w:gridCol w:w="1274"/>
        <w:gridCol w:w="3436"/>
      </w:tblGrid>
      <w:tr w:rsidR="006B5A7A" w:rsidRPr="00670830" w:rsidTr="00DA1B41">
        <w:trPr>
          <w:trHeight w:val="113"/>
          <w:jc w:val="center"/>
        </w:trPr>
        <w:tc>
          <w:tcPr>
            <w:tcW w:w="2368" w:type="dxa"/>
            <w:tcBorders>
              <w:top w:val="single" w:sz="4" w:space="0" w:color="0070C0"/>
              <w:left w:val="single" w:sz="4" w:space="0" w:color="0070C0"/>
              <w:bottom w:val="single" w:sz="4" w:space="0" w:color="0070C0"/>
              <w:right w:val="single" w:sz="4" w:space="0" w:color="0070C0"/>
            </w:tcBorders>
            <w:shd w:val="clear" w:color="000000" w:fill="DCE6F1"/>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Nivel de confianza</w:t>
            </w:r>
          </w:p>
        </w:tc>
        <w:tc>
          <w:tcPr>
            <w:tcW w:w="1274" w:type="dxa"/>
            <w:tcBorders>
              <w:top w:val="single" w:sz="4" w:space="0" w:color="0070C0"/>
              <w:left w:val="nil"/>
              <w:bottom w:val="single" w:sz="4" w:space="0" w:color="0070C0"/>
              <w:right w:val="single" w:sz="4" w:space="0" w:color="0070C0"/>
            </w:tcBorders>
            <w:shd w:val="clear" w:color="000000" w:fill="DCE6F1"/>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proofErr w:type="spellStart"/>
            <w:r w:rsidRPr="00670830">
              <w:rPr>
                <w:rFonts w:ascii="Arial" w:eastAsia="Arial Unicode MS" w:hAnsi="Arial" w:cs="Arial"/>
                <w:b/>
                <w:bCs/>
                <w:color w:val="000000"/>
                <w:sz w:val="24"/>
                <w:szCs w:val="24"/>
                <w:lang w:eastAsia="es-MX"/>
              </w:rPr>
              <w:t>VaR</w:t>
            </w:r>
            <w:proofErr w:type="spellEnd"/>
          </w:p>
        </w:tc>
        <w:tc>
          <w:tcPr>
            <w:tcW w:w="3436" w:type="dxa"/>
            <w:tcBorders>
              <w:top w:val="single" w:sz="4" w:space="0" w:color="0070C0"/>
              <w:left w:val="nil"/>
              <w:bottom w:val="single" w:sz="4" w:space="0" w:color="0070C0"/>
              <w:right w:val="single" w:sz="4" w:space="0" w:color="0070C0"/>
            </w:tcBorders>
            <w:shd w:val="clear" w:color="000000" w:fill="DCE6F1"/>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Inversión inicial: $1,000,000</w:t>
            </w:r>
          </w:p>
        </w:tc>
      </w:tr>
      <w:tr w:rsidR="006B5A7A" w:rsidRPr="00670830" w:rsidTr="00DA1B41">
        <w:trPr>
          <w:trHeight w:val="113"/>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w:t>
            </w:r>
          </w:p>
        </w:tc>
        <w:tc>
          <w:tcPr>
            <w:tcW w:w="1274" w:type="dxa"/>
            <w:tcBorders>
              <w:top w:val="nil"/>
              <w:left w:val="nil"/>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0.01177</w:t>
            </w:r>
          </w:p>
        </w:tc>
        <w:tc>
          <w:tcPr>
            <w:tcW w:w="3436" w:type="dxa"/>
            <w:tcBorders>
              <w:top w:val="nil"/>
              <w:left w:val="nil"/>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11,766.97</w:t>
            </w:r>
          </w:p>
        </w:tc>
      </w:tr>
      <w:tr w:rsidR="006B5A7A" w:rsidRPr="00670830" w:rsidTr="00DA1B41">
        <w:trPr>
          <w:trHeight w:val="113"/>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2%</w:t>
            </w:r>
          </w:p>
        </w:tc>
        <w:tc>
          <w:tcPr>
            <w:tcW w:w="1274" w:type="dxa"/>
            <w:tcBorders>
              <w:top w:val="nil"/>
              <w:left w:val="nil"/>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0.01105</w:t>
            </w:r>
          </w:p>
        </w:tc>
        <w:tc>
          <w:tcPr>
            <w:tcW w:w="3436" w:type="dxa"/>
            <w:tcBorders>
              <w:top w:val="nil"/>
              <w:left w:val="nil"/>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11,050.78</w:t>
            </w:r>
          </w:p>
        </w:tc>
      </w:tr>
      <w:tr w:rsidR="006B5A7A" w:rsidRPr="00670830" w:rsidTr="00DA1B41">
        <w:trPr>
          <w:trHeight w:val="113"/>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3%</w:t>
            </w:r>
          </w:p>
        </w:tc>
        <w:tc>
          <w:tcPr>
            <w:tcW w:w="1274" w:type="dxa"/>
            <w:tcBorders>
              <w:top w:val="nil"/>
              <w:left w:val="nil"/>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0.01057</w:t>
            </w:r>
          </w:p>
        </w:tc>
        <w:tc>
          <w:tcPr>
            <w:tcW w:w="3436" w:type="dxa"/>
            <w:tcBorders>
              <w:top w:val="nil"/>
              <w:left w:val="nil"/>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10,569.78</w:t>
            </w:r>
          </w:p>
        </w:tc>
      </w:tr>
      <w:tr w:rsidR="006B5A7A" w:rsidRPr="00670830" w:rsidTr="00DA1B41">
        <w:trPr>
          <w:trHeight w:val="113"/>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4%</w:t>
            </w:r>
          </w:p>
        </w:tc>
        <w:tc>
          <w:tcPr>
            <w:tcW w:w="1274" w:type="dxa"/>
            <w:tcBorders>
              <w:top w:val="nil"/>
              <w:left w:val="nil"/>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0.01020</w:t>
            </w:r>
          </w:p>
        </w:tc>
        <w:tc>
          <w:tcPr>
            <w:tcW w:w="3436" w:type="dxa"/>
            <w:tcBorders>
              <w:top w:val="nil"/>
              <w:left w:val="nil"/>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10,197.79</w:t>
            </w:r>
          </w:p>
        </w:tc>
      </w:tr>
      <w:tr w:rsidR="006B5A7A" w:rsidRPr="00670830" w:rsidTr="00DA1B41">
        <w:trPr>
          <w:trHeight w:val="113"/>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5%</w:t>
            </w:r>
          </w:p>
        </w:tc>
        <w:tc>
          <w:tcPr>
            <w:tcW w:w="1274" w:type="dxa"/>
            <w:tcBorders>
              <w:top w:val="nil"/>
              <w:left w:val="nil"/>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0.00989</w:t>
            </w:r>
          </w:p>
        </w:tc>
        <w:tc>
          <w:tcPr>
            <w:tcW w:w="3436" w:type="dxa"/>
            <w:tcBorders>
              <w:top w:val="nil"/>
              <w:left w:val="nil"/>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9,887.12</w:t>
            </w:r>
          </w:p>
        </w:tc>
      </w:tr>
      <w:tr w:rsidR="006B5A7A" w:rsidRPr="00670830" w:rsidTr="00DA1B41">
        <w:trPr>
          <w:trHeight w:val="113"/>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6%</w:t>
            </w:r>
          </w:p>
        </w:tc>
        <w:tc>
          <w:tcPr>
            <w:tcW w:w="1274" w:type="dxa"/>
            <w:tcBorders>
              <w:top w:val="nil"/>
              <w:left w:val="nil"/>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0.00961</w:t>
            </w:r>
          </w:p>
        </w:tc>
        <w:tc>
          <w:tcPr>
            <w:tcW w:w="3436" w:type="dxa"/>
            <w:tcBorders>
              <w:top w:val="nil"/>
              <w:left w:val="nil"/>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9,612.85</w:t>
            </w:r>
          </w:p>
        </w:tc>
      </w:tr>
      <w:tr w:rsidR="006B5A7A" w:rsidRPr="00670830" w:rsidTr="00DA1B41">
        <w:trPr>
          <w:trHeight w:val="113"/>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7%</w:t>
            </w:r>
          </w:p>
        </w:tc>
        <w:tc>
          <w:tcPr>
            <w:tcW w:w="1274" w:type="dxa"/>
            <w:tcBorders>
              <w:top w:val="nil"/>
              <w:left w:val="nil"/>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0.00936</w:t>
            </w:r>
          </w:p>
        </w:tc>
        <w:tc>
          <w:tcPr>
            <w:tcW w:w="3436" w:type="dxa"/>
            <w:tcBorders>
              <w:top w:val="nil"/>
              <w:left w:val="nil"/>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9,362.31</w:t>
            </w:r>
          </w:p>
        </w:tc>
      </w:tr>
      <w:tr w:rsidR="006B5A7A" w:rsidRPr="00670830" w:rsidTr="00DA1B41">
        <w:trPr>
          <w:trHeight w:val="113"/>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8%</w:t>
            </w:r>
          </w:p>
        </w:tc>
        <w:tc>
          <w:tcPr>
            <w:tcW w:w="1274" w:type="dxa"/>
            <w:tcBorders>
              <w:top w:val="nil"/>
              <w:left w:val="nil"/>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0.00914</w:t>
            </w:r>
          </w:p>
        </w:tc>
        <w:tc>
          <w:tcPr>
            <w:tcW w:w="3436" w:type="dxa"/>
            <w:tcBorders>
              <w:top w:val="nil"/>
              <w:left w:val="nil"/>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9,137.45</w:t>
            </w:r>
          </w:p>
        </w:tc>
      </w:tr>
      <w:tr w:rsidR="006B5A7A" w:rsidRPr="00670830" w:rsidTr="00DA1B41">
        <w:trPr>
          <w:trHeight w:val="113"/>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9%</w:t>
            </w:r>
          </w:p>
        </w:tc>
        <w:tc>
          <w:tcPr>
            <w:tcW w:w="1274" w:type="dxa"/>
            <w:tcBorders>
              <w:top w:val="nil"/>
              <w:left w:val="nil"/>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0.00892</w:t>
            </w:r>
          </w:p>
        </w:tc>
        <w:tc>
          <w:tcPr>
            <w:tcW w:w="3436" w:type="dxa"/>
            <w:tcBorders>
              <w:top w:val="nil"/>
              <w:left w:val="nil"/>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8,923.58</w:t>
            </w:r>
          </w:p>
        </w:tc>
      </w:tr>
      <w:tr w:rsidR="006B5A7A" w:rsidRPr="00670830" w:rsidTr="00DA1B41">
        <w:trPr>
          <w:trHeight w:val="113"/>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10%</w:t>
            </w:r>
          </w:p>
        </w:tc>
        <w:tc>
          <w:tcPr>
            <w:tcW w:w="1274" w:type="dxa"/>
            <w:tcBorders>
              <w:top w:val="nil"/>
              <w:left w:val="nil"/>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0.00874</w:t>
            </w:r>
          </w:p>
        </w:tc>
        <w:tc>
          <w:tcPr>
            <w:tcW w:w="3436" w:type="dxa"/>
            <w:tcBorders>
              <w:top w:val="nil"/>
              <w:left w:val="nil"/>
              <w:bottom w:val="single" w:sz="4" w:space="0" w:color="0070C0"/>
              <w:right w:val="single" w:sz="4" w:space="0" w:color="0070C0"/>
            </w:tcBorders>
            <w:shd w:val="clear" w:color="auto" w:fill="auto"/>
            <w:noWrap/>
            <w:vAlign w:val="bottom"/>
            <w:hideMark/>
          </w:tcPr>
          <w:p w:rsidR="006B5A7A" w:rsidRPr="00670830" w:rsidRDefault="006B5A7A"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8,738.53</w:t>
            </w:r>
          </w:p>
        </w:tc>
      </w:tr>
    </w:tbl>
    <w:p w:rsidR="00AC4EDA" w:rsidRPr="00670830" w:rsidRDefault="00AC4EDA" w:rsidP="00670830">
      <w:pPr>
        <w:spacing w:before="100" w:beforeAutospacing="1" w:after="100" w:afterAutospacing="1" w:line="360" w:lineRule="auto"/>
        <w:rPr>
          <w:rFonts w:ascii="Arial" w:eastAsia="Arial Unicode MS" w:hAnsi="Arial" w:cs="Arial"/>
          <w:sz w:val="24"/>
          <w:szCs w:val="24"/>
        </w:rPr>
      </w:pPr>
    </w:p>
    <w:p w:rsidR="00D042B7" w:rsidRPr="00670830" w:rsidRDefault="0067258A" w:rsidP="00670830">
      <w:pPr>
        <w:pStyle w:val="Ttulo3"/>
        <w:numPr>
          <w:ilvl w:val="2"/>
          <w:numId w:val="3"/>
        </w:numPr>
        <w:spacing w:before="100" w:beforeAutospacing="1" w:after="100" w:afterAutospacing="1" w:line="360" w:lineRule="auto"/>
        <w:ind w:left="567" w:hanging="567"/>
        <w:jc w:val="both"/>
        <w:rPr>
          <w:rFonts w:ascii="Arial" w:eastAsia="Arial Unicode MS" w:hAnsi="Arial" w:cs="Arial"/>
          <w:color w:val="auto"/>
          <w:sz w:val="24"/>
          <w:szCs w:val="24"/>
        </w:rPr>
      </w:pPr>
      <w:bookmarkStart w:id="41" w:name="_Toc488230518"/>
      <w:r w:rsidRPr="00670830">
        <w:rPr>
          <w:rFonts w:ascii="Arial" w:eastAsia="Arial Unicode MS" w:hAnsi="Arial" w:cs="Arial"/>
          <w:color w:val="auto"/>
          <w:sz w:val="24"/>
          <w:szCs w:val="24"/>
        </w:rPr>
        <w:t>Cartera diversificada</w:t>
      </w:r>
      <w:r w:rsidR="00D042B7" w:rsidRPr="00670830">
        <w:rPr>
          <w:rFonts w:ascii="Arial" w:eastAsia="Arial Unicode MS" w:hAnsi="Arial" w:cs="Arial"/>
          <w:color w:val="auto"/>
          <w:sz w:val="24"/>
          <w:szCs w:val="24"/>
        </w:rPr>
        <w:t xml:space="preserve"> aleatoriamente</w:t>
      </w:r>
      <w:bookmarkEnd w:id="41"/>
    </w:p>
    <w:p w:rsidR="006760B4" w:rsidRPr="00670830" w:rsidRDefault="006760B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Considerando la misma inversión inicial de $1</w:t>
      </w:r>
      <w:proofErr w:type="gramStart"/>
      <w:r w:rsidRPr="00670830">
        <w:rPr>
          <w:rFonts w:ascii="Arial" w:eastAsia="Arial Unicode MS" w:hAnsi="Arial" w:cs="Arial"/>
          <w:sz w:val="24"/>
          <w:szCs w:val="24"/>
        </w:rPr>
        <w:t>,000,000.00</w:t>
      </w:r>
      <w:proofErr w:type="gramEnd"/>
      <w:r w:rsidRPr="00670830">
        <w:rPr>
          <w:rFonts w:ascii="Arial" w:eastAsia="Arial Unicode MS" w:hAnsi="Arial" w:cs="Arial"/>
          <w:sz w:val="24"/>
          <w:szCs w:val="24"/>
        </w:rPr>
        <w:t xml:space="preserve"> (un millón de pesos 00/100 M.N.)</w:t>
      </w:r>
    </w:p>
    <w:p w:rsidR="000B0550" w:rsidRPr="00670830" w:rsidRDefault="006760B4"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cálcu</w:t>
      </w:r>
      <w:r w:rsidR="0067258A" w:rsidRPr="00670830">
        <w:rPr>
          <w:rFonts w:ascii="Arial" w:eastAsia="Arial Unicode MS" w:hAnsi="Arial" w:cs="Arial"/>
          <w:sz w:val="24"/>
          <w:szCs w:val="24"/>
        </w:rPr>
        <w:t xml:space="preserve">lo del </w:t>
      </w:r>
      <w:proofErr w:type="spellStart"/>
      <w:r w:rsidR="0067258A" w:rsidRPr="00670830">
        <w:rPr>
          <w:rFonts w:ascii="Arial" w:eastAsia="Arial Unicode MS" w:hAnsi="Arial" w:cs="Arial"/>
          <w:sz w:val="24"/>
          <w:szCs w:val="24"/>
        </w:rPr>
        <w:t>VaR</w:t>
      </w:r>
      <w:proofErr w:type="spellEnd"/>
      <w:r w:rsidR="0067258A" w:rsidRPr="00670830">
        <w:rPr>
          <w:rFonts w:ascii="Arial" w:eastAsia="Arial Unicode MS" w:hAnsi="Arial" w:cs="Arial"/>
          <w:sz w:val="24"/>
          <w:szCs w:val="24"/>
        </w:rPr>
        <w:t xml:space="preserve"> de nuestra cartera aleatoria</w:t>
      </w:r>
      <w:r w:rsidRPr="00670830">
        <w:rPr>
          <w:rFonts w:ascii="Arial" w:eastAsia="Arial Unicode MS" w:hAnsi="Arial" w:cs="Arial"/>
          <w:sz w:val="24"/>
          <w:szCs w:val="24"/>
        </w:rPr>
        <w:t xml:space="preserve"> es de</w:t>
      </w:r>
      <w:r w:rsidR="000B0550" w:rsidRPr="00670830">
        <w:rPr>
          <w:rFonts w:ascii="Arial" w:eastAsia="Arial Unicode MS" w:hAnsi="Arial" w:cs="Arial"/>
          <w:sz w:val="24"/>
          <w:szCs w:val="24"/>
        </w:rPr>
        <w:t>:</w:t>
      </w:r>
    </w:p>
    <w:tbl>
      <w:tblPr>
        <w:tblW w:w="7034" w:type="dxa"/>
        <w:jc w:val="center"/>
        <w:tblInd w:w="55" w:type="dxa"/>
        <w:tblCellMar>
          <w:left w:w="70" w:type="dxa"/>
          <w:right w:w="70" w:type="dxa"/>
        </w:tblCellMar>
        <w:tblLook w:val="04A0" w:firstRow="1" w:lastRow="0" w:firstColumn="1" w:lastColumn="0" w:noHBand="0" w:noVBand="1"/>
      </w:tblPr>
      <w:tblGrid>
        <w:gridCol w:w="2368"/>
        <w:gridCol w:w="1230"/>
        <w:gridCol w:w="3436"/>
      </w:tblGrid>
      <w:tr w:rsidR="000B0550" w:rsidRPr="00670830" w:rsidTr="00DA1B41">
        <w:trPr>
          <w:trHeight w:val="20"/>
          <w:jc w:val="center"/>
        </w:trPr>
        <w:tc>
          <w:tcPr>
            <w:tcW w:w="2368" w:type="dxa"/>
            <w:tcBorders>
              <w:top w:val="single" w:sz="4" w:space="0" w:color="0070C0"/>
              <w:left w:val="single" w:sz="4" w:space="0" w:color="0070C0"/>
              <w:bottom w:val="single" w:sz="4" w:space="0" w:color="0070C0"/>
              <w:right w:val="single" w:sz="4" w:space="0" w:color="0070C0"/>
            </w:tcBorders>
            <w:shd w:val="clear" w:color="000000" w:fill="DCE6F1"/>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Nivel de confianza</w:t>
            </w:r>
          </w:p>
        </w:tc>
        <w:tc>
          <w:tcPr>
            <w:tcW w:w="1230" w:type="dxa"/>
            <w:tcBorders>
              <w:top w:val="single" w:sz="4" w:space="0" w:color="0070C0"/>
              <w:left w:val="nil"/>
              <w:bottom w:val="single" w:sz="4" w:space="0" w:color="0070C0"/>
              <w:right w:val="single" w:sz="4" w:space="0" w:color="0070C0"/>
            </w:tcBorders>
            <w:shd w:val="clear" w:color="000000" w:fill="DCE6F1"/>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proofErr w:type="spellStart"/>
            <w:r w:rsidRPr="00670830">
              <w:rPr>
                <w:rFonts w:ascii="Arial" w:eastAsia="Arial Unicode MS" w:hAnsi="Arial" w:cs="Arial"/>
                <w:b/>
                <w:bCs/>
                <w:color w:val="000000"/>
                <w:sz w:val="24"/>
                <w:szCs w:val="24"/>
                <w:lang w:eastAsia="es-MX"/>
              </w:rPr>
              <w:t>VaR</w:t>
            </w:r>
            <w:proofErr w:type="spellEnd"/>
          </w:p>
        </w:tc>
        <w:tc>
          <w:tcPr>
            <w:tcW w:w="3436" w:type="dxa"/>
            <w:tcBorders>
              <w:top w:val="single" w:sz="4" w:space="0" w:color="0070C0"/>
              <w:left w:val="nil"/>
              <w:bottom w:val="single" w:sz="4" w:space="0" w:color="0070C0"/>
              <w:right w:val="single" w:sz="4" w:space="0" w:color="0070C0"/>
            </w:tcBorders>
            <w:shd w:val="clear" w:color="000000" w:fill="DCE6F1"/>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Inversión inicial: $1,000,000</w:t>
            </w:r>
          </w:p>
        </w:tc>
      </w:tr>
      <w:tr w:rsidR="000B0550" w:rsidRPr="00670830" w:rsidTr="00DA1B41">
        <w:trPr>
          <w:trHeight w:val="20"/>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w:t>
            </w:r>
          </w:p>
        </w:tc>
        <w:tc>
          <w:tcPr>
            <w:tcW w:w="1230" w:type="dxa"/>
            <w:tcBorders>
              <w:top w:val="nil"/>
              <w:left w:val="nil"/>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0.01541</w:t>
            </w:r>
          </w:p>
        </w:tc>
        <w:tc>
          <w:tcPr>
            <w:tcW w:w="3436" w:type="dxa"/>
            <w:tcBorders>
              <w:top w:val="nil"/>
              <w:left w:val="nil"/>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15,408.11</w:t>
            </w:r>
          </w:p>
        </w:tc>
      </w:tr>
      <w:tr w:rsidR="000B0550" w:rsidRPr="00670830" w:rsidTr="00DA1B41">
        <w:trPr>
          <w:trHeight w:val="20"/>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2%</w:t>
            </w:r>
          </w:p>
        </w:tc>
        <w:tc>
          <w:tcPr>
            <w:tcW w:w="1230" w:type="dxa"/>
            <w:tcBorders>
              <w:top w:val="nil"/>
              <w:left w:val="nil"/>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0.01447</w:t>
            </w:r>
          </w:p>
        </w:tc>
        <w:tc>
          <w:tcPr>
            <w:tcW w:w="3436" w:type="dxa"/>
            <w:tcBorders>
              <w:top w:val="nil"/>
              <w:left w:val="nil"/>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14,470.29</w:t>
            </w:r>
          </w:p>
        </w:tc>
      </w:tr>
      <w:tr w:rsidR="000B0550" w:rsidRPr="00670830" w:rsidTr="00DA1B41">
        <w:trPr>
          <w:trHeight w:val="20"/>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3%</w:t>
            </w:r>
          </w:p>
        </w:tc>
        <w:tc>
          <w:tcPr>
            <w:tcW w:w="1230" w:type="dxa"/>
            <w:tcBorders>
              <w:top w:val="nil"/>
              <w:left w:val="nil"/>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0.01384</w:t>
            </w:r>
          </w:p>
        </w:tc>
        <w:tc>
          <w:tcPr>
            <w:tcW w:w="3436" w:type="dxa"/>
            <w:tcBorders>
              <w:top w:val="nil"/>
              <w:left w:val="nil"/>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13,840.45</w:t>
            </w:r>
          </w:p>
        </w:tc>
      </w:tr>
      <w:tr w:rsidR="000B0550" w:rsidRPr="00670830" w:rsidTr="00DA1B41">
        <w:trPr>
          <w:trHeight w:val="20"/>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4%</w:t>
            </w:r>
          </w:p>
        </w:tc>
        <w:tc>
          <w:tcPr>
            <w:tcW w:w="1230" w:type="dxa"/>
            <w:tcBorders>
              <w:top w:val="nil"/>
              <w:left w:val="nil"/>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0.01335</w:t>
            </w:r>
          </w:p>
        </w:tc>
        <w:tc>
          <w:tcPr>
            <w:tcW w:w="3436" w:type="dxa"/>
            <w:tcBorders>
              <w:top w:val="nil"/>
              <w:left w:val="nil"/>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13,353.36</w:t>
            </w:r>
          </w:p>
        </w:tc>
      </w:tr>
      <w:tr w:rsidR="000B0550" w:rsidRPr="00670830" w:rsidTr="00DA1B41">
        <w:trPr>
          <w:trHeight w:val="20"/>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5%</w:t>
            </w:r>
          </w:p>
        </w:tc>
        <w:tc>
          <w:tcPr>
            <w:tcW w:w="1230" w:type="dxa"/>
            <w:tcBorders>
              <w:top w:val="nil"/>
              <w:left w:val="nil"/>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0.01295</w:t>
            </w:r>
          </w:p>
        </w:tc>
        <w:tc>
          <w:tcPr>
            <w:tcW w:w="3436" w:type="dxa"/>
            <w:tcBorders>
              <w:top w:val="nil"/>
              <w:left w:val="nil"/>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12,946.56</w:t>
            </w:r>
          </w:p>
        </w:tc>
      </w:tr>
      <w:tr w:rsidR="000B0550" w:rsidRPr="00670830" w:rsidTr="00DA1B41">
        <w:trPr>
          <w:trHeight w:val="20"/>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6%</w:t>
            </w:r>
          </w:p>
        </w:tc>
        <w:tc>
          <w:tcPr>
            <w:tcW w:w="1230" w:type="dxa"/>
            <w:tcBorders>
              <w:top w:val="nil"/>
              <w:left w:val="nil"/>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0.01259</w:t>
            </w:r>
          </w:p>
        </w:tc>
        <w:tc>
          <w:tcPr>
            <w:tcW w:w="3436" w:type="dxa"/>
            <w:tcBorders>
              <w:top w:val="nil"/>
              <w:left w:val="nil"/>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12,587.42</w:t>
            </w:r>
          </w:p>
        </w:tc>
      </w:tr>
      <w:tr w:rsidR="000B0550" w:rsidRPr="00670830" w:rsidTr="00DA1B41">
        <w:trPr>
          <w:trHeight w:val="20"/>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7%</w:t>
            </w:r>
          </w:p>
        </w:tc>
        <w:tc>
          <w:tcPr>
            <w:tcW w:w="1230" w:type="dxa"/>
            <w:tcBorders>
              <w:top w:val="nil"/>
              <w:left w:val="nil"/>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0.01226</w:t>
            </w:r>
          </w:p>
        </w:tc>
        <w:tc>
          <w:tcPr>
            <w:tcW w:w="3436" w:type="dxa"/>
            <w:tcBorders>
              <w:top w:val="nil"/>
              <w:left w:val="nil"/>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12,259.35</w:t>
            </w:r>
          </w:p>
        </w:tc>
      </w:tr>
      <w:tr w:rsidR="000B0550" w:rsidRPr="00670830" w:rsidTr="00DA1B41">
        <w:trPr>
          <w:trHeight w:val="20"/>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8%</w:t>
            </w:r>
          </w:p>
        </w:tc>
        <w:tc>
          <w:tcPr>
            <w:tcW w:w="1230" w:type="dxa"/>
            <w:tcBorders>
              <w:top w:val="nil"/>
              <w:left w:val="nil"/>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0.01196</w:t>
            </w:r>
          </w:p>
        </w:tc>
        <w:tc>
          <w:tcPr>
            <w:tcW w:w="3436" w:type="dxa"/>
            <w:tcBorders>
              <w:top w:val="nil"/>
              <w:left w:val="nil"/>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11,964.91</w:t>
            </w:r>
          </w:p>
        </w:tc>
      </w:tr>
      <w:tr w:rsidR="000B0550" w:rsidRPr="00670830" w:rsidTr="00DA1B41">
        <w:trPr>
          <w:trHeight w:val="20"/>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9%</w:t>
            </w:r>
          </w:p>
        </w:tc>
        <w:tc>
          <w:tcPr>
            <w:tcW w:w="1230" w:type="dxa"/>
            <w:tcBorders>
              <w:top w:val="nil"/>
              <w:left w:val="nil"/>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0.01168</w:t>
            </w:r>
          </w:p>
        </w:tc>
        <w:tc>
          <w:tcPr>
            <w:tcW w:w="3436" w:type="dxa"/>
            <w:tcBorders>
              <w:top w:val="nil"/>
              <w:left w:val="nil"/>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11,684.87</w:t>
            </w:r>
          </w:p>
        </w:tc>
      </w:tr>
      <w:tr w:rsidR="000B0550" w:rsidRPr="00670830" w:rsidTr="00DA1B41">
        <w:trPr>
          <w:trHeight w:val="20"/>
          <w:jc w:val="center"/>
        </w:trPr>
        <w:tc>
          <w:tcPr>
            <w:tcW w:w="2368" w:type="dxa"/>
            <w:tcBorders>
              <w:top w:val="nil"/>
              <w:left w:val="single" w:sz="4" w:space="0" w:color="0070C0"/>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10%</w:t>
            </w:r>
          </w:p>
        </w:tc>
        <w:tc>
          <w:tcPr>
            <w:tcW w:w="1230" w:type="dxa"/>
            <w:tcBorders>
              <w:top w:val="nil"/>
              <w:left w:val="nil"/>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0.01144</w:t>
            </w:r>
          </w:p>
        </w:tc>
        <w:tc>
          <w:tcPr>
            <w:tcW w:w="3436" w:type="dxa"/>
            <w:tcBorders>
              <w:top w:val="nil"/>
              <w:left w:val="nil"/>
              <w:bottom w:val="single" w:sz="4" w:space="0" w:color="0070C0"/>
              <w:right w:val="single" w:sz="4" w:space="0" w:color="0070C0"/>
            </w:tcBorders>
            <w:shd w:val="clear" w:color="auto" w:fill="auto"/>
            <w:noWrap/>
            <w:vAlign w:val="bottom"/>
            <w:hideMark/>
          </w:tcPr>
          <w:p w:rsidR="000B0550" w:rsidRPr="00670830" w:rsidRDefault="000B0550"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11,442.55</w:t>
            </w:r>
          </w:p>
        </w:tc>
      </w:tr>
    </w:tbl>
    <w:p w:rsidR="00E310B9" w:rsidRPr="00670830" w:rsidRDefault="00E310B9" w:rsidP="00670830">
      <w:pPr>
        <w:tabs>
          <w:tab w:val="left" w:pos="3135"/>
        </w:tabs>
        <w:spacing w:before="100" w:beforeAutospacing="1" w:after="100" w:afterAutospacing="1" w:line="360" w:lineRule="auto"/>
        <w:jc w:val="both"/>
        <w:rPr>
          <w:rFonts w:ascii="Arial" w:eastAsia="Arial Unicode MS" w:hAnsi="Arial" w:cs="Arial"/>
          <w:sz w:val="24"/>
          <w:szCs w:val="24"/>
        </w:rPr>
      </w:pPr>
    </w:p>
    <w:p w:rsidR="007F2832" w:rsidRPr="00670830" w:rsidRDefault="00D042B7" w:rsidP="00670830">
      <w:pPr>
        <w:pStyle w:val="Ttulo2"/>
        <w:numPr>
          <w:ilvl w:val="1"/>
          <w:numId w:val="3"/>
        </w:numPr>
        <w:spacing w:before="100" w:beforeAutospacing="1" w:after="100" w:afterAutospacing="1" w:line="360" w:lineRule="auto"/>
        <w:ind w:left="567" w:hanging="567"/>
        <w:jc w:val="both"/>
        <w:rPr>
          <w:rFonts w:ascii="Arial" w:eastAsia="Arial Unicode MS" w:hAnsi="Arial" w:cs="Arial"/>
          <w:color w:val="auto"/>
          <w:sz w:val="24"/>
          <w:szCs w:val="24"/>
        </w:rPr>
      </w:pPr>
      <w:bookmarkStart w:id="42" w:name="_Toc488230519"/>
      <w:r w:rsidRPr="00670830">
        <w:rPr>
          <w:rFonts w:ascii="Arial" w:eastAsia="Arial Unicode MS" w:hAnsi="Arial" w:cs="Arial"/>
          <w:color w:val="auto"/>
          <w:sz w:val="24"/>
          <w:szCs w:val="24"/>
        </w:rPr>
        <w:t>Análisis de resultados</w:t>
      </w:r>
      <w:bookmarkEnd w:id="42"/>
    </w:p>
    <w:p w:rsidR="00C61629" w:rsidRPr="00670830" w:rsidRDefault="00C61629"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tabla a continuación muestra el rendimie</w:t>
      </w:r>
      <w:r w:rsidR="0067258A" w:rsidRPr="00670830">
        <w:rPr>
          <w:rFonts w:ascii="Arial" w:eastAsia="Arial Unicode MS" w:hAnsi="Arial" w:cs="Arial"/>
          <w:sz w:val="24"/>
          <w:szCs w:val="24"/>
        </w:rPr>
        <w:t>nto promedio y el riesgo de ambas carteras</w:t>
      </w:r>
      <w:r w:rsidRPr="00670830">
        <w:rPr>
          <w:rFonts w:ascii="Arial" w:eastAsia="Arial Unicode MS" w:hAnsi="Arial" w:cs="Arial"/>
          <w:sz w:val="24"/>
          <w:szCs w:val="24"/>
        </w:rPr>
        <w:t xml:space="preserve">. </w:t>
      </w:r>
    </w:p>
    <w:tbl>
      <w:tblPr>
        <w:tblW w:w="7269" w:type="dxa"/>
        <w:jc w:val="center"/>
        <w:tblInd w:w="55" w:type="dxa"/>
        <w:tblCellMar>
          <w:left w:w="70" w:type="dxa"/>
          <w:right w:w="70" w:type="dxa"/>
        </w:tblCellMar>
        <w:tblLook w:val="04A0" w:firstRow="1" w:lastRow="0" w:firstColumn="1" w:lastColumn="0" w:noHBand="0" w:noVBand="1"/>
      </w:tblPr>
      <w:tblGrid>
        <w:gridCol w:w="1594"/>
        <w:gridCol w:w="2461"/>
        <w:gridCol w:w="2260"/>
        <w:gridCol w:w="954"/>
      </w:tblGrid>
      <w:tr w:rsidR="00C61629" w:rsidRPr="00670830" w:rsidTr="00DA1B41">
        <w:trPr>
          <w:trHeight w:val="406"/>
          <w:jc w:val="center"/>
        </w:trPr>
        <w:tc>
          <w:tcPr>
            <w:tcW w:w="1594" w:type="dxa"/>
            <w:tcBorders>
              <w:top w:val="nil"/>
              <w:left w:val="nil"/>
              <w:bottom w:val="nil"/>
              <w:right w:val="nil"/>
            </w:tcBorders>
            <w:shd w:val="clear" w:color="auto" w:fill="auto"/>
            <w:noWrap/>
            <w:vAlign w:val="bottom"/>
            <w:hideMark/>
          </w:tcPr>
          <w:p w:rsidR="00C61629" w:rsidRPr="00670830" w:rsidRDefault="00C61629" w:rsidP="00670830">
            <w:pPr>
              <w:spacing w:before="100" w:beforeAutospacing="1" w:after="100" w:afterAutospacing="1" w:line="360" w:lineRule="auto"/>
              <w:rPr>
                <w:rFonts w:ascii="Arial" w:eastAsia="Arial Unicode MS" w:hAnsi="Arial" w:cs="Arial"/>
                <w:color w:val="000000"/>
                <w:sz w:val="24"/>
                <w:szCs w:val="24"/>
                <w:lang w:eastAsia="es-MX"/>
              </w:rPr>
            </w:pPr>
          </w:p>
        </w:tc>
        <w:tc>
          <w:tcPr>
            <w:tcW w:w="2461" w:type="dxa"/>
            <w:tcBorders>
              <w:top w:val="single" w:sz="4" w:space="0" w:color="0070C0"/>
              <w:left w:val="single" w:sz="4" w:space="0" w:color="0070C0"/>
              <w:bottom w:val="single" w:sz="4" w:space="0" w:color="0070C0"/>
              <w:right w:val="single" w:sz="4" w:space="0" w:color="0070C0"/>
            </w:tcBorders>
            <w:shd w:val="clear" w:color="000000" w:fill="DCE6F1"/>
            <w:vAlign w:val="center"/>
            <w:hideMark/>
          </w:tcPr>
          <w:p w:rsidR="00C61629" w:rsidRPr="00670830" w:rsidRDefault="0067258A"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Cartera aleatoria</w:t>
            </w:r>
          </w:p>
        </w:tc>
        <w:tc>
          <w:tcPr>
            <w:tcW w:w="2260" w:type="dxa"/>
            <w:tcBorders>
              <w:top w:val="single" w:sz="4" w:space="0" w:color="0070C0"/>
              <w:left w:val="nil"/>
              <w:bottom w:val="single" w:sz="4" w:space="0" w:color="0070C0"/>
              <w:right w:val="single" w:sz="4" w:space="0" w:color="0070C0"/>
            </w:tcBorders>
            <w:shd w:val="clear" w:color="000000" w:fill="DCE6F1"/>
            <w:vAlign w:val="center"/>
            <w:hideMark/>
          </w:tcPr>
          <w:p w:rsidR="00C61629" w:rsidRPr="00670830" w:rsidRDefault="0067258A"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Cartera óptima</w:t>
            </w:r>
          </w:p>
        </w:tc>
        <w:tc>
          <w:tcPr>
            <w:tcW w:w="954" w:type="dxa"/>
            <w:tcBorders>
              <w:top w:val="single" w:sz="4" w:space="0" w:color="0070C0"/>
              <w:left w:val="nil"/>
              <w:bottom w:val="single" w:sz="4" w:space="0" w:color="0070C0"/>
              <w:right w:val="single" w:sz="4" w:space="0" w:color="0070C0"/>
            </w:tcBorders>
            <w:shd w:val="clear" w:color="000000" w:fill="DCE6F1"/>
            <w:vAlign w:val="center"/>
            <w:hideMark/>
          </w:tcPr>
          <w:p w:rsidR="00C61629" w:rsidRPr="00670830" w:rsidRDefault="00C61629"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w:t>
            </w:r>
          </w:p>
        </w:tc>
      </w:tr>
      <w:tr w:rsidR="00C61629" w:rsidRPr="00670830" w:rsidTr="00DA1B41">
        <w:trPr>
          <w:trHeight w:val="185"/>
          <w:jc w:val="center"/>
        </w:trPr>
        <w:tc>
          <w:tcPr>
            <w:tcW w:w="1594" w:type="dxa"/>
            <w:tcBorders>
              <w:top w:val="single" w:sz="4" w:space="0" w:color="0070C0"/>
              <w:left w:val="single" w:sz="4" w:space="0" w:color="0070C0"/>
              <w:bottom w:val="single" w:sz="4" w:space="0" w:color="0070C0"/>
              <w:right w:val="single" w:sz="4" w:space="0" w:color="0070C0"/>
            </w:tcBorders>
            <w:shd w:val="clear" w:color="000000" w:fill="DCE6F1"/>
            <w:noWrap/>
            <w:vAlign w:val="bottom"/>
            <w:hideMark/>
          </w:tcPr>
          <w:p w:rsidR="00C61629" w:rsidRPr="00670830" w:rsidRDefault="00C61629"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Rendimiento</w:t>
            </w:r>
          </w:p>
        </w:tc>
        <w:tc>
          <w:tcPr>
            <w:tcW w:w="2461" w:type="dxa"/>
            <w:tcBorders>
              <w:top w:val="nil"/>
              <w:left w:val="nil"/>
              <w:bottom w:val="single" w:sz="4" w:space="0" w:color="0070C0"/>
              <w:right w:val="single" w:sz="4" w:space="0" w:color="0070C0"/>
            </w:tcBorders>
            <w:shd w:val="clear" w:color="auto" w:fill="auto"/>
            <w:noWrap/>
            <w:vAlign w:val="bottom"/>
            <w:hideMark/>
          </w:tcPr>
          <w:p w:rsidR="00C61629" w:rsidRPr="00670830" w:rsidRDefault="00C61629"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0.0365%</w:t>
            </w:r>
          </w:p>
        </w:tc>
        <w:tc>
          <w:tcPr>
            <w:tcW w:w="2260" w:type="dxa"/>
            <w:tcBorders>
              <w:top w:val="nil"/>
              <w:left w:val="nil"/>
              <w:bottom w:val="single" w:sz="4" w:space="0" w:color="0070C0"/>
              <w:right w:val="single" w:sz="4" w:space="0" w:color="0070C0"/>
            </w:tcBorders>
            <w:shd w:val="clear" w:color="auto" w:fill="auto"/>
            <w:noWrap/>
            <w:vAlign w:val="bottom"/>
            <w:hideMark/>
          </w:tcPr>
          <w:p w:rsidR="00C61629" w:rsidRPr="00670830" w:rsidRDefault="00C61629"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0.0743%</w:t>
            </w:r>
          </w:p>
        </w:tc>
        <w:tc>
          <w:tcPr>
            <w:tcW w:w="954" w:type="dxa"/>
            <w:tcBorders>
              <w:top w:val="nil"/>
              <w:left w:val="nil"/>
              <w:bottom w:val="single" w:sz="4" w:space="0" w:color="0070C0"/>
              <w:right w:val="single" w:sz="4" w:space="0" w:color="0070C0"/>
            </w:tcBorders>
            <w:shd w:val="clear" w:color="auto" w:fill="auto"/>
            <w:noWrap/>
            <w:vAlign w:val="bottom"/>
            <w:hideMark/>
          </w:tcPr>
          <w:p w:rsidR="00C61629" w:rsidRPr="00670830" w:rsidRDefault="00C61629"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103.8%</w:t>
            </w:r>
          </w:p>
        </w:tc>
      </w:tr>
      <w:tr w:rsidR="00C61629" w:rsidRPr="00670830" w:rsidTr="00DA1B41">
        <w:trPr>
          <w:trHeight w:val="185"/>
          <w:jc w:val="center"/>
        </w:trPr>
        <w:tc>
          <w:tcPr>
            <w:tcW w:w="1594" w:type="dxa"/>
            <w:tcBorders>
              <w:top w:val="nil"/>
              <w:left w:val="single" w:sz="4" w:space="0" w:color="0070C0"/>
              <w:bottom w:val="single" w:sz="4" w:space="0" w:color="0070C0"/>
              <w:right w:val="single" w:sz="4" w:space="0" w:color="0070C0"/>
            </w:tcBorders>
            <w:shd w:val="clear" w:color="000000" w:fill="DCE6F1"/>
            <w:noWrap/>
            <w:vAlign w:val="bottom"/>
            <w:hideMark/>
          </w:tcPr>
          <w:p w:rsidR="00C61629" w:rsidRPr="00670830" w:rsidRDefault="00C61629"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Riesgo</w:t>
            </w:r>
          </w:p>
        </w:tc>
        <w:tc>
          <w:tcPr>
            <w:tcW w:w="2461" w:type="dxa"/>
            <w:tcBorders>
              <w:top w:val="nil"/>
              <w:left w:val="nil"/>
              <w:bottom w:val="single" w:sz="4" w:space="0" w:color="0070C0"/>
              <w:right w:val="single" w:sz="4" w:space="0" w:color="0070C0"/>
            </w:tcBorders>
            <w:shd w:val="clear" w:color="auto" w:fill="auto"/>
            <w:noWrap/>
            <w:vAlign w:val="bottom"/>
            <w:hideMark/>
          </w:tcPr>
          <w:p w:rsidR="00C61629" w:rsidRPr="00670830" w:rsidRDefault="00C61629"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0.0102%</w:t>
            </w:r>
          </w:p>
        </w:tc>
        <w:tc>
          <w:tcPr>
            <w:tcW w:w="2260" w:type="dxa"/>
            <w:tcBorders>
              <w:top w:val="nil"/>
              <w:left w:val="nil"/>
              <w:bottom w:val="single" w:sz="4" w:space="0" w:color="0070C0"/>
              <w:right w:val="single" w:sz="4" w:space="0" w:color="0070C0"/>
            </w:tcBorders>
            <w:shd w:val="clear" w:color="auto" w:fill="auto"/>
            <w:noWrap/>
            <w:vAlign w:val="bottom"/>
            <w:hideMark/>
          </w:tcPr>
          <w:p w:rsidR="00C61629" w:rsidRPr="00670830" w:rsidRDefault="00C61629"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0.0059%</w:t>
            </w:r>
          </w:p>
        </w:tc>
        <w:tc>
          <w:tcPr>
            <w:tcW w:w="954" w:type="dxa"/>
            <w:tcBorders>
              <w:top w:val="nil"/>
              <w:left w:val="nil"/>
              <w:bottom w:val="single" w:sz="4" w:space="0" w:color="0070C0"/>
              <w:right w:val="single" w:sz="4" w:space="0" w:color="0070C0"/>
            </w:tcBorders>
            <w:shd w:val="clear" w:color="auto" w:fill="auto"/>
            <w:noWrap/>
            <w:vAlign w:val="bottom"/>
            <w:hideMark/>
          </w:tcPr>
          <w:p w:rsidR="00C61629" w:rsidRPr="00670830" w:rsidRDefault="00C61629"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-41.7%</w:t>
            </w:r>
          </w:p>
        </w:tc>
      </w:tr>
    </w:tbl>
    <w:p w:rsidR="007F2832" w:rsidRPr="00670830" w:rsidRDefault="007F2832" w:rsidP="00670830">
      <w:pPr>
        <w:spacing w:before="100" w:beforeAutospacing="1" w:after="100" w:afterAutospacing="1" w:line="360" w:lineRule="auto"/>
        <w:jc w:val="both"/>
        <w:rPr>
          <w:rFonts w:ascii="Arial" w:eastAsia="Arial Unicode MS" w:hAnsi="Arial" w:cs="Arial"/>
          <w:sz w:val="24"/>
          <w:szCs w:val="24"/>
        </w:rPr>
      </w:pPr>
    </w:p>
    <w:p w:rsidR="00D20FD1" w:rsidRPr="00670830" w:rsidRDefault="00C61629"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rendimiento promedio de</w:t>
      </w:r>
      <w:r w:rsidR="0067258A" w:rsidRPr="00670830">
        <w:rPr>
          <w:rFonts w:ascii="Arial" w:eastAsia="Arial Unicode MS" w:hAnsi="Arial" w:cs="Arial"/>
          <w:sz w:val="24"/>
          <w:szCs w:val="24"/>
        </w:rPr>
        <w:t xml:space="preserve"> </w:t>
      </w:r>
      <w:r w:rsidRPr="00670830">
        <w:rPr>
          <w:rFonts w:ascii="Arial" w:eastAsia="Arial Unicode MS" w:hAnsi="Arial" w:cs="Arial"/>
          <w:sz w:val="24"/>
          <w:szCs w:val="24"/>
        </w:rPr>
        <w:t>l</w:t>
      </w:r>
      <w:r w:rsidR="0067258A" w:rsidRPr="00670830">
        <w:rPr>
          <w:rFonts w:ascii="Arial" w:eastAsia="Arial Unicode MS" w:hAnsi="Arial" w:cs="Arial"/>
          <w:sz w:val="24"/>
          <w:szCs w:val="24"/>
        </w:rPr>
        <w:t>a cartera diversificada científicamente (cartera óptima</w:t>
      </w:r>
      <w:r w:rsidRPr="00670830">
        <w:rPr>
          <w:rFonts w:ascii="Arial" w:eastAsia="Arial Unicode MS" w:hAnsi="Arial" w:cs="Arial"/>
          <w:sz w:val="24"/>
          <w:szCs w:val="24"/>
        </w:rPr>
        <w:t>) es 103.8% mayor que la ganancia promedio que resulta de</w:t>
      </w:r>
      <w:r w:rsidR="0067258A" w:rsidRPr="00670830">
        <w:rPr>
          <w:rFonts w:ascii="Arial" w:eastAsia="Arial Unicode MS" w:hAnsi="Arial" w:cs="Arial"/>
          <w:sz w:val="24"/>
          <w:szCs w:val="24"/>
        </w:rPr>
        <w:t xml:space="preserve"> </w:t>
      </w:r>
      <w:r w:rsidRPr="00670830">
        <w:rPr>
          <w:rFonts w:ascii="Arial" w:eastAsia="Arial Unicode MS" w:hAnsi="Arial" w:cs="Arial"/>
          <w:sz w:val="24"/>
          <w:szCs w:val="24"/>
        </w:rPr>
        <w:t>l</w:t>
      </w:r>
      <w:r w:rsidR="0067258A" w:rsidRPr="00670830">
        <w:rPr>
          <w:rFonts w:ascii="Arial" w:eastAsia="Arial Unicode MS" w:hAnsi="Arial" w:cs="Arial"/>
          <w:sz w:val="24"/>
          <w:szCs w:val="24"/>
        </w:rPr>
        <w:t>a cartera aleatoria</w:t>
      </w:r>
      <w:r w:rsidRPr="00670830">
        <w:rPr>
          <w:rFonts w:ascii="Arial" w:eastAsia="Arial Unicode MS" w:hAnsi="Arial" w:cs="Arial"/>
          <w:sz w:val="24"/>
          <w:szCs w:val="24"/>
        </w:rPr>
        <w:t xml:space="preserve">. </w:t>
      </w:r>
    </w:p>
    <w:p w:rsidR="00DA1B41" w:rsidRPr="00670830" w:rsidRDefault="00935C80"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Por otra parte, el riesgo que se estaría corrien</w:t>
      </w:r>
      <w:r w:rsidR="0067258A" w:rsidRPr="00670830">
        <w:rPr>
          <w:rFonts w:ascii="Arial" w:eastAsia="Arial Unicode MS" w:hAnsi="Arial" w:cs="Arial"/>
          <w:sz w:val="24"/>
          <w:szCs w:val="24"/>
        </w:rPr>
        <w:t>do al elegir la cartera óptima</w:t>
      </w:r>
      <w:r w:rsidR="00016762" w:rsidRPr="00670830">
        <w:rPr>
          <w:rFonts w:ascii="Arial" w:eastAsia="Arial Unicode MS" w:hAnsi="Arial" w:cs="Arial"/>
          <w:sz w:val="24"/>
          <w:szCs w:val="24"/>
        </w:rPr>
        <w:t xml:space="preserve"> es 41.7% menor</w:t>
      </w:r>
      <w:r w:rsidRPr="00670830">
        <w:rPr>
          <w:rFonts w:ascii="Arial" w:eastAsia="Arial Unicode MS" w:hAnsi="Arial" w:cs="Arial"/>
          <w:sz w:val="24"/>
          <w:szCs w:val="24"/>
        </w:rPr>
        <w:t>. Por lo que, sin lugar a duda, el in</w:t>
      </w:r>
      <w:r w:rsidR="0067258A" w:rsidRPr="00670830">
        <w:rPr>
          <w:rFonts w:ascii="Arial" w:eastAsia="Arial Unicode MS" w:hAnsi="Arial" w:cs="Arial"/>
          <w:sz w:val="24"/>
          <w:szCs w:val="24"/>
        </w:rPr>
        <w:t>versionista debería de elegir la segunda cartera</w:t>
      </w:r>
      <w:r w:rsidRPr="00670830">
        <w:rPr>
          <w:rFonts w:ascii="Arial" w:eastAsia="Arial Unicode MS" w:hAnsi="Arial" w:cs="Arial"/>
          <w:sz w:val="24"/>
          <w:szCs w:val="24"/>
        </w:rPr>
        <w:t xml:space="preserve">, genera un mayor rendimiento, minimizando las posibles pérdidas. </w:t>
      </w:r>
    </w:p>
    <w:p w:rsidR="00071EC1" w:rsidRPr="00670830" w:rsidRDefault="00935C80"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Esto </w:t>
      </w:r>
      <w:r w:rsidR="00D23E66" w:rsidRPr="00670830">
        <w:rPr>
          <w:rFonts w:ascii="Arial" w:eastAsia="Arial Unicode MS" w:hAnsi="Arial" w:cs="Arial"/>
          <w:sz w:val="24"/>
          <w:szCs w:val="24"/>
        </w:rPr>
        <w:t>se lo</w:t>
      </w:r>
      <w:r w:rsidR="0067258A" w:rsidRPr="00670830">
        <w:rPr>
          <w:rFonts w:ascii="Arial" w:eastAsia="Arial Unicode MS" w:hAnsi="Arial" w:cs="Arial"/>
          <w:sz w:val="24"/>
          <w:szCs w:val="24"/>
        </w:rPr>
        <w:t>gra al elegir diversificar las carteras</w:t>
      </w:r>
      <w:r w:rsidRPr="00670830">
        <w:rPr>
          <w:rFonts w:ascii="Arial" w:eastAsia="Arial Unicode MS" w:hAnsi="Arial" w:cs="Arial"/>
          <w:sz w:val="24"/>
          <w:szCs w:val="24"/>
        </w:rPr>
        <w:t xml:space="preserve"> de inversión, logrando niveles óptimos, siguiendo la teoría propuesta por Harry </w:t>
      </w:r>
      <w:proofErr w:type="spellStart"/>
      <w:r w:rsidRPr="00670830">
        <w:rPr>
          <w:rFonts w:ascii="Arial" w:eastAsia="Arial Unicode MS" w:hAnsi="Arial" w:cs="Arial"/>
          <w:sz w:val="24"/>
          <w:szCs w:val="24"/>
        </w:rPr>
        <w:t>Markowitz</w:t>
      </w:r>
      <w:proofErr w:type="spellEnd"/>
      <w:r w:rsidRPr="00670830">
        <w:rPr>
          <w:rFonts w:ascii="Arial" w:eastAsia="Arial Unicode MS" w:hAnsi="Arial" w:cs="Arial"/>
          <w:sz w:val="24"/>
          <w:szCs w:val="24"/>
        </w:rPr>
        <w:t>.</w:t>
      </w:r>
    </w:p>
    <w:tbl>
      <w:tblPr>
        <w:tblW w:w="6664" w:type="dxa"/>
        <w:jc w:val="center"/>
        <w:tblInd w:w="55" w:type="dxa"/>
        <w:tblCellMar>
          <w:left w:w="70" w:type="dxa"/>
          <w:right w:w="70" w:type="dxa"/>
        </w:tblCellMar>
        <w:tblLook w:val="04A0" w:firstRow="1" w:lastRow="0" w:firstColumn="1" w:lastColumn="0" w:noHBand="0" w:noVBand="1"/>
      </w:tblPr>
      <w:tblGrid>
        <w:gridCol w:w="1304"/>
        <w:gridCol w:w="1340"/>
        <w:gridCol w:w="1340"/>
        <w:gridCol w:w="1342"/>
        <w:gridCol w:w="1342"/>
      </w:tblGrid>
      <w:tr w:rsidR="009C775C" w:rsidRPr="00670830" w:rsidTr="009613F9">
        <w:trPr>
          <w:trHeight w:val="227"/>
          <w:jc w:val="center"/>
        </w:trPr>
        <w:tc>
          <w:tcPr>
            <w:tcW w:w="1304" w:type="dxa"/>
            <w:tcBorders>
              <w:top w:val="nil"/>
              <w:left w:val="nil"/>
              <w:bottom w:val="nil"/>
              <w:right w:val="nil"/>
            </w:tcBorders>
            <w:shd w:val="clear" w:color="auto" w:fill="auto"/>
            <w:noWrap/>
            <w:vAlign w:val="bottom"/>
            <w:hideMark/>
          </w:tcPr>
          <w:p w:rsidR="009C775C" w:rsidRPr="00670830" w:rsidRDefault="009C775C" w:rsidP="00670830">
            <w:pPr>
              <w:spacing w:before="100" w:beforeAutospacing="1" w:after="100" w:afterAutospacing="1" w:line="360" w:lineRule="auto"/>
              <w:rPr>
                <w:rFonts w:ascii="Arial" w:eastAsia="Arial Unicode MS" w:hAnsi="Arial" w:cs="Arial"/>
                <w:color w:val="000000"/>
                <w:sz w:val="24"/>
                <w:szCs w:val="24"/>
                <w:lang w:eastAsia="es-MX"/>
              </w:rPr>
            </w:pPr>
          </w:p>
        </w:tc>
        <w:tc>
          <w:tcPr>
            <w:tcW w:w="2680" w:type="dxa"/>
            <w:gridSpan w:val="2"/>
            <w:tcBorders>
              <w:top w:val="nil"/>
              <w:left w:val="nil"/>
              <w:bottom w:val="single" w:sz="4" w:space="0" w:color="0070C0"/>
              <w:right w:val="nil"/>
            </w:tcBorders>
            <w:shd w:val="clear" w:color="auto" w:fill="auto"/>
            <w:noWrap/>
            <w:vAlign w:val="bottom"/>
            <w:hideMark/>
          </w:tcPr>
          <w:p w:rsidR="009C775C" w:rsidRPr="00670830" w:rsidRDefault="009C775C"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Valor en Riesgo (</w:t>
            </w:r>
            <w:proofErr w:type="spellStart"/>
            <w:r w:rsidRPr="00670830">
              <w:rPr>
                <w:rFonts w:ascii="Arial" w:eastAsia="Arial Unicode MS" w:hAnsi="Arial" w:cs="Arial"/>
                <w:b/>
                <w:bCs/>
                <w:color w:val="000000"/>
                <w:sz w:val="24"/>
                <w:szCs w:val="24"/>
                <w:lang w:eastAsia="es-MX"/>
              </w:rPr>
              <w:t>VaR</w:t>
            </w:r>
            <w:proofErr w:type="spellEnd"/>
            <w:r w:rsidRPr="00670830">
              <w:rPr>
                <w:rFonts w:ascii="Arial" w:eastAsia="Arial Unicode MS" w:hAnsi="Arial" w:cs="Arial"/>
                <w:b/>
                <w:bCs/>
                <w:color w:val="000000"/>
                <w:sz w:val="24"/>
                <w:szCs w:val="24"/>
                <w:lang w:eastAsia="es-MX"/>
              </w:rPr>
              <w:t>)</w:t>
            </w:r>
          </w:p>
        </w:tc>
        <w:tc>
          <w:tcPr>
            <w:tcW w:w="2680" w:type="dxa"/>
            <w:gridSpan w:val="2"/>
            <w:tcBorders>
              <w:top w:val="nil"/>
              <w:left w:val="nil"/>
              <w:bottom w:val="single" w:sz="4" w:space="0" w:color="0070C0"/>
              <w:right w:val="nil"/>
            </w:tcBorders>
            <w:shd w:val="clear" w:color="auto" w:fill="auto"/>
            <w:noWrap/>
            <w:vAlign w:val="bottom"/>
            <w:hideMark/>
          </w:tcPr>
          <w:p w:rsidR="009C775C" w:rsidRPr="00670830" w:rsidRDefault="009C775C"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Inversión Inicial:$1,000,000</w:t>
            </w:r>
          </w:p>
        </w:tc>
      </w:tr>
      <w:tr w:rsidR="009C775C" w:rsidRPr="00670830" w:rsidTr="00C61629">
        <w:trPr>
          <w:trHeight w:val="356"/>
          <w:jc w:val="center"/>
        </w:trPr>
        <w:tc>
          <w:tcPr>
            <w:tcW w:w="1304" w:type="dxa"/>
            <w:tcBorders>
              <w:top w:val="single" w:sz="4" w:space="0" w:color="0070C0"/>
              <w:left w:val="single" w:sz="4" w:space="0" w:color="0070C0"/>
              <w:bottom w:val="single" w:sz="4" w:space="0" w:color="0070C0"/>
              <w:right w:val="single" w:sz="4" w:space="0" w:color="0070C0"/>
            </w:tcBorders>
            <w:shd w:val="clear" w:color="000000" w:fill="DCE6F1"/>
            <w:vAlign w:val="bottom"/>
            <w:hideMark/>
          </w:tcPr>
          <w:p w:rsidR="009C775C" w:rsidRPr="00670830" w:rsidRDefault="009C775C"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Nivel de confianza</w:t>
            </w:r>
          </w:p>
        </w:tc>
        <w:tc>
          <w:tcPr>
            <w:tcW w:w="1340" w:type="dxa"/>
            <w:tcBorders>
              <w:top w:val="nil"/>
              <w:left w:val="nil"/>
              <w:bottom w:val="single" w:sz="4" w:space="0" w:color="0070C0"/>
              <w:right w:val="single" w:sz="4" w:space="0" w:color="0070C0"/>
            </w:tcBorders>
            <w:shd w:val="clear" w:color="000000" w:fill="DCE6F1"/>
            <w:vAlign w:val="bottom"/>
            <w:hideMark/>
          </w:tcPr>
          <w:p w:rsidR="009C775C" w:rsidRPr="00670830" w:rsidRDefault="0067258A"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 xml:space="preserve"> Cartera aleatoria</w:t>
            </w:r>
          </w:p>
        </w:tc>
        <w:tc>
          <w:tcPr>
            <w:tcW w:w="1340" w:type="dxa"/>
            <w:tcBorders>
              <w:top w:val="nil"/>
              <w:left w:val="nil"/>
              <w:bottom w:val="single" w:sz="4" w:space="0" w:color="0070C0"/>
              <w:right w:val="single" w:sz="4" w:space="0" w:color="0070C0"/>
            </w:tcBorders>
            <w:shd w:val="clear" w:color="000000" w:fill="DCE6F1"/>
            <w:vAlign w:val="bottom"/>
            <w:hideMark/>
          </w:tcPr>
          <w:p w:rsidR="009C775C" w:rsidRPr="00670830" w:rsidRDefault="0067258A"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Cartera óptima</w:t>
            </w:r>
          </w:p>
        </w:tc>
        <w:tc>
          <w:tcPr>
            <w:tcW w:w="1340" w:type="dxa"/>
            <w:tcBorders>
              <w:top w:val="nil"/>
              <w:left w:val="nil"/>
              <w:bottom w:val="single" w:sz="4" w:space="0" w:color="0070C0"/>
              <w:right w:val="single" w:sz="4" w:space="0" w:color="0070C0"/>
            </w:tcBorders>
            <w:shd w:val="clear" w:color="000000" w:fill="DCE6F1"/>
            <w:vAlign w:val="bottom"/>
            <w:hideMark/>
          </w:tcPr>
          <w:p w:rsidR="009C775C" w:rsidRPr="00670830" w:rsidRDefault="0067258A"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Cartera aleatoria</w:t>
            </w:r>
          </w:p>
        </w:tc>
        <w:tc>
          <w:tcPr>
            <w:tcW w:w="1340" w:type="dxa"/>
            <w:tcBorders>
              <w:top w:val="nil"/>
              <w:left w:val="nil"/>
              <w:bottom w:val="single" w:sz="4" w:space="0" w:color="0070C0"/>
              <w:right w:val="single" w:sz="4" w:space="0" w:color="0070C0"/>
            </w:tcBorders>
            <w:shd w:val="clear" w:color="000000" w:fill="DCE6F1"/>
            <w:vAlign w:val="bottom"/>
            <w:hideMark/>
          </w:tcPr>
          <w:p w:rsidR="009C775C" w:rsidRPr="00670830" w:rsidRDefault="0067258A"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Cartera óptima</w:t>
            </w:r>
          </w:p>
        </w:tc>
      </w:tr>
      <w:tr w:rsidR="009C775C" w:rsidRPr="00670830" w:rsidTr="009613F9">
        <w:trPr>
          <w:trHeight w:val="227"/>
          <w:jc w:val="center"/>
        </w:trPr>
        <w:tc>
          <w:tcPr>
            <w:tcW w:w="1304" w:type="dxa"/>
            <w:tcBorders>
              <w:top w:val="nil"/>
              <w:left w:val="single" w:sz="4" w:space="0" w:color="0070C0"/>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0.01541</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0.01177</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$15,408.11</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$11,766.97</w:t>
            </w:r>
          </w:p>
        </w:tc>
      </w:tr>
      <w:tr w:rsidR="009C775C" w:rsidRPr="00670830" w:rsidTr="009613F9">
        <w:trPr>
          <w:trHeight w:val="227"/>
          <w:jc w:val="center"/>
        </w:trPr>
        <w:tc>
          <w:tcPr>
            <w:tcW w:w="1304" w:type="dxa"/>
            <w:tcBorders>
              <w:top w:val="nil"/>
              <w:left w:val="single" w:sz="4" w:space="0" w:color="0070C0"/>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2%</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0.01447</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0.01105</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$14,470.29</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$11,050.78</w:t>
            </w:r>
          </w:p>
        </w:tc>
      </w:tr>
      <w:tr w:rsidR="009C775C" w:rsidRPr="00670830" w:rsidTr="009613F9">
        <w:trPr>
          <w:trHeight w:val="227"/>
          <w:jc w:val="center"/>
        </w:trPr>
        <w:tc>
          <w:tcPr>
            <w:tcW w:w="1304" w:type="dxa"/>
            <w:tcBorders>
              <w:top w:val="nil"/>
              <w:left w:val="single" w:sz="4" w:space="0" w:color="0070C0"/>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3%</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0.01384</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0.01057</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$13,840.45</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$10,569.78</w:t>
            </w:r>
          </w:p>
        </w:tc>
      </w:tr>
      <w:tr w:rsidR="009C775C" w:rsidRPr="00670830" w:rsidTr="009613F9">
        <w:trPr>
          <w:trHeight w:val="227"/>
          <w:jc w:val="center"/>
        </w:trPr>
        <w:tc>
          <w:tcPr>
            <w:tcW w:w="1304" w:type="dxa"/>
            <w:tcBorders>
              <w:top w:val="nil"/>
              <w:left w:val="single" w:sz="4" w:space="0" w:color="0070C0"/>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4%</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0.01335</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0.01020</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$13,353.36</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$10,197.79</w:t>
            </w:r>
          </w:p>
        </w:tc>
      </w:tr>
      <w:tr w:rsidR="009C775C" w:rsidRPr="00670830" w:rsidTr="009613F9">
        <w:trPr>
          <w:trHeight w:val="227"/>
          <w:jc w:val="center"/>
        </w:trPr>
        <w:tc>
          <w:tcPr>
            <w:tcW w:w="1304" w:type="dxa"/>
            <w:tcBorders>
              <w:top w:val="nil"/>
              <w:left w:val="single" w:sz="4" w:space="0" w:color="0070C0"/>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5%</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0.01295</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0.00989</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$12,946.56</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$9,887.12</w:t>
            </w:r>
          </w:p>
        </w:tc>
      </w:tr>
      <w:tr w:rsidR="009C775C" w:rsidRPr="00670830" w:rsidTr="009613F9">
        <w:trPr>
          <w:trHeight w:val="227"/>
          <w:jc w:val="center"/>
        </w:trPr>
        <w:tc>
          <w:tcPr>
            <w:tcW w:w="1304" w:type="dxa"/>
            <w:tcBorders>
              <w:top w:val="nil"/>
              <w:left w:val="single" w:sz="4" w:space="0" w:color="0070C0"/>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6%</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0.01259</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0.00961</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$12,587.42</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$9,612.85</w:t>
            </w:r>
          </w:p>
        </w:tc>
      </w:tr>
      <w:tr w:rsidR="009C775C" w:rsidRPr="00670830" w:rsidTr="009613F9">
        <w:trPr>
          <w:trHeight w:val="227"/>
          <w:jc w:val="center"/>
        </w:trPr>
        <w:tc>
          <w:tcPr>
            <w:tcW w:w="1304" w:type="dxa"/>
            <w:tcBorders>
              <w:top w:val="nil"/>
              <w:left w:val="single" w:sz="4" w:space="0" w:color="0070C0"/>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7%</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0.01226</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0.00936</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$12,259.35</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$9,362.31</w:t>
            </w:r>
          </w:p>
        </w:tc>
      </w:tr>
      <w:tr w:rsidR="009C775C" w:rsidRPr="00670830" w:rsidTr="009613F9">
        <w:trPr>
          <w:trHeight w:val="227"/>
          <w:jc w:val="center"/>
        </w:trPr>
        <w:tc>
          <w:tcPr>
            <w:tcW w:w="1304" w:type="dxa"/>
            <w:tcBorders>
              <w:top w:val="nil"/>
              <w:left w:val="single" w:sz="4" w:space="0" w:color="0070C0"/>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8%</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0.01196</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0.00914</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$11,964.91</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$9,137.45</w:t>
            </w:r>
          </w:p>
        </w:tc>
      </w:tr>
      <w:tr w:rsidR="009C775C" w:rsidRPr="00670830" w:rsidTr="009613F9">
        <w:trPr>
          <w:trHeight w:val="227"/>
          <w:jc w:val="center"/>
        </w:trPr>
        <w:tc>
          <w:tcPr>
            <w:tcW w:w="1304" w:type="dxa"/>
            <w:tcBorders>
              <w:top w:val="nil"/>
              <w:left w:val="single" w:sz="4" w:space="0" w:color="0070C0"/>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9%</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0.01168</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0.00892</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$11,684.87</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$8,923.58</w:t>
            </w:r>
          </w:p>
        </w:tc>
      </w:tr>
      <w:tr w:rsidR="009C775C" w:rsidRPr="00670830" w:rsidTr="009613F9">
        <w:trPr>
          <w:trHeight w:val="227"/>
          <w:jc w:val="center"/>
        </w:trPr>
        <w:tc>
          <w:tcPr>
            <w:tcW w:w="1304" w:type="dxa"/>
            <w:tcBorders>
              <w:top w:val="nil"/>
              <w:left w:val="single" w:sz="4" w:space="0" w:color="0070C0"/>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10%</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0.01144</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0.00874</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$11,442.55</w:t>
            </w:r>
          </w:p>
        </w:tc>
        <w:tc>
          <w:tcPr>
            <w:tcW w:w="1340" w:type="dxa"/>
            <w:tcBorders>
              <w:top w:val="nil"/>
              <w:left w:val="nil"/>
              <w:bottom w:val="single" w:sz="4" w:space="0" w:color="0070C0"/>
              <w:right w:val="single" w:sz="4" w:space="0" w:color="0070C0"/>
            </w:tcBorders>
            <w:shd w:val="clear" w:color="auto" w:fill="auto"/>
            <w:noWrap/>
            <w:vAlign w:val="bottom"/>
            <w:hideMark/>
          </w:tcPr>
          <w:p w:rsidR="009C775C" w:rsidRPr="00670830" w:rsidRDefault="009C775C"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$8,738.53</w:t>
            </w:r>
          </w:p>
        </w:tc>
      </w:tr>
    </w:tbl>
    <w:p w:rsidR="00FD0894" w:rsidRDefault="00FD0894" w:rsidP="00670830">
      <w:pPr>
        <w:spacing w:before="100" w:beforeAutospacing="1" w:after="100" w:afterAutospacing="1" w:line="360" w:lineRule="auto"/>
        <w:jc w:val="both"/>
        <w:rPr>
          <w:rFonts w:ascii="Arial" w:eastAsia="Arial Unicode MS" w:hAnsi="Arial" w:cs="Arial"/>
          <w:sz w:val="24"/>
          <w:szCs w:val="24"/>
        </w:rPr>
      </w:pPr>
    </w:p>
    <w:p w:rsidR="00670830" w:rsidRDefault="00670830" w:rsidP="00670830">
      <w:pPr>
        <w:spacing w:before="100" w:beforeAutospacing="1" w:after="100" w:afterAutospacing="1" w:line="360" w:lineRule="auto"/>
        <w:jc w:val="both"/>
        <w:rPr>
          <w:rFonts w:ascii="Arial" w:eastAsia="Arial Unicode MS" w:hAnsi="Arial" w:cs="Arial"/>
          <w:sz w:val="24"/>
          <w:szCs w:val="24"/>
        </w:rPr>
      </w:pPr>
    </w:p>
    <w:p w:rsidR="00670830" w:rsidRPr="00670830" w:rsidRDefault="00670830" w:rsidP="00670830">
      <w:pPr>
        <w:spacing w:before="100" w:beforeAutospacing="1" w:after="100" w:afterAutospacing="1" w:line="360" w:lineRule="auto"/>
        <w:jc w:val="both"/>
        <w:rPr>
          <w:rFonts w:ascii="Arial" w:eastAsia="Arial Unicode MS" w:hAnsi="Arial" w:cs="Arial"/>
          <w:sz w:val="24"/>
          <w:szCs w:val="24"/>
        </w:rPr>
      </w:pPr>
    </w:p>
    <w:p w:rsidR="009C775C" w:rsidRPr="00670830" w:rsidRDefault="00162A85"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noProof/>
          <w:sz w:val="24"/>
          <w:szCs w:val="24"/>
          <w:lang w:eastAsia="es-MX"/>
        </w:rPr>
        <mc:AlternateContent>
          <mc:Choice Requires="wps">
            <w:drawing>
              <wp:anchor distT="0" distB="0" distL="114300" distR="114300" simplePos="0" relativeHeight="251661312" behindDoc="0" locked="0" layoutInCell="1" allowOverlap="1" wp14:anchorId="10203D90" wp14:editId="3FE680C0">
                <wp:simplePos x="0" y="0"/>
                <wp:positionH relativeFrom="column">
                  <wp:posOffset>1737493</wp:posOffset>
                </wp:positionH>
                <wp:positionV relativeFrom="paragraph">
                  <wp:posOffset>21944</wp:posOffset>
                </wp:positionV>
                <wp:extent cx="2753832" cy="476250"/>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53832" cy="476250"/>
                        </a:xfrm>
                        <a:prstGeom prst="rect">
                          <a:avLst/>
                        </a:prstGeom>
                        <a:noFill/>
                        <a:ln w="9525">
                          <a:noFill/>
                          <a:miter lim="800000"/>
                          <a:headEnd/>
                          <a:tailEnd/>
                        </a:ln>
                      </wps:spPr>
                      <wps:txbx>
                        <w:txbxContent>
                          <w:p w:rsidR="00AC26BD" w:rsidRPr="00DA1B41" w:rsidRDefault="00AC26BD" w:rsidP="00162A85">
                            <w:pPr>
                              <w:spacing w:after="0" w:line="240" w:lineRule="auto"/>
                              <w:jc w:val="center"/>
                              <w:rPr>
                                <w:rFonts w:ascii="Arial" w:hAnsi="Arial" w:cs="Arial"/>
                                <w:b/>
                                <w:sz w:val="24"/>
                                <w:szCs w:val="24"/>
                              </w:rPr>
                            </w:pPr>
                            <w:r w:rsidRPr="00DA1B41">
                              <w:rPr>
                                <w:rFonts w:ascii="Arial" w:hAnsi="Arial" w:cs="Arial"/>
                                <w:b/>
                                <w:sz w:val="24"/>
                                <w:szCs w:val="24"/>
                              </w:rPr>
                              <w:t>Valor en Riesgo (</w:t>
                            </w:r>
                            <w:proofErr w:type="spellStart"/>
                            <w:r w:rsidRPr="00DA1B41">
                              <w:rPr>
                                <w:rFonts w:ascii="Arial" w:hAnsi="Arial" w:cs="Arial"/>
                                <w:b/>
                                <w:sz w:val="24"/>
                                <w:szCs w:val="24"/>
                              </w:rPr>
                              <w:t>VaR</w:t>
                            </w:r>
                            <w:proofErr w:type="spellEnd"/>
                            <w:r w:rsidRPr="00DA1B41">
                              <w:rPr>
                                <w:rFonts w:ascii="Arial" w:hAnsi="Arial" w:cs="Arial"/>
                                <w:b/>
                                <w:sz w:val="24"/>
                                <w:szCs w:val="24"/>
                              </w:rPr>
                              <w:t>)</w:t>
                            </w:r>
                          </w:p>
                          <w:p w:rsidR="00AC26BD" w:rsidRPr="00DA1B41" w:rsidRDefault="00AC26BD" w:rsidP="00162A85">
                            <w:pPr>
                              <w:spacing w:after="0" w:line="240" w:lineRule="auto"/>
                              <w:jc w:val="center"/>
                              <w:rPr>
                                <w:rFonts w:ascii="Arial" w:hAnsi="Arial" w:cs="Arial"/>
                                <w:b/>
                                <w:sz w:val="24"/>
                                <w:szCs w:val="24"/>
                              </w:rPr>
                            </w:pPr>
                            <w:r w:rsidRPr="00DA1B41">
                              <w:rPr>
                                <w:rFonts w:ascii="Arial" w:hAnsi="Arial" w:cs="Arial"/>
                                <w:b/>
                                <w:sz w:val="24"/>
                                <w:szCs w:val="24"/>
                              </w:rPr>
                              <w:t>Inversión Inicial: $1</w:t>
                            </w:r>
                            <w:proofErr w:type="gramStart"/>
                            <w:r w:rsidRPr="00DA1B41">
                              <w:rPr>
                                <w:rFonts w:ascii="Arial" w:hAnsi="Arial" w:cs="Arial"/>
                                <w:b/>
                                <w:sz w:val="24"/>
                                <w:szCs w:val="24"/>
                              </w:rPr>
                              <w:t>,0000,00.00</w:t>
                            </w:r>
                            <w:proofErr w:type="gram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136.8pt;margin-top:1.75pt;width:216.85pt;height: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" filled="f" stroked="f">
                <v:textbox>
                  <w:txbxContent>
                    <w:p w:rsidR="00AC26BD" w:rsidRPr="00DA1B41" w:rsidRDefault="00AC26BD" w:rsidP="00162A85">
                      <w:pPr>
                        <w:spacing w:after="0" w:line="240" w:lineRule="auto"/>
                        <w:jc w:val="center"/>
                        <w:rPr>
                          <w:rFonts w:ascii="Arial" w:hAnsi="Arial" w:cs="Arial"/>
                          <w:b/>
                          <w:sz w:val="24"/>
                          <w:szCs w:val="24"/>
                        </w:rPr>
                      </w:pPr>
                      <w:r w:rsidRPr="00DA1B41">
                        <w:rPr>
                          <w:rFonts w:ascii="Arial" w:hAnsi="Arial" w:cs="Arial"/>
                          <w:b/>
                          <w:sz w:val="24"/>
                          <w:szCs w:val="24"/>
                        </w:rPr>
                        <w:t>Valor en Riesgo (</w:t>
                      </w:r>
                      <w:proofErr w:type="spellStart"/>
                      <w:r w:rsidRPr="00DA1B41">
                        <w:rPr>
                          <w:rFonts w:ascii="Arial" w:hAnsi="Arial" w:cs="Arial"/>
                          <w:b/>
                          <w:sz w:val="24"/>
                          <w:szCs w:val="24"/>
                        </w:rPr>
                        <w:t>VaR</w:t>
                      </w:r>
                      <w:proofErr w:type="spellEnd"/>
                      <w:r w:rsidRPr="00DA1B41">
                        <w:rPr>
                          <w:rFonts w:ascii="Arial" w:hAnsi="Arial" w:cs="Arial"/>
                          <w:b/>
                          <w:sz w:val="24"/>
                          <w:szCs w:val="24"/>
                        </w:rPr>
                        <w:t>)</w:t>
                      </w:r>
                    </w:p>
                    <w:p w:rsidR="00AC26BD" w:rsidRPr="00DA1B41" w:rsidRDefault="00AC26BD" w:rsidP="00162A85">
                      <w:pPr>
                        <w:spacing w:after="0" w:line="240" w:lineRule="auto"/>
                        <w:jc w:val="center"/>
                        <w:rPr>
                          <w:rFonts w:ascii="Arial" w:hAnsi="Arial" w:cs="Arial"/>
                          <w:b/>
                          <w:sz w:val="24"/>
                          <w:szCs w:val="24"/>
                        </w:rPr>
                      </w:pPr>
                      <w:r w:rsidRPr="00DA1B41">
                        <w:rPr>
                          <w:rFonts w:ascii="Arial" w:hAnsi="Arial" w:cs="Arial"/>
                          <w:b/>
                          <w:sz w:val="24"/>
                          <w:szCs w:val="24"/>
                        </w:rPr>
                        <w:t>Inversión Inicial: $1</w:t>
                      </w:r>
                      <w:proofErr w:type="gramStart"/>
                      <w:r w:rsidRPr="00DA1B41">
                        <w:rPr>
                          <w:rFonts w:ascii="Arial" w:hAnsi="Arial" w:cs="Arial"/>
                          <w:b/>
                          <w:sz w:val="24"/>
                          <w:szCs w:val="24"/>
                        </w:rPr>
                        <w:t>,0000,00.00</w:t>
                      </w:r>
                      <w:proofErr w:type="gramEnd"/>
                    </w:p>
                  </w:txbxContent>
                </v:textbox>
              </v:shape>
            </w:pict>
          </mc:Fallback>
        </mc:AlternateContent>
      </w:r>
    </w:p>
    <w:p w:rsidR="00A22085" w:rsidRPr="00670830" w:rsidRDefault="0067258A" w:rsidP="00670830">
      <w:pPr>
        <w:spacing w:before="100" w:beforeAutospacing="1" w:after="100" w:afterAutospacing="1" w:line="360" w:lineRule="auto"/>
        <w:jc w:val="center"/>
        <w:rPr>
          <w:rFonts w:ascii="Arial" w:eastAsia="Arial Unicode MS" w:hAnsi="Arial" w:cs="Arial"/>
          <w:sz w:val="24"/>
          <w:szCs w:val="24"/>
        </w:rPr>
      </w:pPr>
      <w:r w:rsidRPr="00670830">
        <w:rPr>
          <w:rFonts w:ascii="Arial" w:eastAsia="Arial Unicode MS" w:hAnsi="Arial" w:cs="Arial"/>
          <w:noProof/>
          <w:sz w:val="24"/>
          <w:szCs w:val="24"/>
          <w:lang w:eastAsia="es-MX"/>
        </w:rPr>
        <w:drawing>
          <wp:inline distT="0" distB="0" distL="0" distR="0" wp14:anchorId="08E60B83" wp14:editId="7C54582F">
            <wp:extent cx="4755806" cy="2849526"/>
            <wp:effectExtent l="0" t="0" r="6985" b="825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55806" cy="2849526"/>
                    </a:xfrm>
                    <a:prstGeom prst="rect">
                      <a:avLst/>
                    </a:prstGeom>
                    <a:noFill/>
                  </pic:spPr>
                </pic:pic>
              </a:graphicData>
            </a:graphic>
          </wp:inline>
        </w:drawing>
      </w:r>
    </w:p>
    <w:p w:rsidR="00FD0894" w:rsidRPr="00670830" w:rsidRDefault="00FD0894" w:rsidP="00670830">
      <w:pPr>
        <w:spacing w:before="100" w:beforeAutospacing="1" w:after="100" w:afterAutospacing="1" w:line="360" w:lineRule="auto"/>
        <w:jc w:val="both"/>
        <w:rPr>
          <w:rFonts w:ascii="Arial" w:eastAsia="Arial Unicode MS" w:hAnsi="Arial" w:cs="Arial"/>
          <w:sz w:val="24"/>
          <w:szCs w:val="24"/>
        </w:rPr>
      </w:pPr>
    </w:p>
    <w:p w:rsidR="00E74B03" w:rsidRPr="00670830" w:rsidRDefault="00E74B03"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tabla anterior nos muestra, para una inversión de un millón de pesos, bajo los niveles de confianza determinados, la máxima pérdida esperada de</w:t>
      </w:r>
      <w:r w:rsidR="009C59F3" w:rsidRPr="00670830">
        <w:rPr>
          <w:rFonts w:ascii="Arial" w:eastAsia="Arial Unicode MS" w:hAnsi="Arial" w:cs="Arial"/>
          <w:sz w:val="24"/>
          <w:szCs w:val="24"/>
        </w:rPr>
        <w:t xml:space="preserve"> </w:t>
      </w:r>
      <w:r w:rsidRPr="00670830">
        <w:rPr>
          <w:rFonts w:ascii="Arial" w:eastAsia="Arial Unicode MS" w:hAnsi="Arial" w:cs="Arial"/>
          <w:sz w:val="24"/>
          <w:szCs w:val="24"/>
        </w:rPr>
        <w:t>l</w:t>
      </w:r>
      <w:r w:rsidR="009C59F3" w:rsidRPr="00670830">
        <w:rPr>
          <w:rFonts w:ascii="Arial" w:eastAsia="Arial Unicode MS" w:hAnsi="Arial" w:cs="Arial"/>
          <w:sz w:val="24"/>
          <w:szCs w:val="24"/>
        </w:rPr>
        <w:t>a cartera diversificada</w:t>
      </w:r>
      <w:r w:rsidRPr="00670830">
        <w:rPr>
          <w:rFonts w:ascii="Arial" w:eastAsia="Arial Unicode MS" w:hAnsi="Arial" w:cs="Arial"/>
          <w:sz w:val="24"/>
          <w:szCs w:val="24"/>
        </w:rPr>
        <w:t xml:space="preserve"> aleatoriamente es sie</w:t>
      </w:r>
      <w:r w:rsidR="009C59F3" w:rsidRPr="00670830">
        <w:rPr>
          <w:rFonts w:ascii="Arial" w:eastAsia="Arial Unicode MS" w:hAnsi="Arial" w:cs="Arial"/>
          <w:sz w:val="24"/>
          <w:szCs w:val="24"/>
        </w:rPr>
        <w:t>mpre mayor que la de la cartera diversificada</w:t>
      </w:r>
      <w:r w:rsidRPr="00670830">
        <w:rPr>
          <w:rFonts w:ascii="Arial" w:eastAsia="Arial Unicode MS" w:hAnsi="Arial" w:cs="Arial"/>
          <w:sz w:val="24"/>
          <w:szCs w:val="24"/>
        </w:rPr>
        <w:t xml:space="preserve"> científicamente en el período de tiempo estudiado.</w:t>
      </w:r>
    </w:p>
    <w:p w:rsidR="00FD0894" w:rsidRDefault="00FD0894" w:rsidP="00670830">
      <w:pPr>
        <w:spacing w:before="100" w:beforeAutospacing="1" w:after="100" w:afterAutospacing="1" w:line="360" w:lineRule="auto"/>
        <w:rPr>
          <w:rFonts w:ascii="Arial" w:hAnsi="Arial" w:cs="Arial"/>
          <w:sz w:val="24"/>
          <w:szCs w:val="24"/>
        </w:rPr>
      </w:pPr>
    </w:p>
    <w:p w:rsidR="00670830" w:rsidRDefault="00670830" w:rsidP="00670830">
      <w:pPr>
        <w:spacing w:before="100" w:beforeAutospacing="1" w:after="100" w:afterAutospacing="1" w:line="360" w:lineRule="auto"/>
        <w:rPr>
          <w:rFonts w:ascii="Arial" w:hAnsi="Arial" w:cs="Arial"/>
          <w:sz w:val="24"/>
          <w:szCs w:val="24"/>
        </w:rPr>
      </w:pPr>
    </w:p>
    <w:p w:rsidR="00670830" w:rsidRDefault="00670830" w:rsidP="00670830">
      <w:pPr>
        <w:spacing w:before="100" w:beforeAutospacing="1" w:after="100" w:afterAutospacing="1" w:line="360" w:lineRule="auto"/>
        <w:rPr>
          <w:rFonts w:ascii="Arial" w:hAnsi="Arial" w:cs="Arial"/>
          <w:sz w:val="24"/>
          <w:szCs w:val="24"/>
        </w:rPr>
      </w:pPr>
    </w:p>
    <w:p w:rsidR="00670830" w:rsidRDefault="00670830" w:rsidP="00670830">
      <w:pPr>
        <w:spacing w:before="100" w:beforeAutospacing="1" w:after="100" w:afterAutospacing="1" w:line="360" w:lineRule="auto"/>
        <w:rPr>
          <w:rFonts w:ascii="Arial" w:hAnsi="Arial" w:cs="Arial"/>
          <w:sz w:val="24"/>
          <w:szCs w:val="24"/>
        </w:rPr>
      </w:pPr>
    </w:p>
    <w:p w:rsidR="00670830" w:rsidRDefault="00670830" w:rsidP="00670830">
      <w:pPr>
        <w:spacing w:before="100" w:beforeAutospacing="1" w:after="100" w:afterAutospacing="1" w:line="360" w:lineRule="auto"/>
        <w:rPr>
          <w:rFonts w:ascii="Arial" w:hAnsi="Arial" w:cs="Arial"/>
          <w:sz w:val="24"/>
          <w:szCs w:val="24"/>
        </w:rPr>
      </w:pPr>
    </w:p>
    <w:p w:rsidR="00670830" w:rsidRPr="00670830" w:rsidRDefault="00670830" w:rsidP="00670830">
      <w:pPr>
        <w:spacing w:before="100" w:beforeAutospacing="1" w:after="100" w:afterAutospacing="1" w:line="360" w:lineRule="auto"/>
        <w:rPr>
          <w:rFonts w:ascii="Arial" w:hAnsi="Arial" w:cs="Arial"/>
          <w:sz w:val="24"/>
          <w:szCs w:val="24"/>
        </w:rPr>
      </w:pPr>
    </w:p>
    <w:p w:rsidR="00A22085" w:rsidRPr="00670830" w:rsidRDefault="00D042B7" w:rsidP="00670830">
      <w:pPr>
        <w:pStyle w:val="Ttulo1"/>
        <w:spacing w:before="100" w:beforeAutospacing="1" w:after="100" w:afterAutospacing="1" w:line="360" w:lineRule="auto"/>
        <w:jc w:val="center"/>
        <w:rPr>
          <w:rFonts w:ascii="Arial" w:eastAsia="Arial Unicode MS" w:hAnsi="Arial" w:cs="Arial"/>
          <w:color w:val="auto"/>
          <w:sz w:val="24"/>
          <w:szCs w:val="24"/>
        </w:rPr>
      </w:pPr>
      <w:bookmarkStart w:id="43" w:name="_Toc488230520"/>
      <w:r w:rsidRPr="00670830">
        <w:rPr>
          <w:rFonts w:ascii="Arial" w:eastAsia="Arial Unicode MS" w:hAnsi="Arial" w:cs="Arial"/>
          <w:color w:val="auto"/>
          <w:sz w:val="24"/>
          <w:szCs w:val="24"/>
        </w:rPr>
        <w:t>Conclusiones</w:t>
      </w:r>
      <w:bookmarkEnd w:id="43"/>
    </w:p>
    <w:p w:rsidR="00A22085" w:rsidRPr="00670830" w:rsidRDefault="00723775" w:rsidP="00670830">
      <w:pPr>
        <w:tabs>
          <w:tab w:val="left" w:pos="160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El objetivo </w:t>
      </w:r>
      <w:r w:rsidR="00FE35E3" w:rsidRPr="00670830">
        <w:rPr>
          <w:rFonts w:ascii="Arial" w:eastAsia="Arial Unicode MS" w:hAnsi="Arial" w:cs="Arial"/>
          <w:sz w:val="24"/>
          <w:szCs w:val="24"/>
        </w:rPr>
        <w:t>del pres</w:t>
      </w:r>
      <w:r w:rsidR="008D7A42" w:rsidRPr="00670830">
        <w:rPr>
          <w:rFonts w:ascii="Arial" w:eastAsia="Arial Unicode MS" w:hAnsi="Arial" w:cs="Arial"/>
          <w:sz w:val="24"/>
          <w:szCs w:val="24"/>
        </w:rPr>
        <w:t>ente análisis fue el de contrastar</w:t>
      </w:r>
      <w:r w:rsidR="00FE35E3" w:rsidRPr="00670830">
        <w:rPr>
          <w:rFonts w:ascii="Arial" w:eastAsia="Arial Unicode MS" w:hAnsi="Arial" w:cs="Arial"/>
          <w:sz w:val="24"/>
          <w:szCs w:val="24"/>
        </w:rPr>
        <w:t xml:space="preserve"> el valor en</w:t>
      </w:r>
      <w:r w:rsidR="00166CA0" w:rsidRPr="00670830">
        <w:rPr>
          <w:rFonts w:ascii="Arial" w:eastAsia="Arial Unicode MS" w:hAnsi="Arial" w:cs="Arial"/>
          <w:sz w:val="24"/>
          <w:szCs w:val="24"/>
        </w:rPr>
        <w:t xml:space="preserve"> riesgo (</w:t>
      </w:r>
      <w:proofErr w:type="spellStart"/>
      <w:r w:rsidR="00166CA0" w:rsidRPr="00670830">
        <w:rPr>
          <w:rFonts w:ascii="Arial" w:eastAsia="Arial Unicode MS" w:hAnsi="Arial" w:cs="Arial"/>
          <w:sz w:val="24"/>
          <w:szCs w:val="24"/>
        </w:rPr>
        <w:t>VaR</w:t>
      </w:r>
      <w:proofErr w:type="spellEnd"/>
      <w:r w:rsidR="00166CA0" w:rsidRPr="00670830">
        <w:rPr>
          <w:rFonts w:ascii="Arial" w:eastAsia="Arial Unicode MS" w:hAnsi="Arial" w:cs="Arial"/>
          <w:sz w:val="24"/>
          <w:szCs w:val="24"/>
        </w:rPr>
        <w:t>) de dos carteras</w:t>
      </w:r>
      <w:r w:rsidR="00FE35E3" w:rsidRPr="00670830">
        <w:rPr>
          <w:rFonts w:ascii="Arial" w:eastAsia="Arial Unicode MS" w:hAnsi="Arial" w:cs="Arial"/>
          <w:sz w:val="24"/>
          <w:szCs w:val="24"/>
        </w:rPr>
        <w:t xml:space="preserve"> de inversión</w:t>
      </w:r>
      <w:r w:rsidR="00A74AB4" w:rsidRPr="00670830">
        <w:rPr>
          <w:rFonts w:ascii="Arial" w:eastAsia="Arial Unicode MS" w:hAnsi="Arial" w:cs="Arial"/>
          <w:sz w:val="24"/>
          <w:szCs w:val="24"/>
        </w:rPr>
        <w:t>,</w:t>
      </w:r>
      <w:r w:rsidR="00FE35E3" w:rsidRPr="00670830">
        <w:rPr>
          <w:rFonts w:ascii="Arial" w:eastAsia="Arial Unicode MS" w:hAnsi="Arial" w:cs="Arial"/>
          <w:sz w:val="24"/>
          <w:szCs w:val="24"/>
        </w:rPr>
        <w:t xml:space="preserve"> conformados </w:t>
      </w:r>
      <w:r w:rsidR="00761752" w:rsidRPr="00670830">
        <w:rPr>
          <w:rFonts w:ascii="Arial" w:eastAsia="Arial Unicode MS" w:hAnsi="Arial" w:cs="Arial"/>
          <w:sz w:val="24"/>
          <w:szCs w:val="24"/>
        </w:rPr>
        <w:t xml:space="preserve">por acciones que cotizan en la Bolsa Mexicana de Valores, </w:t>
      </w:r>
      <w:r w:rsidR="00FE35E3" w:rsidRPr="00670830">
        <w:rPr>
          <w:rFonts w:ascii="Arial" w:eastAsia="Arial Unicode MS" w:hAnsi="Arial" w:cs="Arial"/>
          <w:sz w:val="24"/>
          <w:szCs w:val="24"/>
        </w:rPr>
        <w:t>mediante dos diferentes técnicas</w:t>
      </w:r>
      <w:r w:rsidR="00A74AB4" w:rsidRPr="00670830">
        <w:rPr>
          <w:rFonts w:ascii="Arial" w:eastAsia="Arial Unicode MS" w:hAnsi="Arial" w:cs="Arial"/>
          <w:sz w:val="24"/>
          <w:szCs w:val="24"/>
        </w:rPr>
        <w:t>,</w:t>
      </w:r>
      <w:r w:rsidR="00761752" w:rsidRPr="00670830">
        <w:rPr>
          <w:rFonts w:ascii="Arial" w:eastAsia="Arial Unicode MS" w:hAnsi="Arial" w:cs="Arial"/>
          <w:sz w:val="24"/>
          <w:szCs w:val="24"/>
        </w:rPr>
        <w:t xml:space="preserve"> con la finalidad de</w:t>
      </w:r>
      <w:r w:rsidR="00FE35E3" w:rsidRPr="00670830">
        <w:rPr>
          <w:rFonts w:ascii="Arial" w:eastAsia="Arial Unicode MS" w:hAnsi="Arial" w:cs="Arial"/>
          <w:sz w:val="24"/>
          <w:szCs w:val="24"/>
        </w:rPr>
        <w:t xml:space="preserve"> identificar el método más eficiente.</w:t>
      </w:r>
    </w:p>
    <w:p w:rsidR="00FE35E3" w:rsidRPr="00670830" w:rsidRDefault="00A74AB4" w:rsidP="00670830">
      <w:pPr>
        <w:tabs>
          <w:tab w:val="left" w:pos="160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Para conseguir lo anterior, partimos de lo general a lo particular, en el primer capítulo, se presentó una introducción al Sistema Financiero Mexicano haciendo referencia a las instituciones y organismos que lo conforman. Se comentó acerca de las funciones y la importancia de las actividades financieras en nuestro país</w:t>
      </w:r>
      <w:r w:rsidR="006E563E" w:rsidRPr="00670830">
        <w:rPr>
          <w:rFonts w:ascii="Arial" w:eastAsia="Arial Unicode MS" w:hAnsi="Arial" w:cs="Arial"/>
          <w:sz w:val="24"/>
          <w:szCs w:val="24"/>
        </w:rPr>
        <w:t>, así como de la correcta supervisión y regulación por parte de las autoridades y organismos supervisores.</w:t>
      </w:r>
      <w:r w:rsidRPr="00670830">
        <w:rPr>
          <w:rFonts w:ascii="Arial" w:eastAsia="Arial Unicode MS" w:hAnsi="Arial" w:cs="Arial"/>
          <w:sz w:val="24"/>
          <w:szCs w:val="24"/>
        </w:rPr>
        <w:t xml:space="preserve"> </w:t>
      </w:r>
    </w:p>
    <w:p w:rsidR="00FD3636" w:rsidRPr="00670830" w:rsidRDefault="00FD363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Dentro de este primer capítulo, se definió de manera introductoria, los mercados financieros como los foros y conjuntos de reglas que permiten a los participantes realizar operaciones de inversión, financiamiento y cobertura, a través de diferentes intermediarios, mediante la negociación de diversos instrumentos financieros (acciones, bonos, derivados, divisas, etc.). Se mencionó también,  la importancia de los mercados en el crecimiento económico de cualquier país.</w:t>
      </w:r>
    </w:p>
    <w:p w:rsidR="00581F95" w:rsidRPr="00670830" w:rsidRDefault="00320CB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Para </w:t>
      </w:r>
      <w:r w:rsidR="0025013D" w:rsidRPr="00670830">
        <w:rPr>
          <w:rFonts w:ascii="Arial" w:eastAsia="Arial Unicode MS" w:hAnsi="Arial" w:cs="Arial"/>
          <w:sz w:val="24"/>
          <w:szCs w:val="24"/>
        </w:rPr>
        <w:t xml:space="preserve">llevar a cabo nuestro estudio, se construyeron dos </w:t>
      </w:r>
      <w:r w:rsidR="00166CA0" w:rsidRPr="00670830">
        <w:rPr>
          <w:rFonts w:ascii="Arial" w:eastAsia="Arial Unicode MS" w:hAnsi="Arial" w:cs="Arial"/>
          <w:sz w:val="24"/>
          <w:szCs w:val="24"/>
        </w:rPr>
        <w:t>carteras</w:t>
      </w:r>
      <w:r w:rsidR="0025013D" w:rsidRPr="00670830">
        <w:rPr>
          <w:rFonts w:ascii="Arial" w:eastAsia="Arial Unicode MS" w:hAnsi="Arial" w:cs="Arial"/>
          <w:sz w:val="24"/>
          <w:szCs w:val="24"/>
        </w:rPr>
        <w:t xml:space="preserve"> de inversión con </w:t>
      </w:r>
      <w:r w:rsidR="00761752" w:rsidRPr="00670830">
        <w:rPr>
          <w:rFonts w:ascii="Arial" w:eastAsia="Arial Unicode MS" w:hAnsi="Arial" w:cs="Arial"/>
          <w:sz w:val="24"/>
          <w:szCs w:val="24"/>
        </w:rPr>
        <w:t xml:space="preserve"> </w:t>
      </w:r>
      <w:r w:rsidRPr="00670830">
        <w:rPr>
          <w:rFonts w:ascii="Arial" w:eastAsia="Arial Unicode MS" w:hAnsi="Arial" w:cs="Arial"/>
          <w:sz w:val="24"/>
          <w:szCs w:val="24"/>
        </w:rPr>
        <w:t xml:space="preserve">acciones que cotizan en la BMV y forman parte de la muestra del IPC,  es por ello que en el segundo capítulo se </w:t>
      </w:r>
      <w:r w:rsidR="00581F95" w:rsidRPr="00670830">
        <w:rPr>
          <w:rFonts w:ascii="Arial" w:eastAsia="Arial Unicode MS" w:hAnsi="Arial" w:cs="Arial"/>
          <w:sz w:val="24"/>
          <w:szCs w:val="24"/>
        </w:rPr>
        <w:t>detalló en Mercado de Capitales. E</w:t>
      </w:r>
      <w:r w:rsidRPr="00670830">
        <w:rPr>
          <w:rFonts w:ascii="Arial" w:eastAsia="Arial Unicode MS" w:hAnsi="Arial" w:cs="Arial"/>
          <w:sz w:val="24"/>
          <w:szCs w:val="24"/>
        </w:rPr>
        <w:t xml:space="preserve">studiamos los diferentes instrumentos que se negocian, se describieron los diferentes tipos de acciones y la manera en que se valúan. </w:t>
      </w:r>
    </w:p>
    <w:p w:rsidR="00FD3636" w:rsidRPr="00670830" w:rsidRDefault="00320CB8"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Se describió el sistema mediante el cual se realizan las operaciones en la BMV y se detalló la metodología de construcción del IPC así como la lista de las acciones que lo conforman (al </w:t>
      </w:r>
      <w:r w:rsidR="00581F95" w:rsidRPr="00670830">
        <w:rPr>
          <w:rFonts w:ascii="Arial" w:eastAsia="Arial Unicode MS" w:hAnsi="Arial" w:cs="Arial"/>
          <w:sz w:val="24"/>
          <w:szCs w:val="24"/>
        </w:rPr>
        <w:t>cierre de junio del 2015</w:t>
      </w:r>
      <w:r w:rsidRPr="00670830">
        <w:rPr>
          <w:rFonts w:ascii="Arial" w:eastAsia="Arial Unicode MS" w:hAnsi="Arial" w:cs="Arial"/>
          <w:sz w:val="24"/>
          <w:szCs w:val="24"/>
        </w:rPr>
        <w:t>).</w:t>
      </w:r>
    </w:p>
    <w:p w:rsidR="00581F95" w:rsidRPr="00670830" w:rsidRDefault="00F37F5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En el tercer capítulo, se definió la palabra riesgo, entendimos que el riesgo es algo inherente a cualquier actividad económica y más aún, a cualquier actividad humana. </w:t>
      </w:r>
    </w:p>
    <w:p w:rsidR="00581F95" w:rsidRPr="00670830" w:rsidRDefault="00F37F5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El poder reconocer, medir y administrar los riesgos el cualquier proceso de toma de decisiones es un factor clave para cualquier actividad. </w:t>
      </w:r>
    </w:p>
    <w:p w:rsidR="00320CB8" w:rsidRPr="00670830" w:rsidRDefault="00F37F56"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Estudiamos también el Modelo de </w:t>
      </w:r>
      <w:proofErr w:type="spellStart"/>
      <w:r w:rsidRPr="00670830">
        <w:rPr>
          <w:rFonts w:ascii="Arial" w:eastAsia="Arial Unicode MS" w:hAnsi="Arial" w:cs="Arial"/>
          <w:sz w:val="24"/>
          <w:szCs w:val="24"/>
        </w:rPr>
        <w:t>Markowitz</w:t>
      </w:r>
      <w:proofErr w:type="spellEnd"/>
      <w:r w:rsidRPr="00670830">
        <w:rPr>
          <w:rFonts w:ascii="Arial" w:eastAsia="Arial Unicode MS" w:hAnsi="Arial" w:cs="Arial"/>
          <w:sz w:val="24"/>
          <w:szCs w:val="24"/>
        </w:rPr>
        <w:t xml:space="preserve"> y su teoría de conformación de </w:t>
      </w:r>
      <w:r w:rsidR="00166CA0" w:rsidRPr="00670830">
        <w:rPr>
          <w:rFonts w:ascii="Arial" w:eastAsia="Arial Unicode MS" w:hAnsi="Arial" w:cs="Arial"/>
          <w:sz w:val="24"/>
          <w:szCs w:val="24"/>
        </w:rPr>
        <w:t>carteras</w:t>
      </w:r>
      <w:r w:rsidRPr="00670830">
        <w:rPr>
          <w:rFonts w:ascii="Arial" w:eastAsia="Arial Unicode MS" w:hAnsi="Arial" w:cs="Arial"/>
          <w:sz w:val="24"/>
          <w:szCs w:val="24"/>
        </w:rPr>
        <w:t xml:space="preserve"> de inversión, así como el modelo del CAPM, Capital </w:t>
      </w:r>
      <w:proofErr w:type="spellStart"/>
      <w:r w:rsidRPr="00670830">
        <w:rPr>
          <w:rFonts w:ascii="Arial" w:eastAsia="Arial Unicode MS" w:hAnsi="Arial" w:cs="Arial"/>
          <w:sz w:val="24"/>
          <w:szCs w:val="24"/>
        </w:rPr>
        <w:t>Asset</w:t>
      </w:r>
      <w:proofErr w:type="spellEnd"/>
      <w:r w:rsidRPr="00670830">
        <w:rPr>
          <w:rFonts w:ascii="Arial" w:eastAsia="Arial Unicode MS" w:hAnsi="Arial" w:cs="Arial"/>
          <w:sz w:val="24"/>
          <w:szCs w:val="24"/>
        </w:rPr>
        <w:t xml:space="preserve"> </w:t>
      </w:r>
      <w:proofErr w:type="spellStart"/>
      <w:r w:rsidRPr="00670830">
        <w:rPr>
          <w:rFonts w:ascii="Arial" w:eastAsia="Arial Unicode MS" w:hAnsi="Arial" w:cs="Arial"/>
          <w:sz w:val="24"/>
          <w:szCs w:val="24"/>
        </w:rPr>
        <w:t>Pricing</w:t>
      </w:r>
      <w:proofErr w:type="spellEnd"/>
      <w:r w:rsidRPr="00670830">
        <w:rPr>
          <w:rFonts w:ascii="Arial" w:eastAsia="Arial Unicode MS" w:hAnsi="Arial" w:cs="Arial"/>
          <w:sz w:val="24"/>
          <w:szCs w:val="24"/>
        </w:rPr>
        <w:t xml:space="preserve"> </w:t>
      </w:r>
      <w:proofErr w:type="spellStart"/>
      <w:r w:rsidRPr="00670830">
        <w:rPr>
          <w:rFonts w:ascii="Arial" w:eastAsia="Arial Unicode MS" w:hAnsi="Arial" w:cs="Arial"/>
          <w:sz w:val="24"/>
          <w:szCs w:val="24"/>
        </w:rPr>
        <w:t>Model</w:t>
      </w:r>
      <w:proofErr w:type="spellEnd"/>
      <w:r w:rsidRPr="00670830">
        <w:rPr>
          <w:rFonts w:ascii="Arial" w:eastAsia="Arial Unicode MS" w:hAnsi="Arial" w:cs="Arial"/>
          <w:sz w:val="24"/>
          <w:szCs w:val="24"/>
        </w:rPr>
        <w:t>, cuya principal función consiste en la medición de la relación entre el riesgo y rendimiento. Utilizamos estas dos her</w:t>
      </w:r>
      <w:r w:rsidR="00166CA0" w:rsidRPr="00670830">
        <w:rPr>
          <w:rFonts w:ascii="Arial" w:eastAsia="Arial Unicode MS" w:hAnsi="Arial" w:cs="Arial"/>
          <w:sz w:val="24"/>
          <w:szCs w:val="24"/>
        </w:rPr>
        <w:t>ramientas para construir nuestras carteras</w:t>
      </w:r>
      <w:r w:rsidRPr="00670830">
        <w:rPr>
          <w:rFonts w:ascii="Arial" w:eastAsia="Arial Unicode MS" w:hAnsi="Arial" w:cs="Arial"/>
          <w:sz w:val="24"/>
          <w:szCs w:val="24"/>
        </w:rPr>
        <w:t xml:space="preserve"> de inversión.    </w:t>
      </w:r>
    </w:p>
    <w:p w:rsidR="00581F95" w:rsidRPr="00670830" w:rsidRDefault="00402329"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En este tercer capítulo, hablamos también de la medida más utilizada para cuantificar los riesgos financieros, el valor en riesgo (</w:t>
      </w:r>
      <w:proofErr w:type="spellStart"/>
      <w:r w:rsidRPr="00670830">
        <w:rPr>
          <w:rFonts w:ascii="Arial" w:eastAsia="Arial Unicode MS" w:hAnsi="Arial" w:cs="Arial"/>
          <w:sz w:val="24"/>
          <w:szCs w:val="24"/>
        </w:rPr>
        <w:t>VaR</w:t>
      </w:r>
      <w:proofErr w:type="spellEnd"/>
      <w:r w:rsidRPr="00670830">
        <w:rPr>
          <w:rFonts w:ascii="Arial" w:eastAsia="Arial Unicode MS" w:hAnsi="Arial" w:cs="Arial"/>
          <w:sz w:val="24"/>
          <w:szCs w:val="24"/>
        </w:rPr>
        <w:t xml:space="preserve">), se explicó su origen, como se define y los diferentes métodos para calcularlos. </w:t>
      </w:r>
    </w:p>
    <w:p w:rsidR="00402329" w:rsidRPr="00670830" w:rsidRDefault="00402329"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Para efectos de nuestro análisis partimos del supuesto que los rendimientos de los precios diarios de nuestra muestra se distribuyen de manera normal, por lo que utilizamos el método Delta – Normal para calcular el valor en riesgo.</w:t>
      </w:r>
    </w:p>
    <w:p w:rsidR="00320CB8" w:rsidRPr="00670830" w:rsidRDefault="00DA19FB"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Como lo comentamos en los capítulos anteriores, todo inversionista tiene la necesidad de invertir en activos que le briden el mayor rendimiento al menor nivel de riesgo posible, es decir, el inversionista siempre buscará diversificar su </w:t>
      </w:r>
      <w:r w:rsidR="00166CA0" w:rsidRPr="00670830">
        <w:rPr>
          <w:rFonts w:ascii="Arial" w:eastAsia="Arial Unicode MS" w:hAnsi="Arial" w:cs="Arial"/>
          <w:sz w:val="24"/>
          <w:szCs w:val="24"/>
        </w:rPr>
        <w:t>cartera</w:t>
      </w:r>
      <w:r w:rsidRPr="00670830">
        <w:rPr>
          <w:rFonts w:ascii="Arial" w:eastAsia="Arial Unicode MS" w:hAnsi="Arial" w:cs="Arial"/>
          <w:sz w:val="24"/>
          <w:szCs w:val="24"/>
        </w:rPr>
        <w:t xml:space="preserve"> para obtener el mayor retorno minimizando su exposición al riesgo.</w:t>
      </w:r>
      <w:r w:rsidR="00402329" w:rsidRPr="00670830">
        <w:rPr>
          <w:rFonts w:ascii="Arial" w:eastAsia="Arial Unicode MS" w:hAnsi="Arial" w:cs="Arial"/>
          <w:sz w:val="24"/>
          <w:szCs w:val="24"/>
        </w:rPr>
        <w:t xml:space="preserve"> </w:t>
      </w:r>
    </w:p>
    <w:p w:rsidR="00DA19FB" w:rsidRPr="00670830" w:rsidRDefault="00DA19FB"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Partiendo de la premisa anterior, en nuestro cuarto y último capítulo se desarrolló</w:t>
      </w:r>
      <w:r w:rsidR="00573A5A" w:rsidRPr="00670830">
        <w:rPr>
          <w:rFonts w:ascii="Arial" w:eastAsia="Arial Unicode MS" w:hAnsi="Arial" w:cs="Arial"/>
          <w:sz w:val="24"/>
          <w:szCs w:val="24"/>
        </w:rPr>
        <w:t xml:space="preserve"> el siguiente ejercicio</w:t>
      </w:r>
      <w:r w:rsidR="008878F0" w:rsidRPr="00670830">
        <w:rPr>
          <w:rFonts w:ascii="Arial" w:eastAsia="Arial Unicode MS" w:hAnsi="Arial" w:cs="Arial"/>
          <w:sz w:val="24"/>
          <w:szCs w:val="24"/>
        </w:rPr>
        <w:t xml:space="preserve">. Se construyeron dos </w:t>
      </w:r>
      <w:r w:rsidR="00166CA0" w:rsidRPr="00670830">
        <w:rPr>
          <w:rFonts w:ascii="Arial" w:eastAsia="Arial Unicode MS" w:hAnsi="Arial" w:cs="Arial"/>
          <w:sz w:val="24"/>
          <w:szCs w:val="24"/>
        </w:rPr>
        <w:t>carteras</w:t>
      </w:r>
      <w:r w:rsidR="008878F0" w:rsidRPr="00670830">
        <w:rPr>
          <w:rFonts w:ascii="Arial" w:eastAsia="Arial Unicode MS" w:hAnsi="Arial" w:cs="Arial"/>
          <w:sz w:val="24"/>
          <w:szCs w:val="24"/>
        </w:rPr>
        <w:t xml:space="preserve"> de inversión, ambos con acciones que forman parte de la muestra del IPC al cierre del mes de junio 2015. Se consideró como ventana de estudio los rendimientos diarios de las acciones seleccionadas del 03 de enero del 2011 al 15 de junio del 2015. Para el </w:t>
      </w:r>
      <w:r w:rsidR="00166CA0" w:rsidRPr="00670830">
        <w:rPr>
          <w:rFonts w:ascii="Arial" w:eastAsia="Arial Unicode MS" w:hAnsi="Arial" w:cs="Arial"/>
          <w:sz w:val="24"/>
          <w:szCs w:val="24"/>
        </w:rPr>
        <w:t>primero de las carteras</w:t>
      </w:r>
      <w:r w:rsidR="008878F0" w:rsidRPr="00670830">
        <w:rPr>
          <w:rFonts w:ascii="Arial" w:eastAsia="Arial Unicode MS" w:hAnsi="Arial" w:cs="Arial"/>
          <w:sz w:val="24"/>
          <w:szCs w:val="24"/>
        </w:rPr>
        <w:t xml:space="preserve"> se asignaron, de manera aleatoria, las proporciones a invertir de cada una de las acciones seleccionadas, para el segundo, con base en la teoría de selección propuesta por Harry </w:t>
      </w:r>
      <w:proofErr w:type="spellStart"/>
      <w:r w:rsidR="008878F0" w:rsidRPr="00670830">
        <w:rPr>
          <w:rFonts w:ascii="Arial" w:eastAsia="Arial Unicode MS" w:hAnsi="Arial" w:cs="Arial"/>
          <w:sz w:val="24"/>
          <w:szCs w:val="24"/>
        </w:rPr>
        <w:t>Markowitz</w:t>
      </w:r>
      <w:proofErr w:type="spellEnd"/>
      <w:r w:rsidR="008878F0" w:rsidRPr="00670830">
        <w:rPr>
          <w:rFonts w:ascii="Arial" w:eastAsia="Arial Unicode MS" w:hAnsi="Arial" w:cs="Arial"/>
          <w:sz w:val="24"/>
          <w:szCs w:val="24"/>
        </w:rPr>
        <w:t>, se asignaron las proporciones óptimas, en función riesgo-rentabilidad, para cada una de las acciones.</w:t>
      </w:r>
    </w:p>
    <w:p w:rsidR="008878F0" w:rsidRPr="00670830" w:rsidRDefault="008878F0"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Se calculó </w:t>
      </w:r>
      <w:r w:rsidR="00166CA0" w:rsidRPr="00670830">
        <w:rPr>
          <w:rFonts w:ascii="Arial" w:eastAsia="Arial Unicode MS" w:hAnsi="Arial" w:cs="Arial"/>
          <w:sz w:val="24"/>
          <w:szCs w:val="24"/>
        </w:rPr>
        <w:t>el valor en riesgo (</w:t>
      </w:r>
      <w:proofErr w:type="spellStart"/>
      <w:r w:rsidR="00166CA0" w:rsidRPr="00670830">
        <w:rPr>
          <w:rFonts w:ascii="Arial" w:eastAsia="Arial Unicode MS" w:hAnsi="Arial" w:cs="Arial"/>
          <w:sz w:val="24"/>
          <w:szCs w:val="24"/>
        </w:rPr>
        <w:t>VaR</w:t>
      </w:r>
      <w:proofErr w:type="spellEnd"/>
      <w:r w:rsidR="00166CA0" w:rsidRPr="00670830">
        <w:rPr>
          <w:rFonts w:ascii="Arial" w:eastAsia="Arial Unicode MS" w:hAnsi="Arial" w:cs="Arial"/>
          <w:sz w:val="24"/>
          <w:szCs w:val="24"/>
        </w:rPr>
        <w:t>) de amba</w:t>
      </w:r>
      <w:r w:rsidRPr="00670830">
        <w:rPr>
          <w:rFonts w:ascii="Arial" w:eastAsia="Arial Unicode MS" w:hAnsi="Arial" w:cs="Arial"/>
          <w:sz w:val="24"/>
          <w:szCs w:val="24"/>
        </w:rPr>
        <w:t xml:space="preserve">s </w:t>
      </w:r>
      <w:r w:rsidR="00166CA0" w:rsidRPr="00670830">
        <w:rPr>
          <w:rFonts w:ascii="Arial" w:eastAsia="Arial Unicode MS" w:hAnsi="Arial" w:cs="Arial"/>
          <w:sz w:val="24"/>
          <w:szCs w:val="24"/>
        </w:rPr>
        <w:t>carteras</w:t>
      </w:r>
      <w:r w:rsidRPr="00670830">
        <w:rPr>
          <w:rFonts w:ascii="Arial" w:eastAsia="Arial Unicode MS" w:hAnsi="Arial" w:cs="Arial"/>
          <w:sz w:val="24"/>
          <w:szCs w:val="24"/>
        </w:rPr>
        <w:t xml:space="preserve">, </w:t>
      </w:r>
      <w:r w:rsidR="006862DE" w:rsidRPr="00670830">
        <w:rPr>
          <w:rFonts w:ascii="Arial" w:eastAsia="Arial Unicode MS" w:hAnsi="Arial" w:cs="Arial"/>
          <w:sz w:val="24"/>
          <w:szCs w:val="24"/>
        </w:rPr>
        <w:t>mediante el método Delta – Normal, los resultados son concluyentes y fueron los siguientes:</w:t>
      </w:r>
    </w:p>
    <w:tbl>
      <w:tblPr>
        <w:tblW w:w="1847" w:type="dxa"/>
        <w:jc w:val="center"/>
        <w:tblInd w:w="55" w:type="dxa"/>
        <w:tblCellMar>
          <w:left w:w="70" w:type="dxa"/>
          <w:right w:w="70" w:type="dxa"/>
        </w:tblCellMar>
        <w:tblLook w:val="04A0" w:firstRow="1" w:lastRow="0" w:firstColumn="1" w:lastColumn="0" w:noHBand="0" w:noVBand="1"/>
      </w:tblPr>
      <w:tblGrid>
        <w:gridCol w:w="1594"/>
        <w:gridCol w:w="1128"/>
        <w:gridCol w:w="1088"/>
        <w:gridCol w:w="954"/>
      </w:tblGrid>
      <w:tr w:rsidR="00424494" w:rsidRPr="00670830" w:rsidTr="00950919">
        <w:trPr>
          <w:trHeight w:val="556"/>
          <w:jc w:val="center"/>
        </w:trPr>
        <w:tc>
          <w:tcPr>
            <w:tcW w:w="1367" w:type="dxa"/>
            <w:tcBorders>
              <w:top w:val="nil"/>
              <w:left w:val="nil"/>
              <w:bottom w:val="nil"/>
              <w:right w:val="nil"/>
            </w:tcBorders>
            <w:shd w:val="clear" w:color="auto" w:fill="auto"/>
            <w:noWrap/>
            <w:vAlign w:val="bottom"/>
            <w:hideMark/>
          </w:tcPr>
          <w:p w:rsidR="00424494" w:rsidRPr="00670830" w:rsidRDefault="00424494" w:rsidP="00670830">
            <w:pPr>
              <w:spacing w:before="100" w:beforeAutospacing="1" w:after="100" w:afterAutospacing="1" w:line="360" w:lineRule="auto"/>
              <w:rPr>
                <w:rFonts w:ascii="Arial" w:eastAsia="Arial Unicode MS" w:hAnsi="Arial" w:cs="Arial"/>
                <w:color w:val="000000"/>
                <w:sz w:val="24"/>
                <w:szCs w:val="24"/>
                <w:lang w:eastAsia="es-MX"/>
              </w:rPr>
            </w:pPr>
          </w:p>
        </w:tc>
        <w:tc>
          <w:tcPr>
            <w:tcW w:w="160" w:type="dxa"/>
            <w:tcBorders>
              <w:top w:val="single" w:sz="4" w:space="0" w:color="0070C0"/>
              <w:left w:val="single" w:sz="4" w:space="0" w:color="0070C0"/>
              <w:bottom w:val="single" w:sz="4" w:space="0" w:color="0070C0"/>
              <w:right w:val="single" w:sz="4" w:space="0" w:color="0070C0"/>
            </w:tcBorders>
            <w:shd w:val="clear" w:color="000000" w:fill="DCE6F1"/>
            <w:vAlign w:val="center"/>
            <w:hideMark/>
          </w:tcPr>
          <w:p w:rsidR="00424494" w:rsidRPr="00670830" w:rsidRDefault="00166CA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Cartera aleatoria</w:t>
            </w:r>
          </w:p>
        </w:tc>
        <w:tc>
          <w:tcPr>
            <w:tcW w:w="160" w:type="dxa"/>
            <w:tcBorders>
              <w:top w:val="single" w:sz="4" w:space="0" w:color="0070C0"/>
              <w:left w:val="nil"/>
              <w:bottom w:val="single" w:sz="4" w:space="0" w:color="0070C0"/>
              <w:right w:val="single" w:sz="4" w:space="0" w:color="0070C0"/>
            </w:tcBorders>
            <w:shd w:val="clear" w:color="000000" w:fill="DCE6F1"/>
            <w:vAlign w:val="center"/>
            <w:hideMark/>
          </w:tcPr>
          <w:p w:rsidR="00424494" w:rsidRPr="00670830" w:rsidRDefault="00166CA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Cartera óptima</w:t>
            </w:r>
          </w:p>
        </w:tc>
        <w:tc>
          <w:tcPr>
            <w:tcW w:w="160" w:type="dxa"/>
            <w:tcBorders>
              <w:top w:val="single" w:sz="4" w:space="0" w:color="0070C0"/>
              <w:left w:val="nil"/>
              <w:bottom w:val="single" w:sz="4" w:space="0" w:color="0070C0"/>
              <w:right w:val="single" w:sz="4" w:space="0" w:color="0070C0"/>
            </w:tcBorders>
            <w:shd w:val="clear" w:color="000000" w:fill="DCE6F1"/>
            <w:vAlign w:val="center"/>
            <w:hideMark/>
          </w:tcPr>
          <w:p w:rsidR="00424494" w:rsidRPr="00670830" w:rsidRDefault="00424494"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w:t>
            </w:r>
          </w:p>
        </w:tc>
      </w:tr>
      <w:tr w:rsidR="00424494" w:rsidRPr="00670830" w:rsidTr="00950919">
        <w:trPr>
          <w:trHeight w:val="185"/>
          <w:jc w:val="center"/>
        </w:trPr>
        <w:tc>
          <w:tcPr>
            <w:tcW w:w="1367" w:type="dxa"/>
            <w:tcBorders>
              <w:top w:val="single" w:sz="4" w:space="0" w:color="0070C0"/>
              <w:left w:val="single" w:sz="4" w:space="0" w:color="0070C0"/>
              <w:bottom w:val="single" w:sz="4" w:space="0" w:color="0070C0"/>
              <w:right w:val="single" w:sz="4" w:space="0" w:color="0070C0"/>
            </w:tcBorders>
            <w:shd w:val="clear" w:color="000000" w:fill="DCE6F1"/>
            <w:noWrap/>
            <w:vAlign w:val="bottom"/>
            <w:hideMark/>
          </w:tcPr>
          <w:p w:rsidR="00424494" w:rsidRPr="00670830" w:rsidRDefault="00424494"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Rendimiento</w:t>
            </w:r>
          </w:p>
        </w:tc>
        <w:tc>
          <w:tcPr>
            <w:tcW w:w="16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0.0365%</w:t>
            </w:r>
          </w:p>
        </w:tc>
        <w:tc>
          <w:tcPr>
            <w:tcW w:w="16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0.0743%</w:t>
            </w:r>
          </w:p>
        </w:tc>
        <w:tc>
          <w:tcPr>
            <w:tcW w:w="16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103.8%</w:t>
            </w:r>
          </w:p>
        </w:tc>
      </w:tr>
      <w:tr w:rsidR="00424494" w:rsidRPr="00670830" w:rsidTr="00950919">
        <w:trPr>
          <w:trHeight w:val="185"/>
          <w:jc w:val="center"/>
        </w:trPr>
        <w:tc>
          <w:tcPr>
            <w:tcW w:w="1367" w:type="dxa"/>
            <w:tcBorders>
              <w:top w:val="nil"/>
              <w:left w:val="single" w:sz="4" w:space="0" w:color="0070C0"/>
              <w:bottom w:val="single" w:sz="4" w:space="0" w:color="0070C0"/>
              <w:right w:val="single" w:sz="4" w:space="0" w:color="0070C0"/>
            </w:tcBorders>
            <w:shd w:val="clear" w:color="000000" w:fill="DCE6F1"/>
            <w:noWrap/>
            <w:vAlign w:val="bottom"/>
            <w:hideMark/>
          </w:tcPr>
          <w:p w:rsidR="00424494" w:rsidRPr="00670830" w:rsidRDefault="00424494"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Riesgo</w:t>
            </w:r>
          </w:p>
        </w:tc>
        <w:tc>
          <w:tcPr>
            <w:tcW w:w="16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0.0102%</w:t>
            </w:r>
          </w:p>
        </w:tc>
        <w:tc>
          <w:tcPr>
            <w:tcW w:w="16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0.0059%</w:t>
            </w:r>
          </w:p>
        </w:tc>
        <w:tc>
          <w:tcPr>
            <w:tcW w:w="16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-41.7%</w:t>
            </w:r>
          </w:p>
        </w:tc>
      </w:tr>
    </w:tbl>
    <w:p w:rsidR="006862DE" w:rsidRPr="00670830" w:rsidRDefault="006862DE" w:rsidP="00670830">
      <w:pPr>
        <w:spacing w:before="100" w:beforeAutospacing="1" w:after="100" w:afterAutospacing="1" w:line="360" w:lineRule="auto"/>
        <w:jc w:val="both"/>
        <w:rPr>
          <w:rFonts w:ascii="Arial" w:eastAsia="Arial Unicode MS" w:hAnsi="Arial" w:cs="Arial"/>
          <w:sz w:val="24"/>
          <w:szCs w:val="24"/>
        </w:rPr>
      </w:pPr>
    </w:p>
    <w:p w:rsidR="002377BD" w:rsidRPr="00670830" w:rsidRDefault="002377BD" w:rsidP="00670830">
      <w:pPr>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El ren</w:t>
      </w:r>
      <w:r w:rsidR="00166CA0" w:rsidRPr="00670830">
        <w:rPr>
          <w:rFonts w:ascii="Arial" w:eastAsia="Arial Unicode MS" w:hAnsi="Arial" w:cs="Arial"/>
          <w:sz w:val="24"/>
          <w:szCs w:val="24"/>
        </w:rPr>
        <w:t>dimiento promedio de la cartera diversificada científicamente (cartera óptima</w:t>
      </w:r>
      <w:r w:rsidRPr="00670830">
        <w:rPr>
          <w:rFonts w:ascii="Arial" w:eastAsia="Arial Unicode MS" w:hAnsi="Arial" w:cs="Arial"/>
          <w:sz w:val="24"/>
          <w:szCs w:val="24"/>
        </w:rPr>
        <w:t>) es 103.8% mayor que la ganancia promedio que resulta de</w:t>
      </w:r>
      <w:r w:rsidR="00166CA0" w:rsidRPr="00670830">
        <w:rPr>
          <w:rFonts w:ascii="Arial" w:eastAsia="Arial Unicode MS" w:hAnsi="Arial" w:cs="Arial"/>
          <w:sz w:val="24"/>
          <w:szCs w:val="24"/>
        </w:rPr>
        <w:t xml:space="preserve"> </w:t>
      </w:r>
      <w:r w:rsidRPr="00670830">
        <w:rPr>
          <w:rFonts w:ascii="Arial" w:eastAsia="Arial Unicode MS" w:hAnsi="Arial" w:cs="Arial"/>
          <w:sz w:val="24"/>
          <w:szCs w:val="24"/>
        </w:rPr>
        <w:t>l</w:t>
      </w:r>
      <w:r w:rsidR="00166CA0" w:rsidRPr="00670830">
        <w:rPr>
          <w:rFonts w:ascii="Arial" w:eastAsia="Arial Unicode MS" w:hAnsi="Arial" w:cs="Arial"/>
          <w:sz w:val="24"/>
          <w:szCs w:val="24"/>
        </w:rPr>
        <w:t>a cartera aleatoria</w:t>
      </w:r>
      <w:r w:rsidRPr="00670830">
        <w:rPr>
          <w:rFonts w:ascii="Arial" w:eastAsia="Arial Unicode MS" w:hAnsi="Arial" w:cs="Arial"/>
          <w:sz w:val="24"/>
          <w:szCs w:val="24"/>
        </w:rPr>
        <w:t>. El riesgo que se estarí</w:t>
      </w:r>
      <w:r w:rsidR="00166CA0" w:rsidRPr="00670830">
        <w:rPr>
          <w:rFonts w:ascii="Arial" w:eastAsia="Arial Unicode MS" w:hAnsi="Arial" w:cs="Arial"/>
          <w:sz w:val="24"/>
          <w:szCs w:val="24"/>
        </w:rPr>
        <w:t>a corriendo al elegir la cartera diversificada</w:t>
      </w:r>
      <w:r w:rsidR="00581F95" w:rsidRPr="00670830">
        <w:rPr>
          <w:rFonts w:ascii="Arial" w:eastAsia="Arial Unicode MS" w:hAnsi="Arial" w:cs="Arial"/>
          <w:sz w:val="24"/>
          <w:szCs w:val="24"/>
        </w:rPr>
        <w:t xml:space="preserve"> de manera óptima es 41.7% menor</w:t>
      </w:r>
      <w:r w:rsidRPr="00670830">
        <w:rPr>
          <w:rFonts w:ascii="Arial" w:eastAsia="Arial Unicode MS" w:hAnsi="Arial" w:cs="Arial"/>
          <w:sz w:val="24"/>
          <w:szCs w:val="24"/>
        </w:rPr>
        <w:t xml:space="preserve">. Por lo que, sin lugar a duda, el inversionista </w:t>
      </w:r>
      <w:r w:rsidR="00166CA0" w:rsidRPr="00670830">
        <w:rPr>
          <w:rFonts w:ascii="Arial" w:eastAsia="Arial Unicode MS" w:hAnsi="Arial" w:cs="Arial"/>
          <w:sz w:val="24"/>
          <w:szCs w:val="24"/>
        </w:rPr>
        <w:t>debería de elegir la segunda cartera</w:t>
      </w:r>
      <w:r w:rsidRPr="00670830">
        <w:rPr>
          <w:rFonts w:ascii="Arial" w:eastAsia="Arial Unicode MS" w:hAnsi="Arial" w:cs="Arial"/>
          <w:sz w:val="24"/>
          <w:szCs w:val="24"/>
        </w:rPr>
        <w:t>, genera un mayor rendimiento, minimizando las posibles pérdidas.</w:t>
      </w:r>
    </w:p>
    <w:tbl>
      <w:tblPr>
        <w:tblW w:w="6664" w:type="dxa"/>
        <w:jc w:val="center"/>
        <w:tblInd w:w="55" w:type="dxa"/>
        <w:tblCellMar>
          <w:left w:w="70" w:type="dxa"/>
          <w:right w:w="70" w:type="dxa"/>
        </w:tblCellMar>
        <w:tblLook w:val="04A0" w:firstRow="1" w:lastRow="0" w:firstColumn="1" w:lastColumn="0" w:noHBand="0" w:noVBand="1"/>
      </w:tblPr>
      <w:tblGrid>
        <w:gridCol w:w="1304"/>
        <w:gridCol w:w="1340"/>
        <w:gridCol w:w="1340"/>
        <w:gridCol w:w="1342"/>
        <w:gridCol w:w="1342"/>
      </w:tblGrid>
      <w:tr w:rsidR="00424494" w:rsidRPr="00670830" w:rsidTr="00950919">
        <w:trPr>
          <w:trHeight w:val="227"/>
          <w:jc w:val="center"/>
        </w:trPr>
        <w:tc>
          <w:tcPr>
            <w:tcW w:w="1304" w:type="dxa"/>
            <w:tcBorders>
              <w:top w:val="nil"/>
              <w:left w:val="nil"/>
              <w:bottom w:val="nil"/>
              <w:right w:val="nil"/>
            </w:tcBorders>
            <w:shd w:val="clear" w:color="auto" w:fill="auto"/>
            <w:noWrap/>
            <w:vAlign w:val="bottom"/>
            <w:hideMark/>
          </w:tcPr>
          <w:p w:rsidR="00424494" w:rsidRPr="00670830" w:rsidRDefault="00424494" w:rsidP="00670830">
            <w:pPr>
              <w:spacing w:before="100" w:beforeAutospacing="1" w:after="100" w:afterAutospacing="1" w:line="360" w:lineRule="auto"/>
              <w:rPr>
                <w:rFonts w:ascii="Arial" w:eastAsia="Arial Unicode MS" w:hAnsi="Arial" w:cs="Arial"/>
                <w:color w:val="000000"/>
                <w:sz w:val="24"/>
                <w:szCs w:val="24"/>
                <w:lang w:eastAsia="es-MX"/>
              </w:rPr>
            </w:pPr>
          </w:p>
        </w:tc>
        <w:tc>
          <w:tcPr>
            <w:tcW w:w="2680" w:type="dxa"/>
            <w:gridSpan w:val="2"/>
            <w:tcBorders>
              <w:top w:val="nil"/>
              <w:left w:val="nil"/>
              <w:bottom w:val="single" w:sz="4" w:space="0" w:color="0070C0"/>
              <w:right w:val="nil"/>
            </w:tcBorders>
            <w:shd w:val="clear" w:color="auto" w:fill="auto"/>
            <w:noWrap/>
            <w:vAlign w:val="bottom"/>
            <w:hideMark/>
          </w:tcPr>
          <w:p w:rsidR="00424494" w:rsidRPr="00670830" w:rsidRDefault="00424494"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Valor en Riesgo (</w:t>
            </w:r>
            <w:proofErr w:type="spellStart"/>
            <w:r w:rsidRPr="00670830">
              <w:rPr>
                <w:rFonts w:ascii="Arial" w:eastAsia="Arial Unicode MS" w:hAnsi="Arial" w:cs="Arial"/>
                <w:b/>
                <w:bCs/>
                <w:color w:val="000000"/>
                <w:sz w:val="24"/>
                <w:szCs w:val="24"/>
                <w:lang w:eastAsia="es-MX"/>
              </w:rPr>
              <w:t>VaR</w:t>
            </w:r>
            <w:proofErr w:type="spellEnd"/>
            <w:r w:rsidRPr="00670830">
              <w:rPr>
                <w:rFonts w:ascii="Arial" w:eastAsia="Arial Unicode MS" w:hAnsi="Arial" w:cs="Arial"/>
                <w:b/>
                <w:bCs/>
                <w:color w:val="000000"/>
                <w:sz w:val="24"/>
                <w:szCs w:val="24"/>
                <w:lang w:eastAsia="es-MX"/>
              </w:rPr>
              <w:t>)</w:t>
            </w:r>
          </w:p>
        </w:tc>
        <w:tc>
          <w:tcPr>
            <w:tcW w:w="2680" w:type="dxa"/>
            <w:gridSpan w:val="2"/>
            <w:tcBorders>
              <w:top w:val="nil"/>
              <w:left w:val="nil"/>
              <w:bottom w:val="single" w:sz="4" w:space="0" w:color="0070C0"/>
              <w:right w:val="nil"/>
            </w:tcBorders>
            <w:shd w:val="clear" w:color="auto" w:fill="auto"/>
            <w:noWrap/>
            <w:vAlign w:val="bottom"/>
            <w:hideMark/>
          </w:tcPr>
          <w:p w:rsidR="00424494" w:rsidRPr="00670830" w:rsidRDefault="00424494"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Inversión Inicial:$1,000,000</w:t>
            </w:r>
          </w:p>
        </w:tc>
      </w:tr>
      <w:tr w:rsidR="00424494" w:rsidRPr="00670830" w:rsidTr="00950919">
        <w:trPr>
          <w:trHeight w:val="356"/>
          <w:jc w:val="center"/>
        </w:trPr>
        <w:tc>
          <w:tcPr>
            <w:tcW w:w="1304" w:type="dxa"/>
            <w:tcBorders>
              <w:top w:val="single" w:sz="4" w:space="0" w:color="0070C0"/>
              <w:left w:val="single" w:sz="4" w:space="0" w:color="0070C0"/>
              <w:bottom w:val="single" w:sz="4" w:space="0" w:color="0070C0"/>
              <w:right w:val="single" w:sz="4" w:space="0" w:color="0070C0"/>
            </w:tcBorders>
            <w:shd w:val="clear" w:color="000000" w:fill="DCE6F1"/>
            <w:vAlign w:val="bottom"/>
            <w:hideMark/>
          </w:tcPr>
          <w:p w:rsidR="00424494" w:rsidRPr="00670830" w:rsidRDefault="00424494"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Nivel de confianza</w:t>
            </w:r>
          </w:p>
        </w:tc>
        <w:tc>
          <w:tcPr>
            <w:tcW w:w="1340" w:type="dxa"/>
            <w:tcBorders>
              <w:top w:val="nil"/>
              <w:left w:val="nil"/>
              <w:bottom w:val="single" w:sz="4" w:space="0" w:color="0070C0"/>
              <w:right w:val="single" w:sz="4" w:space="0" w:color="0070C0"/>
            </w:tcBorders>
            <w:shd w:val="clear" w:color="000000" w:fill="DCE6F1"/>
            <w:vAlign w:val="bottom"/>
            <w:hideMark/>
          </w:tcPr>
          <w:p w:rsidR="00424494" w:rsidRPr="00670830" w:rsidRDefault="00166CA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Cartera aleatoria</w:t>
            </w:r>
          </w:p>
        </w:tc>
        <w:tc>
          <w:tcPr>
            <w:tcW w:w="1340" w:type="dxa"/>
            <w:tcBorders>
              <w:top w:val="nil"/>
              <w:left w:val="nil"/>
              <w:bottom w:val="single" w:sz="4" w:space="0" w:color="0070C0"/>
              <w:right w:val="single" w:sz="4" w:space="0" w:color="0070C0"/>
            </w:tcBorders>
            <w:shd w:val="clear" w:color="000000" w:fill="DCE6F1"/>
            <w:vAlign w:val="bottom"/>
            <w:hideMark/>
          </w:tcPr>
          <w:p w:rsidR="00424494" w:rsidRPr="00670830" w:rsidRDefault="00166CA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Cartera óptima</w:t>
            </w:r>
          </w:p>
        </w:tc>
        <w:tc>
          <w:tcPr>
            <w:tcW w:w="1340" w:type="dxa"/>
            <w:tcBorders>
              <w:top w:val="nil"/>
              <w:left w:val="nil"/>
              <w:bottom w:val="single" w:sz="4" w:space="0" w:color="0070C0"/>
              <w:right w:val="single" w:sz="4" w:space="0" w:color="0070C0"/>
            </w:tcBorders>
            <w:shd w:val="clear" w:color="000000" w:fill="DCE6F1"/>
            <w:vAlign w:val="bottom"/>
            <w:hideMark/>
          </w:tcPr>
          <w:p w:rsidR="00424494" w:rsidRPr="00670830" w:rsidRDefault="00166CA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Cartera aleatoria</w:t>
            </w:r>
          </w:p>
        </w:tc>
        <w:tc>
          <w:tcPr>
            <w:tcW w:w="1340" w:type="dxa"/>
            <w:tcBorders>
              <w:top w:val="nil"/>
              <w:left w:val="nil"/>
              <w:bottom w:val="single" w:sz="4" w:space="0" w:color="0070C0"/>
              <w:right w:val="single" w:sz="4" w:space="0" w:color="0070C0"/>
            </w:tcBorders>
            <w:shd w:val="clear" w:color="000000" w:fill="DCE6F1"/>
            <w:vAlign w:val="bottom"/>
            <w:hideMark/>
          </w:tcPr>
          <w:p w:rsidR="00424494" w:rsidRPr="00670830" w:rsidRDefault="00166CA0" w:rsidP="00670830">
            <w:pPr>
              <w:spacing w:before="100" w:beforeAutospacing="1" w:after="100" w:afterAutospacing="1" w:line="360" w:lineRule="auto"/>
              <w:jc w:val="center"/>
              <w:rPr>
                <w:rFonts w:ascii="Arial" w:eastAsia="Arial Unicode MS" w:hAnsi="Arial" w:cs="Arial"/>
                <w:b/>
                <w:bCs/>
                <w:color w:val="000000"/>
                <w:sz w:val="24"/>
                <w:szCs w:val="24"/>
                <w:lang w:eastAsia="es-MX"/>
              </w:rPr>
            </w:pPr>
            <w:r w:rsidRPr="00670830">
              <w:rPr>
                <w:rFonts w:ascii="Arial" w:eastAsia="Arial Unicode MS" w:hAnsi="Arial" w:cs="Arial"/>
                <w:b/>
                <w:bCs/>
                <w:color w:val="000000"/>
                <w:sz w:val="24"/>
                <w:szCs w:val="24"/>
                <w:lang w:eastAsia="es-MX"/>
              </w:rPr>
              <w:t>Cartera óptima</w:t>
            </w:r>
          </w:p>
        </w:tc>
      </w:tr>
      <w:tr w:rsidR="00424494" w:rsidRPr="00670830" w:rsidTr="00950919">
        <w:trPr>
          <w:trHeight w:val="227"/>
          <w:jc w:val="center"/>
        </w:trPr>
        <w:tc>
          <w:tcPr>
            <w:tcW w:w="1304" w:type="dxa"/>
            <w:tcBorders>
              <w:top w:val="nil"/>
              <w:left w:val="single" w:sz="4" w:space="0" w:color="0070C0"/>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0.01541</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0.01177</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$15,408.11</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$11,766.97</w:t>
            </w:r>
          </w:p>
        </w:tc>
      </w:tr>
      <w:tr w:rsidR="00424494" w:rsidRPr="00670830" w:rsidTr="00950919">
        <w:trPr>
          <w:trHeight w:val="227"/>
          <w:jc w:val="center"/>
        </w:trPr>
        <w:tc>
          <w:tcPr>
            <w:tcW w:w="1304" w:type="dxa"/>
            <w:tcBorders>
              <w:top w:val="nil"/>
              <w:left w:val="single" w:sz="4" w:space="0" w:color="0070C0"/>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2%</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0.01447</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0.01105</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$14,470.29</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$11,050.78</w:t>
            </w:r>
          </w:p>
        </w:tc>
      </w:tr>
      <w:tr w:rsidR="00424494" w:rsidRPr="00670830" w:rsidTr="00950919">
        <w:trPr>
          <w:trHeight w:val="227"/>
          <w:jc w:val="center"/>
        </w:trPr>
        <w:tc>
          <w:tcPr>
            <w:tcW w:w="1304" w:type="dxa"/>
            <w:tcBorders>
              <w:top w:val="nil"/>
              <w:left w:val="single" w:sz="4" w:space="0" w:color="0070C0"/>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3%</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0.01384</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0.01057</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$13,840.45</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$10,569.78</w:t>
            </w:r>
          </w:p>
        </w:tc>
      </w:tr>
      <w:tr w:rsidR="00424494" w:rsidRPr="00670830" w:rsidTr="00950919">
        <w:trPr>
          <w:trHeight w:val="227"/>
          <w:jc w:val="center"/>
        </w:trPr>
        <w:tc>
          <w:tcPr>
            <w:tcW w:w="1304" w:type="dxa"/>
            <w:tcBorders>
              <w:top w:val="nil"/>
              <w:left w:val="single" w:sz="4" w:space="0" w:color="0070C0"/>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4%</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0.01335</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0.01020</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$13,353.36</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$10,197.79</w:t>
            </w:r>
          </w:p>
        </w:tc>
      </w:tr>
      <w:tr w:rsidR="00424494" w:rsidRPr="00670830" w:rsidTr="00950919">
        <w:trPr>
          <w:trHeight w:val="227"/>
          <w:jc w:val="center"/>
        </w:trPr>
        <w:tc>
          <w:tcPr>
            <w:tcW w:w="1304" w:type="dxa"/>
            <w:tcBorders>
              <w:top w:val="nil"/>
              <w:left w:val="single" w:sz="4" w:space="0" w:color="0070C0"/>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5%</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0.01295</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0.00989</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$12,946.56</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$9,887.12</w:t>
            </w:r>
          </w:p>
        </w:tc>
      </w:tr>
      <w:tr w:rsidR="00424494" w:rsidRPr="00670830" w:rsidTr="00950919">
        <w:trPr>
          <w:trHeight w:val="227"/>
          <w:jc w:val="center"/>
        </w:trPr>
        <w:tc>
          <w:tcPr>
            <w:tcW w:w="1304" w:type="dxa"/>
            <w:tcBorders>
              <w:top w:val="nil"/>
              <w:left w:val="single" w:sz="4" w:space="0" w:color="0070C0"/>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6%</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0.01259</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0.00961</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$12,587.42</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$9,612.85</w:t>
            </w:r>
          </w:p>
        </w:tc>
      </w:tr>
      <w:tr w:rsidR="00424494" w:rsidRPr="00670830" w:rsidTr="00950919">
        <w:trPr>
          <w:trHeight w:val="227"/>
          <w:jc w:val="center"/>
        </w:trPr>
        <w:tc>
          <w:tcPr>
            <w:tcW w:w="1304" w:type="dxa"/>
            <w:tcBorders>
              <w:top w:val="nil"/>
              <w:left w:val="single" w:sz="4" w:space="0" w:color="0070C0"/>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7%</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0.01226</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0.00936</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$12,259.35</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$9,362.31</w:t>
            </w:r>
          </w:p>
        </w:tc>
      </w:tr>
      <w:tr w:rsidR="00424494" w:rsidRPr="00670830" w:rsidTr="00950919">
        <w:trPr>
          <w:trHeight w:val="227"/>
          <w:jc w:val="center"/>
        </w:trPr>
        <w:tc>
          <w:tcPr>
            <w:tcW w:w="1304" w:type="dxa"/>
            <w:tcBorders>
              <w:top w:val="nil"/>
              <w:left w:val="single" w:sz="4" w:space="0" w:color="0070C0"/>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8%</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0.01196</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0.00914</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$11,964.91</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$9,137.45</w:t>
            </w:r>
          </w:p>
        </w:tc>
      </w:tr>
      <w:tr w:rsidR="00424494" w:rsidRPr="00670830" w:rsidTr="00950919">
        <w:trPr>
          <w:trHeight w:val="227"/>
          <w:jc w:val="center"/>
        </w:trPr>
        <w:tc>
          <w:tcPr>
            <w:tcW w:w="1304" w:type="dxa"/>
            <w:tcBorders>
              <w:top w:val="nil"/>
              <w:left w:val="single" w:sz="4" w:space="0" w:color="0070C0"/>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9%</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0.01168</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0.00892</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$11,684.87</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$8,923.58</w:t>
            </w:r>
          </w:p>
        </w:tc>
      </w:tr>
      <w:tr w:rsidR="00424494" w:rsidRPr="00670830" w:rsidTr="00950919">
        <w:trPr>
          <w:trHeight w:val="227"/>
          <w:jc w:val="center"/>
        </w:trPr>
        <w:tc>
          <w:tcPr>
            <w:tcW w:w="1304" w:type="dxa"/>
            <w:tcBorders>
              <w:top w:val="nil"/>
              <w:left w:val="single" w:sz="4" w:space="0" w:color="0070C0"/>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center"/>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10%</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0.01144</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0.00874</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$11,442.55</w:t>
            </w:r>
          </w:p>
        </w:tc>
        <w:tc>
          <w:tcPr>
            <w:tcW w:w="1340" w:type="dxa"/>
            <w:tcBorders>
              <w:top w:val="nil"/>
              <w:left w:val="nil"/>
              <w:bottom w:val="single" w:sz="4" w:space="0" w:color="0070C0"/>
              <w:right w:val="single" w:sz="4" w:space="0" w:color="0070C0"/>
            </w:tcBorders>
            <w:shd w:val="clear" w:color="auto" w:fill="auto"/>
            <w:noWrap/>
            <w:vAlign w:val="bottom"/>
            <w:hideMark/>
          </w:tcPr>
          <w:p w:rsidR="00424494" w:rsidRPr="00670830" w:rsidRDefault="00424494" w:rsidP="00670830">
            <w:pPr>
              <w:spacing w:before="100" w:beforeAutospacing="1" w:after="100" w:afterAutospacing="1" w:line="360" w:lineRule="auto"/>
              <w:jc w:val="right"/>
              <w:rPr>
                <w:rFonts w:ascii="Arial" w:eastAsia="Arial Unicode MS" w:hAnsi="Arial" w:cs="Arial"/>
                <w:color w:val="000000"/>
                <w:sz w:val="24"/>
                <w:szCs w:val="24"/>
                <w:lang w:eastAsia="es-MX"/>
              </w:rPr>
            </w:pPr>
            <w:r w:rsidRPr="00670830">
              <w:rPr>
                <w:rFonts w:ascii="Arial" w:eastAsia="Arial Unicode MS" w:hAnsi="Arial" w:cs="Arial"/>
                <w:color w:val="000000"/>
                <w:sz w:val="24"/>
                <w:szCs w:val="24"/>
                <w:lang w:eastAsia="es-MX"/>
              </w:rPr>
              <w:t>$8,738.53</w:t>
            </w:r>
          </w:p>
        </w:tc>
      </w:tr>
    </w:tbl>
    <w:p w:rsidR="006E563E" w:rsidRPr="00670830" w:rsidRDefault="006E563E" w:rsidP="00670830">
      <w:pPr>
        <w:tabs>
          <w:tab w:val="left" w:pos="1605"/>
        </w:tabs>
        <w:spacing w:before="100" w:beforeAutospacing="1" w:after="100" w:afterAutospacing="1" w:line="360" w:lineRule="auto"/>
        <w:jc w:val="both"/>
        <w:rPr>
          <w:rFonts w:ascii="Arial" w:eastAsia="Arial Unicode MS" w:hAnsi="Arial" w:cs="Arial"/>
          <w:sz w:val="24"/>
          <w:szCs w:val="24"/>
        </w:rPr>
      </w:pPr>
    </w:p>
    <w:p w:rsidR="002377BD" w:rsidRPr="00670830" w:rsidRDefault="002377BD" w:rsidP="00670830">
      <w:pPr>
        <w:tabs>
          <w:tab w:val="left" w:pos="160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La tabla anterior nos muestra, para una inversión de un millón de pesos, bajo los niveles de confianza determinados, la máxima pérdida esperada de</w:t>
      </w:r>
      <w:r w:rsidR="00166CA0" w:rsidRPr="00670830">
        <w:rPr>
          <w:rFonts w:ascii="Arial" w:eastAsia="Arial Unicode MS" w:hAnsi="Arial" w:cs="Arial"/>
          <w:sz w:val="24"/>
          <w:szCs w:val="24"/>
        </w:rPr>
        <w:t xml:space="preserve"> </w:t>
      </w:r>
      <w:r w:rsidRPr="00670830">
        <w:rPr>
          <w:rFonts w:ascii="Arial" w:eastAsia="Arial Unicode MS" w:hAnsi="Arial" w:cs="Arial"/>
          <w:sz w:val="24"/>
          <w:szCs w:val="24"/>
        </w:rPr>
        <w:t>l</w:t>
      </w:r>
      <w:r w:rsidR="00166CA0" w:rsidRPr="00670830">
        <w:rPr>
          <w:rFonts w:ascii="Arial" w:eastAsia="Arial Unicode MS" w:hAnsi="Arial" w:cs="Arial"/>
          <w:sz w:val="24"/>
          <w:szCs w:val="24"/>
        </w:rPr>
        <w:t>a cartera diversificada</w:t>
      </w:r>
      <w:r w:rsidRPr="00670830">
        <w:rPr>
          <w:rFonts w:ascii="Arial" w:eastAsia="Arial Unicode MS" w:hAnsi="Arial" w:cs="Arial"/>
          <w:sz w:val="24"/>
          <w:szCs w:val="24"/>
        </w:rPr>
        <w:t xml:space="preserve"> aleatoriamente es siempre mayor que la de</w:t>
      </w:r>
      <w:r w:rsidR="00166CA0" w:rsidRPr="00670830">
        <w:rPr>
          <w:rFonts w:ascii="Arial" w:eastAsia="Arial Unicode MS" w:hAnsi="Arial" w:cs="Arial"/>
          <w:sz w:val="24"/>
          <w:szCs w:val="24"/>
        </w:rPr>
        <w:t xml:space="preserve"> </w:t>
      </w:r>
      <w:r w:rsidRPr="00670830">
        <w:rPr>
          <w:rFonts w:ascii="Arial" w:eastAsia="Arial Unicode MS" w:hAnsi="Arial" w:cs="Arial"/>
          <w:sz w:val="24"/>
          <w:szCs w:val="24"/>
        </w:rPr>
        <w:t>l</w:t>
      </w:r>
      <w:r w:rsidR="00166CA0" w:rsidRPr="00670830">
        <w:rPr>
          <w:rFonts w:ascii="Arial" w:eastAsia="Arial Unicode MS" w:hAnsi="Arial" w:cs="Arial"/>
          <w:sz w:val="24"/>
          <w:szCs w:val="24"/>
        </w:rPr>
        <w:t>a cartera diversificada</w:t>
      </w:r>
      <w:r w:rsidRPr="00670830">
        <w:rPr>
          <w:rFonts w:ascii="Arial" w:eastAsia="Arial Unicode MS" w:hAnsi="Arial" w:cs="Arial"/>
          <w:sz w:val="24"/>
          <w:szCs w:val="24"/>
        </w:rPr>
        <w:t xml:space="preserve"> científicamente en el período de tiempo estudiado.</w:t>
      </w:r>
    </w:p>
    <w:p w:rsidR="00071DEC" w:rsidRPr="00670830" w:rsidRDefault="00071DEC" w:rsidP="00670830">
      <w:pPr>
        <w:tabs>
          <w:tab w:val="left" w:pos="160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Con los resultados obtenidos, podemos concluir que mediante la diversificación de un</w:t>
      </w:r>
      <w:r w:rsidR="00495A0A" w:rsidRPr="00670830">
        <w:rPr>
          <w:rFonts w:ascii="Arial" w:eastAsia="Arial Unicode MS" w:hAnsi="Arial" w:cs="Arial"/>
          <w:sz w:val="24"/>
          <w:szCs w:val="24"/>
        </w:rPr>
        <w:t>a cartera</w:t>
      </w:r>
      <w:r w:rsidRPr="00670830">
        <w:rPr>
          <w:rFonts w:ascii="Arial" w:eastAsia="Arial Unicode MS" w:hAnsi="Arial" w:cs="Arial"/>
          <w:sz w:val="24"/>
          <w:szCs w:val="24"/>
        </w:rPr>
        <w:t xml:space="preserve"> de inversión, de acuerdo a lo propuesto en por Harry </w:t>
      </w:r>
      <w:proofErr w:type="spellStart"/>
      <w:r w:rsidRPr="00670830">
        <w:rPr>
          <w:rFonts w:ascii="Arial" w:eastAsia="Arial Unicode MS" w:hAnsi="Arial" w:cs="Arial"/>
          <w:sz w:val="24"/>
          <w:szCs w:val="24"/>
        </w:rPr>
        <w:t>Markowitz</w:t>
      </w:r>
      <w:proofErr w:type="spellEnd"/>
      <w:r w:rsidRPr="00670830">
        <w:rPr>
          <w:rFonts w:ascii="Arial" w:eastAsia="Arial Unicode MS" w:hAnsi="Arial" w:cs="Arial"/>
          <w:sz w:val="24"/>
          <w:szCs w:val="24"/>
        </w:rPr>
        <w:t>, se reduce el Valor en Riesgo, nuestra medida de riesgo. Dado lo anterior podemos concluir el objetivo del presente análisis.</w:t>
      </w:r>
    </w:p>
    <w:p w:rsidR="00FD0894" w:rsidRPr="00670830" w:rsidRDefault="00FD0894" w:rsidP="00670830">
      <w:pPr>
        <w:tabs>
          <w:tab w:val="left" w:pos="1605"/>
        </w:tabs>
        <w:spacing w:before="100" w:beforeAutospacing="1" w:after="100" w:afterAutospacing="1" w:line="360" w:lineRule="auto"/>
        <w:jc w:val="both"/>
        <w:rPr>
          <w:rFonts w:ascii="Arial" w:eastAsia="Arial Unicode MS" w:hAnsi="Arial" w:cs="Arial"/>
          <w:sz w:val="24"/>
          <w:szCs w:val="24"/>
        </w:rPr>
      </w:pPr>
    </w:p>
    <w:p w:rsidR="00FD0894" w:rsidRPr="00670830" w:rsidRDefault="00FD0894" w:rsidP="00670830">
      <w:pPr>
        <w:tabs>
          <w:tab w:val="left" w:pos="1605"/>
        </w:tabs>
        <w:spacing w:before="100" w:beforeAutospacing="1" w:after="100" w:afterAutospacing="1" w:line="360" w:lineRule="auto"/>
        <w:jc w:val="both"/>
        <w:rPr>
          <w:rFonts w:ascii="Arial" w:eastAsia="Arial Unicode MS" w:hAnsi="Arial" w:cs="Arial"/>
          <w:sz w:val="24"/>
          <w:szCs w:val="24"/>
        </w:rPr>
      </w:pPr>
    </w:p>
    <w:p w:rsidR="00FD0894" w:rsidRPr="00670830" w:rsidRDefault="00FD0894" w:rsidP="00670830">
      <w:pPr>
        <w:tabs>
          <w:tab w:val="left" w:pos="1605"/>
        </w:tabs>
        <w:spacing w:before="100" w:beforeAutospacing="1" w:after="100" w:afterAutospacing="1" w:line="360" w:lineRule="auto"/>
        <w:jc w:val="both"/>
        <w:rPr>
          <w:rFonts w:ascii="Arial" w:eastAsia="Arial Unicode MS" w:hAnsi="Arial" w:cs="Arial"/>
          <w:sz w:val="24"/>
          <w:szCs w:val="24"/>
        </w:rPr>
      </w:pPr>
    </w:p>
    <w:p w:rsidR="00FD0894" w:rsidRPr="00670830" w:rsidRDefault="00FD0894" w:rsidP="00670830">
      <w:pPr>
        <w:tabs>
          <w:tab w:val="left" w:pos="1605"/>
        </w:tabs>
        <w:spacing w:before="100" w:beforeAutospacing="1" w:after="100" w:afterAutospacing="1" w:line="360" w:lineRule="auto"/>
        <w:jc w:val="both"/>
        <w:rPr>
          <w:rFonts w:ascii="Arial" w:eastAsia="Arial Unicode MS" w:hAnsi="Arial" w:cs="Arial"/>
          <w:sz w:val="24"/>
          <w:szCs w:val="24"/>
        </w:rPr>
      </w:pPr>
    </w:p>
    <w:p w:rsidR="00085D41" w:rsidRPr="00670830" w:rsidRDefault="00085D41" w:rsidP="00670830">
      <w:pPr>
        <w:tabs>
          <w:tab w:val="left" w:pos="1605"/>
        </w:tabs>
        <w:spacing w:before="100" w:beforeAutospacing="1" w:after="100" w:afterAutospacing="1" w:line="360" w:lineRule="auto"/>
        <w:jc w:val="both"/>
        <w:rPr>
          <w:rFonts w:ascii="Arial" w:eastAsia="Arial Unicode MS" w:hAnsi="Arial" w:cs="Arial"/>
          <w:sz w:val="24"/>
          <w:szCs w:val="24"/>
        </w:rPr>
      </w:pPr>
    </w:p>
    <w:p w:rsidR="00581F95" w:rsidRDefault="00581F95" w:rsidP="00670830">
      <w:pPr>
        <w:tabs>
          <w:tab w:val="left" w:pos="1605"/>
        </w:tabs>
        <w:spacing w:before="100" w:beforeAutospacing="1" w:after="100" w:afterAutospacing="1" w:line="360" w:lineRule="auto"/>
        <w:jc w:val="both"/>
        <w:rPr>
          <w:rFonts w:ascii="Arial" w:eastAsia="Arial Unicode MS" w:hAnsi="Arial" w:cs="Arial"/>
          <w:sz w:val="24"/>
          <w:szCs w:val="24"/>
        </w:rPr>
      </w:pPr>
    </w:p>
    <w:p w:rsidR="00670830" w:rsidRDefault="00670830" w:rsidP="00670830">
      <w:pPr>
        <w:tabs>
          <w:tab w:val="left" w:pos="1605"/>
        </w:tabs>
        <w:spacing w:before="100" w:beforeAutospacing="1" w:after="100" w:afterAutospacing="1" w:line="360" w:lineRule="auto"/>
        <w:jc w:val="both"/>
        <w:rPr>
          <w:rFonts w:ascii="Arial" w:eastAsia="Arial Unicode MS" w:hAnsi="Arial" w:cs="Arial"/>
          <w:sz w:val="24"/>
          <w:szCs w:val="24"/>
        </w:rPr>
      </w:pPr>
    </w:p>
    <w:p w:rsidR="00670830" w:rsidRDefault="00670830" w:rsidP="00670830">
      <w:pPr>
        <w:tabs>
          <w:tab w:val="left" w:pos="1605"/>
        </w:tabs>
        <w:spacing w:before="100" w:beforeAutospacing="1" w:after="100" w:afterAutospacing="1" w:line="360" w:lineRule="auto"/>
        <w:jc w:val="both"/>
        <w:rPr>
          <w:rFonts w:ascii="Arial" w:eastAsia="Arial Unicode MS" w:hAnsi="Arial" w:cs="Arial"/>
          <w:sz w:val="24"/>
          <w:szCs w:val="24"/>
        </w:rPr>
      </w:pPr>
    </w:p>
    <w:p w:rsidR="00670830" w:rsidRDefault="00670830" w:rsidP="00670830">
      <w:pPr>
        <w:tabs>
          <w:tab w:val="left" w:pos="1605"/>
        </w:tabs>
        <w:spacing w:before="100" w:beforeAutospacing="1" w:after="100" w:afterAutospacing="1" w:line="360" w:lineRule="auto"/>
        <w:jc w:val="both"/>
        <w:rPr>
          <w:rFonts w:ascii="Arial" w:eastAsia="Arial Unicode MS" w:hAnsi="Arial" w:cs="Arial"/>
          <w:sz w:val="24"/>
          <w:szCs w:val="24"/>
        </w:rPr>
      </w:pPr>
    </w:p>
    <w:p w:rsidR="00670830" w:rsidRPr="00670830" w:rsidRDefault="00670830" w:rsidP="00670830">
      <w:pPr>
        <w:tabs>
          <w:tab w:val="left" w:pos="1605"/>
        </w:tabs>
        <w:spacing w:before="100" w:beforeAutospacing="1" w:after="100" w:afterAutospacing="1" w:line="360" w:lineRule="auto"/>
        <w:jc w:val="both"/>
        <w:rPr>
          <w:rFonts w:ascii="Arial" w:eastAsia="Arial Unicode MS" w:hAnsi="Arial" w:cs="Arial"/>
          <w:sz w:val="24"/>
          <w:szCs w:val="24"/>
        </w:rPr>
      </w:pPr>
    </w:p>
    <w:p w:rsidR="00723775" w:rsidRPr="00670830" w:rsidRDefault="00723775" w:rsidP="00670830">
      <w:pPr>
        <w:pStyle w:val="Ttulo1"/>
        <w:spacing w:before="100" w:beforeAutospacing="1" w:after="100" w:afterAutospacing="1" w:line="360" w:lineRule="auto"/>
        <w:jc w:val="center"/>
        <w:rPr>
          <w:rFonts w:ascii="Arial" w:eastAsia="Arial Unicode MS" w:hAnsi="Arial" w:cs="Arial"/>
          <w:color w:val="auto"/>
          <w:sz w:val="24"/>
          <w:szCs w:val="24"/>
        </w:rPr>
      </w:pPr>
      <w:bookmarkStart w:id="44" w:name="_Toc488230521"/>
      <w:r w:rsidRPr="00670830">
        <w:rPr>
          <w:rFonts w:ascii="Arial" w:eastAsia="Arial Unicode MS" w:hAnsi="Arial" w:cs="Arial"/>
          <w:color w:val="auto"/>
          <w:sz w:val="24"/>
          <w:szCs w:val="24"/>
        </w:rPr>
        <w:t>Bibliografía</w:t>
      </w:r>
      <w:bookmarkEnd w:id="44"/>
    </w:p>
    <w:p w:rsidR="00273528" w:rsidRPr="00670830" w:rsidRDefault="00273528" w:rsidP="00670830">
      <w:pPr>
        <w:tabs>
          <w:tab w:val="left" w:pos="1605"/>
        </w:tabs>
        <w:spacing w:before="100" w:beforeAutospacing="1" w:after="100" w:afterAutospacing="1" w:line="360" w:lineRule="auto"/>
        <w:jc w:val="both"/>
        <w:rPr>
          <w:rFonts w:ascii="Arial" w:eastAsia="Arial Unicode MS" w:hAnsi="Arial" w:cs="Arial"/>
          <w:sz w:val="24"/>
          <w:szCs w:val="24"/>
        </w:rPr>
      </w:pPr>
    </w:p>
    <w:p w:rsidR="00273528" w:rsidRPr="00670830" w:rsidRDefault="00273528" w:rsidP="00670830">
      <w:pPr>
        <w:tabs>
          <w:tab w:val="left" w:pos="1605"/>
        </w:tabs>
        <w:spacing w:before="100" w:beforeAutospacing="1" w:after="100" w:afterAutospacing="1" w:line="360" w:lineRule="auto"/>
        <w:jc w:val="both"/>
        <w:rPr>
          <w:rFonts w:ascii="Arial" w:eastAsia="Arial Unicode MS" w:hAnsi="Arial" w:cs="Arial"/>
          <w:sz w:val="24"/>
          <w:szCs w:val="24"/>
          <w:lang w:val="en-US"/>
        </w:rPr>
      </w:pPr>
      <w:r w:rsidRPr="00670830">
        <w:rPr>
          <w:rFonts w:ascii="Arial" w:eastAsia="Arial Unicode MS" w:hAnsi="Arial" w:cs="Arial"/>
          <w:sz w:val="24"/>
          <w:szCs w:val="24"/>
        </w:rPr>
        <w:t>De Lara Haro</w:t>
      </w:r>
      <w:r w:rsidR="00D077A1" w:rsidRPr="00670830">
        <w:rPr>
          <w:rFonts w:ascii="Arial" w:eastAsia="Arial Unicode MS" w:hAnsi="Arial" w:cs="Arial"/>
          <w:sz w:val="24"/>
          <w:szCs w:val="24"/>
        </w:rPr>
        <w:t>,</w:t>
      </w:r>
      <w:r w:rsidRPr="00670830">
        <w:rPr>
          <w:rFonts w:ascii="Arial" w:eastAsia="Arial Unicode MS" w:hAnsi="Arial" w:cs="Arial"/>
          <w:sz w:val="24"/>
          <w:szCs w:val="24"/>
        </w:rPr>
        <w:t xml:space="preserve"> A. (2008). </w:t>
      </w:r>
      <w:r w:rsidRPr="00670830">
        <w:rPr>
          <w:rFonts w:ascii="Arial" w:eastAsia="Arial Unicode MS" w:hAnsi="Arial" w:cs="Arial"/>
          <w:i/>
          <w:sz w:val="24"/>
          <w:szCs w:val="24"/>
        </w:rPr>
        <w:t>Medición y control de riesgos financieros</w:t>
      </w:r>
      <w:r w:rsidRPr="00670830">
        <w:rPr>
          <w:rFonts w:ascii="Arial" w:eastAsia="Arial Unicode MS" w:hAnsi="Arial" w:cs="Arial"/>
          <w:sz w:val="24"/>
          <w:szCs w:val="24"/>
        </w:rPr>
        <w:t xml:space="preserve">. </w:t>
      </w:r>
      <w:r w:rsidRPr="00670830">
        <w:rPr>
          <w:rFonts w:ascii="Arial" w:eastAsia="Arial Unicode MS" w:hAnsi="Arial" w:cs="Arial"/>
          <w:sz w:val="24"/>
          <w:szCs w:val="24"/>
          <w:lang w:val="en-US"/>
        </w:rPr>
        <w:t xml:space="preserve">(3ª </w:t>
      </w:r>
      <w:proofErr w:type="gramStart"/>
      <w:r w:rsidRPr="00670830">
        <w:rPr>
          <w:rFonts w:ascii="Arial" w:eastAsia="Arial Unicode MS" w:hAnsi="Arial" w:cs="Arial"/>
          <w:sz w:val="24"/>
          <w:szCs w:val="24"/>
          <w:lang w:val="en-US"/>
        </w:rPr>
        <w:t>ed</w:t>
      </w:r>
      <w:proofErr w:type="gramEnd"/>
      <w:r w:rsidRPr="00670830">
        <w:rPr>
          <w:rFonts w:ascii="Arial" w:eastAsia="Arial Unicode MS" w:hAnsi="Arial" w:cs="Arial"/>
          <w:sz w:val="24"/>
          <w:szCs w:val="24"/>
          <w:lang w:val="en-US"/>
        </w:rPr>
        <w:t xml:space="preserve">.). </w:t>
      </w:r>
      <w:proofErr w:type="gramStart"/>
      <w:r w:rsidRPr="00670830">
        <w:rPr>
          <w:rFonts w:ascii="Arial" w:eastAsia="Arial Unicode MS" w:hAnsi="Arial" w:cs="Arial"/>
          <w:sz w:val="24"/>
          <w:szCs w:val="24"/>
          <w:lang w:val="en-US"/>
        </w:rPr>
        <w:t>México.</w:t>
      </w:r>
      <w:proofErr w:type="gramEnd"/>
      <w:r w:rsidRPr="00670830">
        <w:rPr>
          <w:rFonts w:ascii="Arial" w:eastAsia="Arial Unicode MS" w:hAnsi="Arial" w:cs="Arial"/>
          <w:sz w:val="24"/>
          <w:szCs w:val="24"/>
          <w:lang w:val="en-US"/>
        </w:rPr>
        <w:t xml:space="preserve"> </w:t>
      </w:r>
      <w:proofErr w:type="gramStart"/>
      <w:r w:rsidRPr="00670830">
        <w:rPr>
          <w:rFonts w:ascii="Arial" w:eastAsia="Arial Unicode MS" w:hAnsi="Arial" w:cs="Arial"/>
          <w:sz w:val="24"/>
          <w:szCs w:val="24"/>
          <w:lang w:val="en-US"/>
        </w:rPr>
        <w:t xml:space="preserve">Editorial </w:t>
      </w:r>
      <w:proofErr w:type="spellStart"/>
      <w:r w:rsidRPr="00670830">
        <w:rPr>
          <w:rFonts w:ascii="Arial" w:eastAsia="Arial Unicode MS" w:hAnsi="Arial" w:cs="Arial"/>
          <w:sz w:val="24"/>
          <w:szCs w:val="24"/>
          <w:lang w:val="en-US"/>
        </w:rPr>
        <w:t>Limusa</w:t>
      </w:r>
      <w:proofErr w:type="spellEnd"/>
      <w:r w:rsidRPr="00670830">
        <w:rPr>
          <w:rFonts w:ascii="Arial" w:eastAsia="Arial Unicode MS" w:hAnsi="Arial" w:cs="Arial"/>
          <w:sz w:val="24"/>
          <w:szCs w:val="24"/>
          <w:lang w:val="en-US"/>
        </w:rPr>
        <w:t>.</w:t>
      </w:r>
      <w:proofErr w:type="gramEnd"/>
    </w:p>
    <w:p w:rsidR="00273528" w:rsidRPr="00670830" w:rsidRDefault="00273528" w:rsidP="00670830">
      <w:pPr>
        <w:tabs>
          <w:tab w:val="left" w:pos="1605"/>
        </w:tabs>
        <w:spacing w:before="100" w:beforeAutospacing="1" w:after="100" w:afterAutospacing="1" w:line="360" w:lineRule="auto"/>
        <w:jc w:val="both"/>
        <w:rPr>
          <w:rFonts w:ascii="Arial" w:eastAsia="Arial Unicode MS" w:hAnsi="Arial" w:cs="Arial"/>
          <w:sz w:val="24"/>
          <w:szCs w:val="24"/>
          <w:lang w:val="en-US"/>
        </w:rPr>
      </w:pPr>
      <w:proofErr w:type="spellStart"/>
      <w:r w:rsidRPr="00670830">
        <w:rPr>
          <w:rFonts w:ascii="Arial" w:eastAsia="Arial Unicode MS" w:hAnsi="Arial" w:cs="Arial"/>
          <w:sz w:val="24"/>
          <w:szCs w:val="24"/>
          <w:lang w:val="en-US"/>
        </w:rPr>
        <w:t>Rencher</w:t>
      </w:r>
      <w:proofErr w:type="spellEnd"/>
      <w:r w:rsidR="00D077A1" w:rsidRPr="00670830">
        <w:rPr>
          <w:rFonts w:ascii="Arial" w:eastAsia="Arial Unicode MS" w:hAnsi="Arial" w:cs="Arial"/>
          <w:sz w:val="24"/>
          <w:szCs w:val="24"/>
          <w:lang w:val="en-US"/>
        </w:rPr>
        <w:t>,</w:t>
      </w:r>
      <w:r w:rsidRPr="00670830">
        <w:rPr>
          <w:rFonts w:ascii="Arial" w:eastAsia="Arial Unicode MS" w:hAnsi="Arial" w:cs="Arial"/>
          <w:sz w:val="24"/>
          <w:szCs w:val="24"/>
          <w:lang w:val="en-US"/>
        </w:rPr>
        <w:t xml:space="preserve"> A. (2002). </w:t>
      </w:r>
      <w:proofErr w:type="gramStart"/>
      <w:r w:rsidRPr="00670830">
        <w:rPr>
          <w:rFonts w:ascii="Arial" w:eastAsia="Arial Unicode MS" w:hAnsi="Arial" w:cs="Arial"/>
          <w:i/>
          <w:sz w:val="24"/>
          <w:szCs w:val="24"/>
          <w:lang w:val="en-US"/>
        </w:rPr>
        <w:t>Methods of Multivariate Analysi</w:t>
      </w:r>
      <w:r w:rsidR="00823FE3" w:rsidRPr="00670830">
        <w:rPr>
          <w:rFonts w:ascii="Arial" w:eastAsia="Arial Unicode MS" w:hAnsi="Arial" w:cs="Arial"/>
          <w:i/>
          <w:sz w:val="24"/>
          <w:szCs w:val="24"/>
          <w:lang w:val="en-US"/>
        </w:rPr>
        <w:t>s</w:t>
      </w:r>
      <w:r w:rsidRPr="00670830">
        <w:rPr>
          <w:rFonts w:ascii="Arial" w:eastAsia="Arial Unicode MS" w:hAnsi="Arial" w:cs="Arial"/>
          <w:i/>
          <w:sz w:val="24"/>
          <w:szCs w:val="24"/>
          <w:lang w:val="en-US"/>
        </w:rPr>
        <w:t>.</w:t>
      </w:r>
      <w:proofErr w:type="gramEnd"/>
      <w:r w:rsidRPr="00670830">
        <w:rPr>
          <w:rFonts w:ascii="Arial" w:eastAsia="Arial Unicode MS" w:hAnsi="Arial" w:cs="Arial"/>
          <w:i/>
          <w:sz w:val="24"/>
          <w:szCs w:val="24"/>
          <w:lang w:val="en-US"/>
        </w:rPr>
        <w:t xml:space="preserve"> </w:t>
      </w:r>
      <w:r w:rsidRPr="00670830">
        <w:rPr>
          <w:rFonts w:ascii="Arial" w:eastAsia="Arial Unicode MS" w:hAnsi="Arial" w:cs="Arial"/>
          <w:sz w:val="24"/>
          <w:szCs w:val="24"/>
          <w:lang w:val="en-US"/>
        </w:rPr>
        <w:t xml:space="preserve">(2ª </w:t>
      </w:r>
      <w:proofErr w:type="gramStart"/>
      <w:r w:rsidRPr="00670830">
        <w:rPr>
          <w:rFonts w:ascii="Arial" w:eastAsia="Arial Unicode MS" w:hAnsi="Arial" w:cs="Arial"/>
          <w:sz w:val="24"/>
          <w:szCs w:val="24"/>
          <w:lang w:val="en-US"/>
        </w:rPr>
        <w:t>ed</w:t>
      </w:r>
      <w:proofErr w:type="gramEnd"/>
      <w:r w:rsidRPr="00670830">
        <w:rPr>
          <w:rFonts w:ascii="Arial" w:eastAsia="Arial Unicode MS" w:hAnsi="Arial" w:cs="Arial"/>
          <w:sz w:val="24"/>
          <w:szCs w:val="24"/>
          <w:lang w:val="en-US"/>
        </w:rPr>
        <w:t xml:space="preserve">.). </w:t>
      </w:r>
      <w:proofErr w:type="gramStart"/>
      <w:r w:rsidRPr="00670830">
        <w:rPr>
          <w:rFonts w:ascii="Arial" w:eastAsia="Arial Unicode MS" w:hAnsi="Arial" w:cs="Arial"/>
          <w:sz w:val="24"/>
          <w:szCs w:val="24"/>
          <w:lang w:val="en-US"/>
        </w:rPr>
        <w:t>EEUU.</w:t>
      </w:r>
      <w:proofErr w:type="gramEnd"/>
      <w:r w:rsidRPr="00670830">
        <w:rPr>
          <w:rFonts w:ascii="Arial" w:eastAsia="Arial Unicode MS" w:hAnsi="Arial" w:cs="Arial"/>
          <w:sz w:val="24"/>
          <w:szCs w:val="24"/>
          <w:lang w:val="en-US"/>
        </w:rPr>
        <w:t xml:space="preserve"> </w:t>
      </w:r>
      <w:proofErr w:type="gramStart"/>
      <w:r w:rsidRPr="00670830">
        <w:rPr>
          <w:rFonts w:ascii="Arial" w:eastAsia="Arial Unicode MS" w:hAnsi="Arial" w:cs="Arial"/>
          <w:sz w:val="24"/>
          <w:szCs w:val="24"/>
          <w:lang w:val="en-US"/>
        </w:rPr>
        <w:t>Editorial Wiley Series in Probability and Statistics.</w:t>
      </w:r>
      <w:proofErr w:type="gramEnd"/>
    </w:p>
    <w:p w:rsidR="00950919" w:rsidRPr="00670830" w:rsidRDefault="00D077A1" w:rsidP="00670830">
      <w:pPr>
        <w:tabs>
          <w:tab w:val="left" w:pos="160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Villareal Samaniego, J. D. (2008). </w:t>
      </w:r>
      <w:r w:rsidRPr="00670830">
        <w:rPr>
          <w:rFonts w:ascii="Arial" w:eastAsia="Arial Unicode MS" w:hAnsi="Arial" w:cs="Arial"/>
          <w:i/>
          <w:sz w:val="24"/>
          <w:szCs w:val="24"/>
        </w:rPr>
        <w:t>Administración Financiera II</w:t>
      </w:r>
      <w:r w:rsidRPr="00670830">
        <w:rPr>
          <w:rFonts w:ascii="Arial" w:eastAsia="Arial Unicode MS" w:hAnsi="Arial" w:cs="Arial"/>
          <w:sz w:val="24"/>
          <w:szCs w:val="24"/>
        </w:rPr>
        <w:t>. México, 138 páginas.</w:t>
      </w:r>
    </w:p>
    <w:p w:rsidR="00D077A1" w:rsidRPr="00670830" w:rsidRDefault="00D077A1" w:rsidP="00670830">
      <w:pPr>
        <w:tabs>
          <w:tab w:val="left" w:pos="1605"/>
        </w:tabs>
        <w:spacing w:before="100" w:beforeAutospacing="1" w:after="100" w:afterAutospacing="1" w:line="360" w:lineRule="auto"/>
        <w:jc w:val="both"/>
        <w:rPr>
          <w:rFonts w:ascii="Arial" w:eastAsia="Arial Unicode MS" w:hAnsi="Arial" w:cs="Arial"/>
          <w:i/>
          <w:sz w:val="24"/>
          <w:szCs w:val="24"/>
        </w:rPr>
      </w:pPr>
      <w:r w:rsidRPr="00670830">
        <w:rPr>
          <w:rFonts w:ascii="Arial" w:eastAsia="Arial Unicode MS" w:hAnsi="Arial" w:cs="Arial"/>
          <w:sz w:val="24"/>
          <w:szCs w:val="24"/>
        </w:rPr>
        <w:t xml:space="preserve">Hull, J. C. (2002). </w:t>
      </w:r>
      <w:r w:rsidRPr="00670830">
        <w:rPr>
          <w:rFonts w:ascii="Arial" w:eastAsia="Arial Unicode MS" w:hAnsi="Arial" w:cs="Arial"/>
          <w:i/>
          <w:sz w:val="24"/>
          <w:szCs w:val="24"/>
        </w:rPr>
        <w:t xml:space="preserve">Introducción a los mercados de futuros y opciones. </w:t>
      </w:r>
      <w:r w:rsidRPr="00670830">
        <w:rPr>
          <w:rFonts w:ascii="Arial" w:eastAsia="Arial Unicode MS" w:hAnsi="Arial" w:cs="Arial"/>
          <w:sz w:val="24"/>
          <w:szCs w:val="24"/>
        </w:rPr>
        <w:t>(4ª ed.). Madrid. Editorial Prentice Hall.</w:t>
      </w:r>
    </w:p>
    <w:p w:rsidR="00D077A1" w:rsidRPr="00670830" w:rsidRDefault="00D077A1" w:rsidP="00670830">
      <w:pPr>
        <w:tabs>
          <w:tab w:val="left" w:pos="160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Alonso C., J. C. (2005). </w:t>
      </w:r>
      <w:r w:rsidRPr="00670830">
        <w:rPr>
          <w:rFonts w:ascii="Arial" w:eastAsia="Arial Unicode MS" w:hAnsi="Arial" w:cs="Arial"/>
          <w:i/>
          <w:sz w:val="24"/>
          <w:szCs w:val="24"/>
        </w:rPr>
        <w:t>Introducción al Cálculo del Valor en Riesgo.</w:t>
      </w:r>
      <w:r w:rsidRPr="00670830">
        <w:rPr>
          <w:rFonts w:ascii="Arial" w:eastAsia="Arial Unicode MS" w:hAnsi="Arial" w:cs="Arial"/>
          <w:sz w:val="24"/>
          <w:szCs w:val="24"/>
        </w:rPr>
        <w:t xml:space="preserve"> Apuntes de Economía No. 7, Universidad ICESI, Cali, Colombia.</w:t>
      </w:r>
    </w:p>
    <w:p w:rsidR="00D077A1" w:rsidRPr="00670830" w:rsidRDefault="00B059B7" w:rsidP="00670830">
      <w:pPr>
        <w:tabs>
          <w:tab w:val="left" w:pos="1605"/>
        </w:tabs>
        <w:spacing w:before="100" w:beforeAutospacing="1" w:after="100" w:afterAutospacing="1" w:line="360" w:lineRule="auto"/>
        <w:jc w:val="both"/>
        <w:rPr>
          <w:rFonts w:ascii="Arial" w:eastAsia="Arial Unicode MS" w:hAnsi="Arial" w:cs="Arial"/>
          <w:sz w:val="24"/>
          <w:szCs w:val="24"/>
          <w:lang w:val="en-US"/>
        </w:rPr>
      </w:pPr>
      <w:proofErr w:type="spellStart"/>
      <w:r w:rsidRPr="00670830">
        <w:rPr>
          <w:rFonts w:ascii="Arial" w:eastAsia="Arial Unicode MS" w:hAnsi="Arial" w:cs="Arial"/>
          <w:sz w:val="24"/>
          <w:szCs w:val="24"/>
        </w:rPr>
        <w:t>Dempster</w:t>
      </w:r>
      <w:proofErr w:type="spellEnd"/>
      <w:r w:rsidRPr="00670830">
        <w:rPr>
          <w:rFonts w:ascii="Arial" w:eastAsia="Arial Unicode MS" w:hAnsi="Arial" w:cs="Arial"/>
          <w:sz w:val="24"/>
          <w:szCs w:val="24"/>
        </w:rPr>
        <w:t xml:space="preserve">, M. A. H. (2002).  </w:t>
      </w:r>
      <w:proofErr w:type="gramStart"/>
      <w:r w:rsidR="0094244F" w:rsidRPr="00670830">
        <w:rPr>
          <w:rFonts w:ascii="Arial" w:eastAsia="Arial Unicode MS" w:hAnsi="Arial" w:cs="Arial"/>
          <w:i/>
          <w:sz w:val="24"/>
          <w:szCs w:val="24"/>
          <w:lang w:val="en-US"/>
        </w:rPr>
        <w:t>Risk Management: Value at risk and beyond</w:t>
      </w:r>
      <w:r w:rsidRPr="00670830">
        <w:rPr>
          <w:rFonts w:ascii="Arial" w:eastAsia="Arial Unicode MS" w:hAnsi="Arial" w:cs="Arial"/>
          <w:i/>
          <w:sz w:val="24"/>
          <w:szCs w:val="24"/>
          <w:lang w:val="en-US"/>
        </w:rPr>
        <w:t>.</w:t>
      </w:r>
      <w:proofErr w:type="gramEnd"/>
      <w:r w:rsidRPr="00670830">
        <w:rPr>
          <w:rFonts w:ascii="Arial" w:eastAsia="Arial Unicode MS" w:hAnsi="Arial" w:cs="Arial"/>
          <w:i/>
          <w:sz w:val="24"/>
          <w:szCs w:val="24"/>
          <w:lang w:val="en-US"/>
        </w:rPr>
        <w:t xml:space="preserve"> </w:t>
      </w:r>
      <w:proofErr w:type="gramStart"/>
      <w:r w:rsidRPr="00670830">
        <w:rPr>
          <w:rFonts w:ascii="Arial" w:eastAsia="Arial Unicode MS" w:hAnsi="Arial" w:cs="Arial"/>
          <w:sz w:val="24"/>
          <w:szCs w:val="24"/>
          <w:lang w:val="en-US"/>
        </w:rPr>
        <w:t>Cambridge University Press.</w:t>
      </w:r>
      <w:proofErr w:type="gramEnd"/>
    </w:p>
    <w:p w:rsidR="00D077A1" w:rsidRPr="00670830" w:rsidRDefault="00E4553E" w:rsidP="00670830">
      <w:pPr>
        <w:tabs>
          <w:tab w:val="left" w:pos="1605"/>
        </w:tabs>
        <w:spacing w:before="100" w:beforeAutospacing="1" w:after="100" w:afterAutospacing="1" w:line="360" w:lineRule="auto"/>
        <w:jc w:val="both"/>
        <w:rPr>
          <w:rFonts w:ascii="Arial" w:eastAsia="Arial Unicode MS" w:hAnsi="Arial" w:cs="Arial"/>
          <w:sz w:val="24"/>
          <w:szCs w:val="24"/>
          <w:lang w:val="en-US"/>
        </w:rPr>
      </w:pPr>
      <w:proofErr w:type="spellStart"/>
      <w:proofErr w:type="gramStart"/>
      <w:r w:rsidRPr="00670830">
        <w:rPr>
          <w:rFonts w:ascii="Arial" w:eastAsia="Arial Unicode MS" w:hAnsi="Arial" w:cs="Arial"/>
          <w:sz w:val="24"/>
          <w:szCs w:val="24"/>
          <w:lang w:val="en-US"/>
        </w:rPr>
        <w:t>Choudhry</w:t>
      </w:r>
      <w:proofErr w:type="spellEnd"/>
      <w:r w:rsidRPr="00670830">
        <w:rPr>
          <w:rFonts w:ascii="Arial" w:eastAsia="Arial Unicode MS" w:hAnsi="Arial" w:cs="Arial"/>
          <w:sz w:val="24"/>
          <w:szCs w:val="24"/>
          <w:lang w:val="en-US"/>
        </w:rPr>
        <w:t>, M. (2006).</w:t>
      </w:r>
      <w:proofErr w:type="gramEnd"/>
      <w:r w:rsidRPr="00670830">
        <w:rPr>
          <w:rFonts w:ascii="Arial" w:eastAsia="Arial Unicode MS" w:hAnsi="Arial" w:cs="Arial"/>
          <w:sz w:val="24"/>
          <w:szCs w:val="24"/>
          <w:lang w:val="en-US"/>
        </w:rPr>
        <w:t xml:space="preserve"> </w:t>
      </w:r>
      <w:proofErr w:type="gramStart"/>
      <w:r w:rsidRPr="00670830">
        <w:rPr>
          <w:rFonts w:ascii="Arial" w:eastAsia="Arial Unicode MS" w:hAnsi="Arial" w:cs="Arial"/>
          <w:i/>
          <w:sz w:val="24"/>
          <w:szCs w:val="24"/>
          <w:lang w:val="en-US"/>
        </w:rPr>
        <w:t>An Introduction to Value at Risk</w:t>
      </w:r>
      <w:r w:rsidRPr="00670830">
        <w:rPr>
          <w:rFonts w:ascii="Arial" w:eastAsia="Arial Unicode MS" w:hAnsi="Arial" w:cs="Arial"/>
          <w:sz w:val="24"/>
          <w:szCs w:val="24"/>
          <w:lang w:val="en-US"/>
        </w:rPr>
        <w:t>.</w:t>
      </w:r>
      <w:proofErr w:type="gramEnd"/>
      <w:r w:rsidRPr="00670830">
        <w:rPr>
          <w:rFonts w:ascii="Arial" w:eastAsia="Arial Unicode MS" w:hAnsi="Arial" w:cs="Arial"/>
          <w:sz w:val="24"/>
          <w:szCs w:val="24"/>
          <w:lang w:val="en-US"/>
        </w:rPr>
        <w:t xml:space="preserve"> (4a </w:t>
      </w:r>
      <w:proofErr w:type="gramStart"/>
      <w:r w:rsidRPr="00670830">
        <w:rPr>
          <w:rFonts w:ascii="Arial" w:eastAsia="Arial Unicode MS" w:hAnsi="Arial" w:cs="Arial"/>
          <w:sz w:val="24"/>
          <w:szCs w:val="24"/>
          <w:lang w:val="en-US"/>
        </w:rPr>
        <w:t>ed</w:t>
      </w:r>
      <w:proofErr w:type="gramEnd"/>
      <w:r w:rsidRPr="00670830">
        <w:rPr>
          <w:rFonts w:ascii="Arial" w:eastAsia="Arial Unicode MS" w:hAnsi="Arial" w:cs="Arial"/>
          <w:sz w:val="24"/>
          <w:szCs w:val="24"/>
          <w:lang w:val="en-US"/>
        </w:rPr>
        <w:t xml:space="preserve">.). </w:t>
      </w:r>
      <w:proofErr w:type="gramStart"/>
      <w:r w:rsidRPr="00670830">
        <w:rPr>
          <w:rFonts w:ascii="Arial" w:eastAsia="Arial Unicode MS" w:hAnsi="Arial" w:cs="Arial"/>
          <w:sz w:val="24"/>
          <w:szCs w:val="24"/>
          <w:lang w:val="en-US"/>
        </w:rPr>
        <w:t>West Sussex, England.</w:t>
      </w:r>
      <w:proofErr w:type="gramEnd"/>
      <w:r w:rsidRPr="00670830">
        <w:rPr>
          <w:rFonts w:ascii="Arial" w:eastAsia="Arial Unicode MS" w:hAnsi="Arial" w:cs="Arial"/>
          <w:sz w:val="24"/>
          <w:szCs w:val="24"/>
          <w:lang w:val="en-US"/>
        </w:rPr>
        <w:t xml:space="preserve"> </w:t>
      </w:r>
      <w:proofErr w:type="gramStart"/>
      <w:r w:rsidRPr="00670830">
        <w:rPr>
          <w:rFonts w:ascii="Arial" w:eastAsia="Arial Unicode MS" w:hAnsi="Arial" w:cs="Arial"/>
          <w:sz w:val="24"/>
          <w:szCs w:val="24"/>
          <w:lang w:val="en-US"/>
        </w:rPr>
        <w:t>Editorial John Wiley&amp; Sons, LTD.</w:t>
      </w:r>
      <w:proofErr w:type="gramEnd"/>
    </w:p>
    <w:p w:rsidR="0011420F" w:rsidRPr="00670830" w:rsidRDefault="00F81DA2" w:rsidP="00670830">
      <w:pPr>
        <w:tabs>
          <w:tab w:val="left" w:pos="1605"/>
        </w:tabs>
        <w:spacing w:before="100" w:beforeAutospacing="1" w:after="100" w:afterAutospacing="1" w:line="360" w:lineRule="auto"/>
        <w:jc w:val="both"/>
        <w:rPr>
          <w:rFonts w:ascii="Arial" w:eastAsia="Arial Unicode MS" w:hAnsi="Arial" w:cs="Arial"/>
          <w:sz w:val="24"/>
          <w:szCs w:val="24"/>
        </w:rPr>
      </w:pPr>
      <w:proofErr w:type="spellStart"/>
      <w:r w:rsidRPr="00670830">
        <w:rPr>
          <w:rFonts w:ascii="Arial" w:eastAsia="Arial Unicode MS" w:hAnsi="Arial" w:cs="Arial"/>
          <w:sz w:val="24"/>
          <w:szCs w:val="24"/>
          <w:lang w:val="en-US"/>
        </w:rPr>
        <w:t>Jorion</w:t>
      </w:r>
      <w:proofErr w:type="spellEnd"/>
      <w:r w:rsidRPr="00670830">
        <w:rPr>
          <w:rFonts w:ascii="Arial" w:eastAsia="Arial Unicode MS" w:hAnsi="Arial" w:cs="Arial"/>
          <w:sz w:val="24"/>
          <w:szCs w:val="24"/>
          <w:lang w:val="en-US"/>
        </w:rPr>
        <w:t xml:space="preserve">, P. (2007). </w:t>
      </w:r>
      <w:proofErr w:type="gramStart"/>
      <w:r w:rsidRPr="00670830">
        <w:rPr>
          <w:rFonts w:ascii="Arial" w:eastAsia="Arial Unicode MS" w:hAnsi="Arial" w:cs="Arial"/>
          <w:i/>
          <w:sz w:val="24"/>
          <w:szCs w:val="24"/>
          <w:lang w:val="en-US"/>
        </w:rPr>
        <w:t>Value at risk, the new benchmark for managing financial risk.</w:t>
      </w:r>
      <w:proofErr w:type="gramEnd"/>
      <w:r w:rsidRPr="00670830">
        <w:rPr>
          <w:rFonts w:ascii="Arial" w:eastAsia="Arial Unicode MS" w:hAnsi="Arial" w:cs="Arial"/>
          <w:sz w:val="24"/>
          <w:szCs w:val="24"/>
          <w:lang w:val="en-US"/>
        </w:rPr>
        <w:t xml:space="preserve"> </w:t>
      </w:r>
      <w:r w:rsidRPr="00670830">
        <w:rPr>
          <w:rFonts w:ascii="Arial" w:eastAsia="Arial Unicode MS" w:hAnsi="Arial" w:cs="Arial"/>
          <w:sz w:val="24"/>
          <w:szCs w:val="24"/>
        </w:rPr>
        <w:t>(3ª ed.).</w:t>
      </w:r>
      <w:r w:rsidR="0011420F" w:rsidRPr="00670830">
        <w:rPr>
          <w:rFonts w:ascii="Arial" w:eastAsia="Arial Unicode MS" w:hAnsi="Arial" w:cs="Arial"/>
          <w:sz w:val="24"/>
          <w:szCs w:val="24"/>
        </w:rPr>
        <w:t xml:space="preserve"> EEUU. Editorial McGraw – Hill.</w:t>
      </w:r>
    </w:p>
    <w:p w:rsidR="0011420F" w:rsidRPr="00670830" w:rsidRDefault="006A0356" w:rsidP="00670830">
      <w:pPr>
        <w:tabs>
          <w:tab w:val="left" w:pos="1605"/>
        </w:tabs>
        <w:spacing w:before="100" w:beforeAutospacing="1" w:after="100" w:afterAutospacing="1" w:line="360" w:lineRule="auto"/>
        <w:jc w:val="both"/>
        <w:rPr>
          <w:rFonts w:ascii="Arial" w:eastAsia="Arial Unicode MS" w:hAnsi="Arial" w:cs="Arial"/>
          <w:sz w:val="24"/>
          <w:szCs w:val="24"/>
          <w:lang w:val="en-US"/>
        </w:rPr>
      </w:pPr>
      <w:proofErr w:type="spellStart"/>
      <w:r w:rsidRPr="00670830">
        <w:rPr>
          <w:rFonts w:ascii="Arial" w:eastAsia="Arial Unicode MS" w:hAnsi="Arial" w:cs="Arial"/>
          <w:sz w:val="24"/>
          <w:szCs w:val="24"/>
        </w:rPr>
        <w:t>Zablotsky</w:t>
      </w:r>
      <w:proofErr w:type="spellEnd"/>
      <w:r w:rsidRPr="00670830">
        <w:rPr>
          <w:rFonts w:ascii="Arial" w:eastAsia="Arial Unicode MS" w:hAnsi="Arial" w:cs="Arial"/>
          <w:sz w:val="24"/>
          <w:szCs w:val="24"/>
        </w:rPr>
        <w:t xml:space="preserve">, E. E. (2001). </w:t>
      </w:r>
      <w:r w:rsidRPr="00670830">
        <w:rPr>
          <w:rFonts w:ascii="Arial" w:eastAsia="Arial Unicode MS" w:hAnsi="Arial" w:cs="Arial"/>
          <w:i/>
          <w:sz w:val="24"/>
          <w:szCs w:val="24"/>
        </w:rPr>
        <w:t xml:space="preserve">Eficiencia del Mercado de Capitales, una ilustración. </w:t>
      </w:r>
      <w:proofErr w:type="gramStart"/>
      <w:r w:rsidRPr="00670830">
        <w:rPr>
          <w:rFonts w:ascii="Arial" w:eastAsia="Arial Unicode MS" w:hAnsi="Arial" w:cs="Arial"/>
          <w:sz w:val="24"/>
          <w:szCs w:val="24"/>
          <w:lang w:val="en-US"/>
        </w:rPr>
        <w:t xml:space="preserve">41 </w:t>
      </w:r>
      <w:proofErr w:type="spellStart"/>
      <w:r w:rsidRPr="00670830">
        <w:rPr>
          <w:rFonts w:ascii="Arial" w:eastAsia="Arial Unicode MS" w:hAnsi="Arial" w:cs="Arial"/>
          <w:sz w:val="24"/>
          <w:szCs w:val="24"/>
          <w:lang w:val="en-US"/>
        </w:rPr>
        <w:t>páginas</w:t>
      </w:r>
      <w:proofErr w:type="spellEnd"/>
      <w:r w:rsidRPr="00670830">
        <w:rPr>
          <w:rFonts w:ascii="Arial" w:eastAsia="Arial Unicode MS" w:hAnsi="Arial" w:cs="Arial"/>
          <w:sz w:val="24"/>
          <w:szCs w:val="24"/>
          <w:lang w:val="en-US"/>
        </w:rPr>
        <w:t>.</w:t>
      </w:r>
      <w:proofErr w:type="gramEnd"/>
    </w:p>
    <w:p w:rsidR="00B213C6" w:rsidRPr="00670830" w:rsidRDefault="00B213C6" w:rsidP="00670830">
      <w:pPr>
        <w:tabs>
          <w:tab w:val="left" w:pos="1605"/>
        </w:tabs>
        <w:spacing w:before="100" w:beforeAutospacing="1" w:after="100" w:afterAutospacing="1" w:line="360" w:lineRule="auto"/>
        <w:jc w:val="both"/>
        <w:rPr>
          <w:rFonts w:ascii="Arial" w:eastAsia="Arial Unicode MS" w:hAnsi="Arial" w:cs="Arial"/>
          <w:sz w:val="24"/>
          <w:szCs w:val="24"/>
          <w:lang w:val="en-US"/>
        </w:rPr>
      </w:pPr>
      <w:proofErr w:type="spellStart"/>
      <w:r w:rsidRPr="00670830">
        <w:rPr>
          <w:rFonts w:ascii="Arial" w:eastAsia="Arial Unicode MS" w:hAnsi="Arial" w:cs="Arial"/>
          <w:sz w:val="24"/>
          <w:szCs w:val="24"/>
          <w:lang w:val="en-US"/>
        </w:rPr>
        <w:t>Markowitz</w:t>
      </w:r>
      <w:proofErr w:type="gramStart"/>
      <w:r w:rsidRPr="00670830">
        <w:rPr>
          <w:rFonts w:ascii="Arial" w:eastAsia="Arial Unicode MS" w:hAnsi="Arial" w:cs="Arial"/>
          <w:sz w:val="24"/>
          <w:szCs w:val="24"/>
          <w:lang w:val="en-US"/>
        </w:rPr>
        <w:t>,H</w:t>
      </w:r>
      <w:proofErr w:type="spellEnd"/>
      <w:proofErr w:type="gramEnd"/>
      <w:r w:rsidRPr="00670830">
        <w:rPr>
          <w:rFonts w:ascii="Arial" w:eastAsia="Arial Unicode MS" w:hAnsi="Arial" w:cs="Arial"/>
          <w:sz w:val="24"/>
          <w:szCs w:val="24"/>
          <w:lang w:val="en-US"/>
        </w:rPr>
        <w:t xml:space="preserve">. (1952). </w:t>
      </w:r>
      <w:proofErr w:type="gramStart"/>
      <w:r w:rsidRPr="00670830">
        <w:rPr>
          <w:rFonts w:ascii="Arial" w:eastAsia="Arial Unicode MS" w:hAnsi="Arial" w:cs="Arial"/>
          <w:i/>
          <w:sz w:val="24"/>
          <w:szCs w:val="24"/>
          <w:lang w:val="en-US"/>
        </w:rPr>
        <w:t>Portfolio Selection</w:t>
      </w:r>
      <w:r w:rsidRPr="00670830">
        <w:rPr>
          <w:rFonts w:ascii="Arial" w:eastAsia="Arial Unicode MS" w:hAnsi="Arial" w:cs="Arial"/>
          <w:sz w:val="24"/>
          <w:szCs w:val="24"/>
          <w:lang w:val="en-US"/>
        </w:rPr>
        <w:t>.</w:t>
      </w:r>
      <w:proofErr w:type="gramEnd"/>
      <w:r w:rsidRPr="00670830">
        <w:rPr>
          <w:rFonts w:ascii="Arial" w:eastAsia="Arial Unicode MS" w:hAnsi="Arial" w:cs="Arial"/>
          <w:sz w:val="24"/>
          <w:szCs w:val="24"/>
          <w:lang w:val="en-US"/>
        </w:rPr>
        <w:t xml:space="preserve"> The Journal of Finance, Vol. 7, No. 1, pp. 77-91.</w:t>
      </w:r>
    </w:p>
    <w:p w:rsidR="00954162" w:rsidRPr="00670830" w:rsidRDefault="00954162" w:rsidP="00670830">
      <w:pPr>
        <w:tabs>
          <w:tab w:val="left" w:pos="1605"/>
        </w:tabs>
        <w:spacing w:before="100" w:beforeAutospacing="1" w:after="100" w:afterAutospacing="1" w:line="360" w:lineRule="auto"/>
        <w:jc w:val="both"/>
        <w:rPr>
          <w:rFonts w:ascii="Arial" w:eastAsia="Arial Unicode MS" w:hAnsi="Arial" w:cs="Arial"/>
          <w:sz w:val="24"/>
          <w:szCs w:val="24"/>
        </w:rPr>
      </w:pPr>
      <w:r w:rsidRPr="00670830">
        <w:rPr>
          <w:rFonts w:ascii="Arial" w:eastAsia="Arial Unicode MS" w:hAnsi="Arial" w:cs="Arial"/>
          <w:sz w:val="24"/>
          <w:szCs w:val="24"/>
        </w:rPr>
        <w:t xml:space="preserve">De P. Morales Jr., F. </w:t>
      </w:r>
      <w:r w:rsidRPr="00670830">
        <w:rPr>
          <w:rFonts w:ascii="Arial" w:eastAsia="Arial Unicode MS" w:hAnsi="Arial" w:cs="Arial"/>
          <w:i/>
          <w:sz w:val="24"/>
          <w:szCs w:val="24"/>
        </w:rPr>
        <w:t>Las acciones en las sociedades</w:t>
      </w:r>
      <w:r w:rsidRPr="00670830">
        <w:rPr>
          <w:rFonts w:ascii="Arial" w:eastAsia="Arial Unicode MS" w:hAnsi="Arial" w:cs="Arial"/>
          <w:sz w:val="24"/>
          <w:szCs w:val="24"/>
        </w:rPr>
        <w:t>. Revista de la Biblioteca Jurídica Virtual del Instituto de Investigaciones Jurídicas de la UNAM.</w:t>
      </w:r>
    </w:p>
    <w:p w:rsidR="003B106A" w:rsidRPr="00670830" w:rsidRDefault="003B106A" w:rsidP="00670830">
      <w:pPr>
        <w:tabs>
          <w:tab w:val="left" w:pos="1605"/>
        </w:tabs>
        <w:spacing w:before="100" w:beforeAutospacing="1" w:after="100" w:afterAutospacing="1" w:line="360" w:lineRule="auto"/>
        <w:jc w:val="both"/>
        <w:rPr>
          <w:rFonts w:ascii="Arial" w:eastAsia="Arial Unicode MS" w:hAnsi="Arial" w:cs="Arial"/>
          <w:sz w:val="24"/>
          <w:szCs w:val="24"/>
        </w:rPr>
      </w:pPr>
    </w:p>
    <w:p w:rsidR="00581F95" w:rsidRPr="00670830" w:rsidRDefault="00581F95" w:rsidP="00670830">
      <w:pPr>
        <w:tabs>
          <w:tab w:val="left" w:pos="1605"/>
        </w:tabs>
        <w:spacing w:before="100" w:beforeAutospacing="1" w:after="100" w:afterAutospacing="1" w:line="360" w:lineRule="auto"/>
        <w:jc w:val="both"/>
        <w:rPr>
          <w:rFonts w:ascii="Arial" w:eastAsia="Arial Unicode MS" w:hAnsi="Arial" w:cs="Arial"/>
          <w:b/>
          <w:sz w:val="24"/>
          <w:szCs w:val="24"/>
        </w:rPr>
      </w:pPr>
    </w:p>
    <w:p w:rsidR="00581F95" w:rsidRPr="00670830" w:rsidRDefault="00581F95" w:rsidP="00670830">
      <w:pPr>
        <w:tabs>
          <w:tab w:val="left" w:pos="1605"/>
        </w:tabs>
        <w:spacing w:before="100" w:beforeAutospacing="1" w:after="100" w:afterAutospacing="1" w:line="360" w:lineRule="auto"/>
        <w:jc w:val="both"/>
        <w:rPr>
          <w:rFonts w:ascii="Arial" w:eastAsia="Arial Unicode MS" w:hAnsi="Arial" w:cs="Arial"/>
          <w:b/>
          <w:sz w:val="24"/>
          <w:szCs w:val="24"/>
        </w:rPr>
      </w:pPr>
    </w:p>
    <w:p w:rsidR="00954162" w:rsidRPr="00670830" w:rsidRDefault="000D025C" w:rsidP="00670830">
      <w:pPr>
        <w:tabs>
          <w:tab w:val="left" w:pos="1605"/>
        </w:tabs>
        <w:spacing w:before="100" w:beforeAutospacing="1" w:after="100" w:afterAutospacing="1" w:line="360" w:lineRule="auto"/>
        <w:jc w:val="both"/>
        <w:rPr>
          <w:rFonts w:ascii="Arial" w:eastAsia="Arial Unicode MS" w:hAnsi="Arial" w:cs="Arial"/>
          <w:b/>
          <w:sz w:val="24"/>
          <w:szCs w:val="24"/>
        </w:rPr>
      </w:pPr>
      <w:r w:rsidRPr="00670830">
        <w:rPr>
          <w:rFonts w:ascii="Arial" w:eastAsia="Arial Unicode MS" w:hAnsi="Arial" w:cs="Arial"/>
          <w:b/>
          <w:sz w:val="24"/>
          <w:szCs w:val="24"/>
        </w:rPr>
        <w:t>Disponible en Internet:</w:t>
      </w:r>
    </w:p>
    <w:p w:rsidR="006A0356" w:rsidRPr="00670830" w:rsidRDefault="00AC26BD" w:rsidP="00670830">
      <w:pPr>
        <w:tabs>
          <w:tab w:val="left" w:pos="1605"/>
        </w:tabs>
        <w:spacing w:before="100" w:beforeAutospacing="1" w:after="100" w:afterAutospacing="1" w:line="360" w:lineRule="auto"/>
        <w:jc w:val="both"/>
        <w:rPr>
          <w:rFonts w:ascii="Arial" w:eastAsia="Arial Unicode MS" w:hAnsi="Arial" w:cs="Arial"/>
          <w:sz w:val="24"/>
          <w:szCs w:val="24"/>
        </w:rPr>
      </w:pPr>
      <w:hyperlink r:id="rId23" w:history="1">
        <w:r w:rsidR="00954162" w:rsidRPr="00670830">
          <w:rPr>
            <w:rStyle w:val="Hipervnculo"/>
            <w:rFonts w:ascii="Arial" w:eastAsia="Arial Unicode MS" w:hAnsi="Arial" w:cs="Arial"/>
            <w:sz w:val="24"/>
            <w:szCs w:val="24"/>
          </w:rPr>
          <w:t>http://biblio.juridicas.unam.mx</w:t>
        </w:r>
      </w:hyperlink>
    </w:p>
    <w:p w:rsidR="00954162" w:rsidRPr="00670830" w:rsidRDefault="00AC26BD" w:rsidP="00670830">
      <w:pPr>
        <w:tabs>
          <w:tab w:val="left" w:pos="1605"/>
        </w:tabs>
        <w:spacing w:before="100" w:beforeAutospacing="1" w:after="100" w:afterAutospacing="1" w:line="360" w:lineRule="auto"/>
        <w:jc w:val="both"/>
        <w:rPr>
          <w:rFonts w:ascii="Arial" w:eastAsia="Arial Unicode MS" w:hAnsi="Arial" w:cs="Arial"/>
          <w:sz w:val="24"/>
          <w:szCs w:val="24"/>
        </w:rPr>
      </w:pPr>
      <w:hyperlink r:id="rId24" w:history="1">
        <w:r w:rsidR="00954162" w:rsidRPr="00670830">
          <w:rPr>
            <w:rStyle w:val="Hipervnculo"/>
            <w:rFonts w:ascii="Arial" w:eastAsia="Arial Unicode MS" w:hAnsi="Arial" w:cs="Arial"/>
            <w:sz w:val="24"/>
            <w:szCs w:val="24"/>
          </w:rPr>
          <w:t>www.juridicas.unam.mx</w:t>
        </w:r>
      </w:hyperlink>
    </w:p>
    <w:p w:rsidR="000D025C" w:rsidRPr="00670830" w:rsidRDefault="00AC26BD" w:rsidP="00670830">
      <w:pPr>
        <w:tabs>
          <w:tab w:val="left" w:pos="1605"/>
        </w:tabs>
        <w:spacing w:before="100" w:beforeAutospacing="1" w:after="100" w:afterAutospacing="1" w:line="360" w:lineRule="auto"/>
        <w:jc w:val="both"/>
        <w:rPr>
          <w:rFonts w:ascii="Arial" w:eastAsia="Arial Unicode MS" w:hAnsi="Arial" w:cs="Arial"/>
          <w:sz w:val="24"/>
          <w:szCs w:val="24"/>
        </w:rPr>
      </w:pPr>
      <w:hyperlink r:id="rId25" w:history="1">
        <w:r w:rsidR="000D025C" w:rsidRPr="00670830">
          <w:rPr>
            <w:rStyle w:val="Hipervnculo"/>
            <w:rFonts w:ascii="Arial" w:eastAsia="Arial Unicode MS" w:hAnsi="Arial" w:cs="Arial"/>
            <w:sz w:val="24"/>
            <w:szCs w:val="24"/>
          </w:rPr>
          <w:t>http://www.cnbv.gob.mx</w:t>
        </w:r>
      </w:hyperlink>
    </w:p>
    <w:p w:rsidR="000D025C" w:rsidRPr="00670830" w:rsidRDefault="00AC26BD" w:rsidP="00670830">
      <w:pPr>
        <w:tabs>
          <w:tab w:val="left" w:pos="1605"/>
        </w:tabs>
        <w:spacing w:before="100" w:beforeAutospacing="1" w:after="100" w:afterAutospacing="1" w:line="360" w:lineRule="auto"/>
        <w:jc w:val="both"/>
        <w:rPr>
          <w:rFonts w:ascii="Arial" w:eastAsia="Arial Unicode MS" w:hAnsi="Arial" w:cs="Arial"/>
          <w:sz w:val="24"/>
          <w:szCs w:val="24"/>
        </w:rPr>
      </w:pPr>
      <w:hyperlink r:id="rId26" w:history="1">
        <w:r w:rsidR="000D025C" w:rsidRPr="00670830">
          <w:rPr>
            <w:rStyle w:val="Hipervnculo"/>
            <w:rFonts w:ascii="Arial" w:eastAsia="Arial Unicode MS" w:hAnsi="Arial" w:cs="Arial"/>
            <w:sz w:val="24"/>
            <w:szCs w:val="24"/>
          </w:rPr>
          <w:t>http://www.bmv.com.mx</w:t>
        </w:r>
      </w:hyperlink>
    </w:p>
    <w:p w:rsidR="000D025C" w:rsidRPr="00670830" w:rsidRDefault="00AC26BD" w:rsidP="00670830">
      <w:pPr>
        <w:tabs>
          <w:tab w:val="left" w:pos="1605"/>
        </w:tabs>
        <w:spacing w:before="100" w:beforeAutospacing="1" w:after="100" w:afterAutospacing="1" w:line="360" w:lineRule="auto"/>
        <w:jc w:val="both"/>
        <w:rPr>
          <w:rFonts w:ascii="Arial" w:eastAsia="Arial Unicode MS" w:hAnsi="Arial" w:cs="Arial"/>
          <w:sz w:val="24"/>
          <w:szCs w:val="24"/>
        </w:rPr>
      </w:pPr>
      <w:hyperlink r:id="rId27" w:history="1">
        <w:r w:rsidR="000D025C" w:rsidRPr="00670830">
          <w:rPr>
            <w:rStyle w:val="Hipervnculo"/>
            <w:rFonts w:ascii="Arial" w:eastAsia="Arial Unicode MS" w:hAnsi="Arial" w:cs="Arial"/>
            <w:sz w:val="24"/>
            <w:szCs w:val="24"/>
          </w:rPr>
          <w:t>http://www.amib.com.mx</w:t>
        </w:r>
      </w:hyperlink>
    </w:p>
    <w:p w:rsidR="000D025C" w:rsidRPr="00670830" w:rsidRDefault="00AC26BD" w:rsidP="00670830">
      <w:pPr>
        <w:tabs>
          <w:tab w:val="left" w:pos="1605"/>
        </w:tabs>
        <w:spacing w:before="100" w:beforeAutospacing="1" w:after="100" w:afterAutospacing="1" w:line="360" w:lineRule="auto"/>
        <w:jc w:val="both"/>
        <w:rPr>
          <w:rFonts w:ascii="Arial" w:eastAsia="Arial Unicode MS" w:hAnsi="Arial" w:cs="Arial"/>
          <w:sz w:val="24"/>
          <w:szCs w:val="24"/>
        </w:rPr>
      </w:pPr>
      <w:hyperlink r:id="rId28" w:history="1">
        <w:r w:rsidR="000D025C" w:rsidRPr="00670830">
          <w:rPr>
            <w:rStyle w:val="Hipervnculo"/>
            <w:rFonts w:ascii="Arial" w:eastAsia="Arial Unicode MS" w:hAnsi="Arial" w:cs="Arial"/>
            <w:sz w:val="24"/>
            <w:szCs w:val="24"/>
          </w:rPr>
          <w:t>http://www.amaii.com.mx</w:t>
        </w:r>
      </w:hyperlink>
    </w:p>
    <w:p w:rsidR="000D025C" w:rsidRPr="00670830" w:rsidRDefault="00AC26BD" w:rsidP="00670830">
      <w:pPr>
        <w:tabs>
          <w:tab w:val="left" w:pos="1605"/>
        </w:tabs>
        <w:spacing w:before="100" w:beforeAutospacing="1" w:after="100" w:afterAutospacing="1" w:line="360" w:lineRule="auto"/>
        <w:jc w:val="both"/>
        <w:rPr>
          <w:rFonts w:ascii="Arial" w:eastAsia="Arial Unicode MS" w:hAnsi="Arial" w:cs="Arial"/>
          <w:sz w:val="24"/>
          <w:szCs w:val="24"/>
        </w:rPr>
      </w:pPr>
      <w:hyperlink r:id="rId29" w:history="1">
        <w:r w:rsidR="000D025C" w:rsidRPr="00670830">
          <w:rPr>
            <w:rStyle w:val="Hipervnculo"/>
            <w:rFonts w:ascii="Arial" w:eastAsia="Arial Unicode MS" w:hAnsi="Arial" w:cs="Arial"/>
            <w:sz w:val="24"/>
            <w:szCs w:val="24"/>
          </w:rPr>
          <w:t>http://www.banxico.org.mx</w:t>
        </w:r>
      </w:hyperlink>
    </w:p>
    <w:p w:rsidR="000D025C" w:rsidRPr="00670830" w:rsidRDefault="00AC26BD" w:rsidP="00670830">
      <w:pPr>
        <w:tabs>
          <w:tab w:val="left" w:pos="1605"/>
        </w:tabs>
        <w:spacing w:before="100" w:beforeAutospacing="1" w:after="100" w:afterAutospacing="1" w:line="360" w:lineRule="auto"/>
        <w:jc w:val="both"/>
        <w:rPr>
          <w:rFonts w:ascii="Arial" w:eastAsia="Arial Unicode MS" w:hAnsi="Arial" w:cs="Arial"/>
          <w:sz w:val="24"/>
          <w:szCs w:val="24"/>
        </w:rPr>
      </w:pPr>
      <w:hyperlink r:id="rId30" w:history="1">
        <w:r w:rsidR="000D025C" w:rsidRPr="00670830">
          <w:rPr>
            <w:rStyle w:val="Hipervnculo"/>
            <w:rFonts w:ascii="Arial" w:eastAsia="Arial Unicode MS" w:hAnsi="Arial" w:cs="Arial"/>
            <w:sz w:val="24"/>
            <w:szCs w:val="24"/>
          </w:rPr>
          <w:t>http://www.consar.gob.mx</w:t>
        </w:r>
      </w:hyperlink>
    </w:p>
    <w:p w:rsidR="000D025C" w:rsidRPr="00670830" w:rsidRDefault="00AC26BD" w:rsidP="00670830">
      <w:pPr>
        <w:tabs>
          <w:tab w:val="left" w:pos="1605"/>
        </w:tabs>
        <w:spacing w:before="100" w:beforeAutospacing="1" w:after="100" w:afterAutospacing="1" w:line="360" w:lineRule="auto"/>
        <w:jc w:val="both"/>
        <w:rPr>
          <w:rFonts w:ascii="Arial" w:eastAsia="Arial Unicode MS" w:hAnsi="Arial" w:cs="Arial"/>
          <w:sz w:val="24"/>
          <w:szCs w:val="24"/>
        </w:rPr>
      </w:pPr>
      <w:hyperlink r:id="rId31" w:history="1">
        <w:r w:rsidR="000D025C" w:rsidRPr="00670830">
          <w:rPr>
            <w:rStyle w:val="Hipervnculo"/>
            <w:rFonts w:ascii="Arial" w:eastAsia="Arial Unicode MS" w:hAnsi="Arial" w:cs="Arial"/>
            <w:sz w:val="24"/>
            <w:szCs w:val="24"/>
          </w:rPr>
          <w:t>http://www.cnsf.gob.mx</w:t>
        </w:r>
      </w:hyperlink>
    </w:p>
    <w:p w:rsidR="000D025C" w:rsidRPr="00670830" w:rsidRDefault="00AC26BD" w:rsidP="00670830">
      <w:pPr>
        <w:tabs>
          <w:tab w:val="left" w:pos="1605"/>
        </w:tabs>
        <w:spacing w:before="100" w:beforeAutospacing="1" w:after="100" w:afterAutospacing="1" w:line="360" w:lineRule="auto"/>
        <w:jc w:val="both"/>
        <w:rPr>
          <w:rFonts w:ascii="Arial" w:eastAsia="Arial Unicode MS" w:hAnsi="Arial" w:cs="Arial"/>
          <w:sz w:val="24"/>
          <w:szCs w:val="24"/>
        </w:rPr>
      </w:pPr>
      <w:hyperlink r:id="rId32" w:history="1">
        <w:r w:rsidR="000D025C" w:rsidRPr="00670830">
          <w:rPr>
            <w:rStyle w:val="Hipervnculo"/>
            <w:rFonts w:ascii="Arial" w:eastAsia="Arial Unicode MS" w:hAnsi="Arial" w:cs="Arial"/>
            <w:sz w:val="24"/>
            <w:szCs w:val="24"/>
          </w:rPr>
          <w:t>http://www.condusef.gob.mx</w:t>
        </w:r>
      </w:hyperlink>
    </w:p>
    <w:p w:rsidR="000D025C" w:rsidRPr="00670830" w:rsidRDefault="00AC26BD" w:rsidP="00670830">
      <w:pPr>
        <w:tabs>
          <w:tab w:val="left" w:pos="1605"/>
        </w:tabs>
        <w:spacing w:before="100" w:beforeAutospacing="1" w:after="100" w:afterAutospacing="1" w:line="360" w:lineRule="auto"/>
        <w:jc w:val="both"/>
        <w:rPr>
          <w:rFonts w:ascii="Arial" w:eastAsia="Arial Unicode MS" w:hAnsi="Arial" w:cs="Arial"/>
          <w:sz w:val="24"/>
          <w:szCs w:val="24"/>
        </w:rPr>
      </w:pPr>
      <w:hyperlink r:id="rId33" w:history="1">
        <w:r w:rsidR="000D025C" w:rsidRPr="00670830">
          <w:rPr>
            <w:rStyle w:val="Hipervnculo"/>
            <w:rFonts w:ascii="Arial" w:eastAsia="Arial Unicode MS" w:hAnsi="Arial" w:cs="Arial"/>
            <w:sz w:val="24"/>
            <w:szCs w:val="24"/>
          </w:rPr>
          <w:t>http://www.ipab.org.mx</w:t>
        </w:r>
      </w:hyperlink>
    </w:p>
    <w:p w:rsidR="000D025C" w:rsidRPr="00670830" w:rsidRDefault="00AC26BD" w:rsidP="00670830">
      <w:pPr>
        <w:tabs>
          <w:tab w:val="left" w:pos="1605"/>
        </w:tabs>
        <w:spacing w:before="100" w:beforeAutospacing="1" w:after="100" w:afterAutospacing="1" w:line="360" w:lineRule="auto"/>
        <w:jc w:val="both"/>
        <w:rPr>
          <w:rFonts w:ascii="Arial" w:eastAsia="Arial Unicode MS" w:hAnsi="Arial" w:cs="Arial"/>
          <w:sz w:val="24"/>
          <w:szCs w:val="24"/>
        </w:rPr>
      </w:pPr>
      <w:hyperlink r:id="rId34" w:history="1">
        <w:r w:rsidR="000D025C" w:rsidRPr="00670830">
          <w:rPr>
            <w:rStyle w:val="Hipervnculo"/>
            <w:rFonts w:ascii="Arial" w:eastAsia="Arial Unicode MS" w:hAnsi="Arial" w:cs="Arial"/>
            <w:sz w:val="24"/>
            <w:szCs w:val="24"/>
          </w:rPr>
          <w:t>http://www.promexico.gob.mx</w:t>
        </w:r>
      </w:hyperlink>
    </w:p>
    <w:p w:rsidR="000D025C" w:rsidRPr="00670830" w:rsidRDefault="00AC26BD" w:rsidP="00670830">
      <w:pPr>
        <w:tabs>
          <w:tab w:val="left" w:pos="1605"/>
        </w:tabs>
        <w:spacing w:before="100" w:beforeAutospacing="1" w:after="100" w:afterAutospacing="1" w:line="360" w:lineRule="auto"/>
        <w:jc w:val="both"/>
        <w:rPr>
          <w:rFonts w:ascii="Arial" w:eastAsia="Arial Unicode MS" w:hAnsi="Arial" w:cs="Arial"/>
          <w:sz w:val="24"/>
          <w:szCs w:val="24"/>
        </w:rPr>
      </w:pPr>
      <w:hyperlink r:id="rId35" w:history="1">
        <w:r w:rsidR="000D025C" w:rsidRPr="00670830">
          <w:rPr>
            <w:rStyle w:val="Hipervnculo"/>
            <w:rFonts w:ascii="Arial" w:eastAsia="Arial Unicode MS" w:hAnsi="Arial" w:cs="Arial"/>
            <w:sz w:val="24"/>
            <w:szCs w:val="24"/>
          </w:rPr>
          <w:t>http://www.ciep.itam.mx</w:t>
        </w:r>
      </w:hyperlink>
    </w:p>
    <w:p w:rsidR="000D025C" w:rsidRPr="00670830" w:rsidRDefault="00AC26BD" w:rsidP="00670830">
      <w:pPr>
        <w:tabs>
          <w:tab w:val="left" w:pos="1605"/>
        </w:tabs>
        <w:spacing w:before="100" w:beforeAutospacing="1" w:after="100" w:afterAutospacing="1" w:line="360" w:lineRule="auto"/>
        <w:jc w:val="both"/>
        <w:rPr>
          <w:rFonts w:ascii="Arial" w:eastAsia="Arial Unicode MS" w:hAnsi="Arial" w:cs="Arial"/>
          <w:sz w:val="24"/>
          <w:szCs w:val="24"/>
        </w:rPr>
      </w:pPr>
      <w:hyperlink r:id="rId36" w:history="1">
        <w:r w:rsidR="000D025C" w:rsidRPr="00670830">
          <w:rPr>
            <w:rStyle w:val="Hipervnculo"/>
            <w:rFonts w:ascii="Arial" w:eastAsia="Arial Unicode MS" w:hAnsi="Arial" w:cs="Arial"/>
            <w:sz w:val="24"/>
            <w:szCs w:val="24"/>
          </w:rPr>
          <w:t>http://www.bancomer.com</w:t>
        </w:r>
      </w:hyperlink>
    </w:p>
    <w:p w:rsidR="000D025C" w:rsidRPr="00670830" w:rsidRDefault="00AC26BD" w:rsidP="00670830">
      <w:pPr>
        <w:tabs>
          <w:tab w:val="left" w:pos="1605"/>
        </w:tabs>
        <w:spacing w:before="100" w:beforeAutospacing="1" w:after="100" w:afterAutospacing="1" w:line="360" w:lineRule="auto"/>
        <w:jc w:val="both"/>
        <w:rPr>
          <w:rFonts w:ascii="Arial" w:eastAsia="Arial Unicode MS" w:hAnsi="Arial" w:cs="Arial"/>
          <w:sz w:val="24"/>
          <w:szCs w:val="24"/>
        </w:rPr>
      </w:pPr>
      <w:hyperlink r:id="rId37" w:history="1">
        <w:r w:rsidR="000D025C" w:rsidRPr="00670830">
          <w:rPr>
            <w:rStyle w:val="Hipervnculo"/>
            <w:rFonts w:ascii="Arial" w:eastAsia="Arial Unicode MS" w:hAnsi="Arial" w:cs="Arial"/>
            <w:sz w:val="24"/>
            <w:szCs w:val="24"/>
          </w:rPr>
          <w:t>http://www.divisasforex.com</w:t>
        </w:r>
      </w:hyperlink>
    </w:p>
    <w:p w:rsidR="000D025C" w:rsidRPr="00670830" w:rsidRDefault="00AC26BD" w:rsidP="00670830">
      <w:pPr>
        <w:tabs>
          <w:tab w:val="left" w:pos="1605"/>
        </w:tabs>
        <w:spacing w:before="100" w:beforeAutospacing="1" w:after="100" w:afterAutospacing="1" w:line="360" w:lineRule="auto"/>
        <w:jc w:val="both"/>
        <w:rPr>
          <w:rFonts w:ascii="Arial" w:eastAsia="Arial Unicode MS" w:hAnsi="Arial" w:cs="Arial"/>
          <w:sz w:val="24"/>
          <w:szCs w:val="24"/>
        </w:rPr>
      </w:pPr>
      <w:hyperlink r:id="rId38" w:history="1">
        <w:r w:rsidR="000D025C" w:rsidRPr="00670830">
          <w:rPr>
            <w:rStyle w:val="Hipervnculo"/>
            <w:rFonts w:ascii="Arial" w:eastAsia="Arial Unicode MS" w:hAnsi="Arial" w:cs="Arial"/>
            <w:sz w:val="24"/>
            <w:szCs w:val="24"/>
          </w:rPr>
          <w:t>http://www.bmv.com.mx/wb3/wb/BMV/BMV_deuda_a_largo_plazo</w:t>
        </w:r>
      </w:hyperlink>
    </w:p>
    <w:p w:rsidR="000D025C" w:rsidRPr="00670830" w:rsidRDefault="00AC26BD" w:rsidP="00670830">
      <w:pPr>
        <w:tabs>
          <w:tab w:val="left" w:pos="1605"/>
        </w:tabs>
        <w:spacing w:before="100" w:beforeAutospacing="1" w:after="100" w:afterAutospacing="1" w:line="360" w:lineRule="auto"/>
        <w:jc w:val="both"/>
        <w:rPr>
          <w:rFonts w:ascii="Arial" w:eastAsia="Arial Unicode MS" w:hAnsi="Arial" w:cs="Arial"/>
          <w:sz w:val="24"/>
          <w:szCs w:val="24"/>
        </w:rPr>
      </w:pPr>
      <w:hyperlink r:id="rId39" w:history="1">
        <w:r w:rsidR="000D025C" w:rsidRPr="00670830">
          <w:rPr>
            <w:rStyle w:val="Hipervnculo"/>
            <w:rFonts w:ascii="Arial" w:eastAsia="Arial Unicode MS" w:hAnsi="Arial" w:cs="Arial"/>
            <w:sz w:val="24"/>
            <w:szCs w:val="24"/>
          </w:rPr>
          <w:t>https://www.bbva.es/TLBS/cursowarrants/</w:t>
        </w:r>
      </w:hyperlink>
    </w:p>
    <w:p w:rsidR="000D025C" w:rsidRPr="00670830" w:rsidRDefault="00AC26BD" w:rsidP="00670830">
      <w:pPr>
        <w:tabs>
          <w:tab w:val="left" w:pos="1605"/>
        </w:tabs>
        <w:spacing w:before="100" w:beforeAutospacing="1" w:after="100" w:afterAutospacing="1" w:line="360" w:lineRule="auto"/>
        <w:jc w:val="both"/>
        <w:rPr>
          <w:rFonts w:ascii="Arial" w:eastAsia="Arial Unicode MS" w:hAnsi="Arial" w:cs="Arial"/>
          <w:sz w:val="24"/>
          <w:szCs w:val="24"/>
        </w:rPr>
      </w:pPr>
      <w:hyperlink r:id="rId40" w:history="1">
        <w:r w:rsidR="000D025C" w:rsidRPr="00670830">
          <w:rPr>
            <w:rStyle w:val="Hipervnculo"/>
            <w:rFonts w:ascii="Arial" w:eastAsia="Arial Unicode MS" w:hAnsi="Arial" w:cs="Arial"/>
            <w:sz w:val="24"/>
            <w:szCs w:val="24"/>
          </w:rPr>
          <w:t>http://www.bmv.com.mx/wb3/wb/BMV/caracteristicas_generales</w:t>
        </w:r>
      </w:hyperlink>
    </w:p>
    <w:p w:rsidR="00273528" w:rsidRPr="00670830" w:rsidRDefault="00AC26BD" w:rsidP="00670830">
      <w:pPr>
        <w:tabs>
          <w:tab w:val="left" w:pos="1605"/>
        </w:tabs>
        <w:spacing w:before="100" w:beforeAutospacing="1" w:after="100" w:afterAutospacing="1" w:line="360" w:lineRule="auto"/>
        <w:jc w:val="both"/>
        <w:rPr>
          <w:rStyle w:val="Hipervnculo"/>
          <w:rFonts w:ascii="Arial" w:eastAsia="Arial Unicode MS" w:hAnsi="Arial" w:cs="Arial"/>
          <w:sz w:val="24"/>
          <w:szCs w:val="24"/>
        </w:rPr>
      </w:pPr>
      <w:hyperlink r:id="rId41" w:history="1">
        <w:r w:rsidR="000D025C" w:rsidRPr="00670830">
          <w:rPr>
            <w:rStyle w:val="Hipervnculo"/>
            <w:rFonts w:ascii="Arial" w:eastAsia="Arial Unicode MS" w:hAnsi="Arial" w:cs="Arial"/>
            <w:sz w:val="24"/>
            <w:szCs w:val="24"/>
          </w:rPr>
          <w:t>http://segurosypensionesparatodos.fundacionmapfre.org/</w:t>
        </w:r>
      </w:hyperlink>
    </w:p>
    <w:p w:rsidR="00FC3C8C" w:rsidRPr="00670830" w:rsidRDefault="00AC26BD" w:rsidP="00670830">
      <w:pPr>
        <w:spacing w:before="100" w:beforeAutospacing="1" w:after="100" w:afterAutospacing="1" w:line="360" w:lineRule="auto"/>
        <w:jc w:val="both"/>
        <w:rPr>
          <w:rFonts w:ascii="Arial" w:eastAsia="Arial Unicode MS" w:hAnsi="Arial" w:cs="Arial"/>
          <w:sz w:val="24"/>
          <w:szCs w:val="24"/>
        </w:rPr>
      </w:pPr>
      <w:hyperlink r:id="rId42" w:history="1">
        <w:r w:rsidR="0067030E" w:rsidRPr="00670830">
          <w:rPr>
            <w:rStyle w:val="Hipervnculo"/>
            <w:rFonts w:ascii="Arial" w:eastAsia="Arial Unicode MS" w:hAnsi="Arial" w:cs="Arial"/>
            <w:sz w:val="24"/>
            <w:szCs w:val="24"/>
          </w:rPr>
          <w:t>http://www.banxico.org.mx/sistema-financiero/material-educativo/intermedio/riesgos/%7BA5059B92-176D-0BB6-2958-7257E2799FAD%7D.pdf</w:t>
        </w:r>
      </w:hyperlink>
    </w:p>
    <w:p w:rsidR="001631A9" w:rsidRPr="00670830" w:rsidRDefault="00AC26BD" w:rsidP="00670830">
      <w:pPr>
        <w:spacing w:line="360" w:lineRule="auto"/>
        <w:jc w:val="both"/>
        <w:rPr>
          <w:rFonts w:ascii="Arial" w:hAnsi="Arial" w:cs="Arial"/>
          <w:sz w:val="24"/>
          <w:szCs w:val="24"/>
        </w:rPr>
      </w:pPr>
      <w:hyperlink r:id="rId43" w:history="1">
        <w:r w:rsidR="001631A9" w:rsidRPr="00670830">
          <w:rPr>
            <w:rStyle w:val="Hipervnculo"/>
            <w:rFonts w:ascii="Arial" w:hAnsi="Arial" w:cs="Arial"/>
            <w:sz w:val="24"/>
            <w:szCs w:val="24"/>
          </w:rPr>
          <w:t>http://eleconomista.com.mx/finanzas-personales/2013/05/23/guia-sobre-fondos-inversion-principiantes</w:t>
        </w:r>
      </w:hyperlink>
    </w:p>
    <w:p w:rsidR="001631A9" w:rsidRPr="00670830" w:rsidRDefault="00AC26BD" w:rsidP="00670830">
      <w:pPr>
        <w:spacing w:line="360" w:lineRule="auto"/>
        <w:jc w:val="both"/>
        <w:rPr>
          <w:rFonts w:ascii="Arial" w:hAnsi="Arial" w:cs="Arial"/>
          <w:sz w:val="24"/>
          <w:szCs w:val="24"/>
        </w:rPr>
      </w:pPr>
      <w:hyperlink r:id="rId44" w:history="1">
        <w:r w:rsidR="00C40206" w:rsidRPr="00670830">
          <w:rPr>
            <w:rStyle w:val="Hipervnculo"/>
            <w:rFonts w:ascii="Arial" w:hAnsi="Arial" w:cs="Arial"/>
            <w:sz w:val="24"/>
            <w:szCs w:val="24"/>
          </w:rPr>
          <w:t>https://www.abm.org.mx/la-banca-en-mexico/index.htm</w:t>
        </w:r>
      </w:hyperlink>
    </w:p>
    <w:p w:rsidR="008F450C" w:rsidRPr="00670830" w:rsidRDefault="00AC26BD" w:rsidP="00670830">
      <w:pPr>
        <w:spacing w:before="100" w:beforeAutospacing="1" w:after="100" w:afterAutospacing="1" w:line="360" w:lineRule="auto"/>
        <w:ind w:left="708" w:hanging="708"/>
        <w:jc w:val="both"/>
        <w:rPr>
          <w:rFonts w:ascii="Arial" w:eastAsia="Arial Unicode MS" w:hAnsi="Arial" w:cs="Arial"/>
          <w:sz w:val="24"/>
          <w:szCs w:val="24"/>
        </w:rPr>
      </w:pPr>
      <w:hyperlink r:id="rId45" w:history="1">
        <w:r w:rsidR="008F450C" w:rsidRPr="00670830">
          <w:rPr>
            <w:rStyle w:val="Hipervnculo"/>
            <w:rFonts w:ascii="Arial" w:eastAsia="Arial Unicode MS" w:hAnsi="Arial" w:cs="Arial"/>
            <w:sz w:val="24"/>
            <w:szCs w:val="24"/>
          </w:rPr>
          <w:t>http://www.shcp.gob.mx/apartadoshaciendaparatodos/banca_desarrollo/index.html</w:t>
        </w:r>
      </w:hyperlink>
    </w:p>
    <w:p w:rsidR="0099397D" w:rsidRPr="00670830" w:rsidRDefault="00AC26BD" w:rsidP="00670830">
      <w:pPr>
        <w:spacing w:before="100" w:beforeAutospacing="1" w:after="100" w:afterAutospacing="1" w:line="360" w:lineRule="auto"/>
        <w:jc w:val="both"/>
        <w:rPr>
          <w:rFonts w:ascii="Arial" w:eastAsia="Arial Unicode MS" w:hAnsi="Arial" w:cs="Arial"/>
          <w:sz w:val="24"/>
          <w:szCs w:val="24"/>
        </w:rPr>
      </w:pPr>
      <w:hyperlink r:id="rId46" w:history="1">
        <w:r w:rsidR="0099397D" w:rsidRPr="00670830">
          <w:rPr>
            <w:rStyle w:val="Hipervnculo"/>
            <w:rFonts w:ascii="Arial" w:eastAsia="Arial Unicode MS" w:hAnsi="Arial" w:cs="Arial"/>
            <w:sz w:val="24"/>
            <w:szCs w:val="24"/>
          </w:rPr>
          <w:t>http://www.banxico.org.mx/acerca-del-banco-de-mexico/semblanza-historica.html</w:t>
        </w:r>
      </w:hyperlink>
    </w:p>
    <w:p w:rsidR="0067030E" w:rsidRPr="00670830" w:rsidRDefault="00AC26BD" w:rsidP="00670830">
      <w:pPr>
        <w:spacing w:before="100" w:beforeAutospacing="1" w:after="100" w:afterAutospacing="1" w:line="360" w:lineRule="auto"/>
        <w:jc w:val="both"/>
        <w:rPr>
          <w:rStyle w:val="Hipervnculo"/>
          <w:rFonts w:ascii="Arial" w:eastAsia="Arial Unicode MS" w:hAnsi="Arial" w:cs="Arial"/>
          <w:sz w:val="24"/>
          <w:szCs w:val="24"/>
        </w:rPr>
      </w:pPr>
      <w:hyperlink r:id="rId47" w:history="1">
        <w:r w:rsidR="00943CB3" w:rsidRPr="00670830">
          <w:rPr>
            <w:rStyle w:val="Hipervnculo"/>
            <w:rFonts w:ascii="Arial" w:eastAsia="Arial Unicode MS" w:hAnsi="Arial" w:cs="Arial"/>
            <w:sz w:val="24"/>
            <w:szCs w:val="24"/>
          </w:rPr>
          <w:t>http://www.cnbv.gob.mx/Normatividad/Ley%20de%20la%20Comisión%20Nacional%20Bancaria%20y%20de%20Valores.pdf</w:t>
        </w:r>
      </w:hyperlink>
    </w:p>
    <w:p w:rsidR="00085D41" w:rsidRPr="00670830" w:rsidRDefault="00AC26BD" w:rsidP="00670830">
      <w:pPr>
        <w:spacing w:before="100" w:beforeAutospacing="1" w:after="100" w:afterAutospacing="1" w:line="360" w:lineRule="auto"/>
        <w:jc w:val="both"/>
        <w:rPr>
          <w:rFonts w:ascii="Arial" w:eastAsia="Arial Unicode MS" w:hAnsi="Arial" w:cs="Arial"/>
          <w:sz w:val="24"/>
          <w:szCs w:val="24"/>
        </w:rPr>
      </w:pPr>
      <w:hyperlink r:id="rId48" w:history="1">
        <w:r w:rsidR="00085D41" w:rsidRPr="00670830">
          <w:rPr>
            <w:rStyle w:val="Hipervnculo"/>
            <w:rFonts w:ascii="Arial" w:eastAsia="Arial Unicode MS" w:hAnsi="Arial" w:cs="Arial"/>
            <w:sz w:val="24"/>
            <w:szCs w:val="24"/>
          </w:rPr>
          <w:t>http://data.worldbank.org/indicator/FS.AST.PRVT.GD.ZS</w:t>
        </w:r>
      </w:hyperlink>
    </w:p>
    <w:p w:rsidR="00085D41" w:rsidRPr="00670830" w:rsidRDefault="00AC26BD" w:rsidP="00670830">
      <w:pPr>
        <w:spacing w:before="100" w:beforeAutospacing="1" w:after="100" w:afterAutospacing="1" w:line="360" w:lineRule="auto"/>
        <w:jc w:val="both"/>
        <w:rPr>
          <w:rStyle w:val="Hipervnculo"/>
          <w:rFonts w:ascii="Arial" w:eastAsia="Arial Unicode MS" w:hAnsi="Arial" w:cs="Arial"/>
          <w:sz w:val="24"/>
          <w:szCs w:val="24"/>
        </w:rPr>
      </w:pPr>
      <w:hyperlink r:id="rId49" w:history="1">
        <w:r w:rsidR="00085D41" w:rsidRPr="00670830">
          <w:rPr>
            <w:rStyle w:val="Hipervnculo"/>
            <w:rFonts w:ascii="Arial" w:eastAsia="Arial Unicode MS" w:hAnsi="Arial" w:cs="Arial"/>
            <w:sz w:val="24"/>
            <w:szCs w:val="24"/>
          </w:rPr>
          <w:t>http://www.internetworldstats.com</w:t>
        </w:r>
      </w:hyperlink>
    </w:p>
    <w:p w:rsidR="003B106A" w:rsidRPr="00670830" w:rsidRDefault="00AC26BD" w:rsidP="00670830">
      <w:pPr>
        <w:tabs>
          <w:tab w:val="left" w:pos="3810"/>
        </w:tabs>
        <w:spacing w:before="100" w:beforeAutospacing="1" w:after="100" w:afterAutospacing="1" w:line="360" w:lineRule="auto"/>
        <w:jc w:val="both"/>
        <w:rPr>
          <w:rFonts w:ascii="Arial" w:eastAsia="Arial Unicode MS" w:hAnsi="Arial" w:cs="Arial"/>
          <w:sz w:val="24"/>
          <w:szCs w:val="24"/>
        </w:rPr>
      </w:pPr>
      <w:hyperlink r:id="rId50" w:history="1">
        <w:r w:rsidR="003B106A" w:rsidRPr="00670830">
          <w:rPr>
            <w:rStyle w:val="Hipervnculo"/>
            <w:rFonts w:ascii="Arial" w:eastAsia="Arial Unicode MS" w:hAnsi="Arial" w:cs="Arial"/>
            <w:sz w:val="24"/>
            <w:szCs w:val="24"/>
          </w:rPr>
          <w:t>http://www.amaii.com.mx/AMAII/Portal/cfpages/</w:t>
        </w:r>
      </w:hyperlink>
    </w:p>
    <w:p w:rsidR="00AF2244" w:rsidRPr="00670830" w:rsidRDefault="00AC26BD" w:rsidP="00670830">
      <w:pPr>
        <w:tabs>
          <w:tab w:val="left" w:pos="2640"/>
        </w:tabs>
        <w:spacing w:before="100" w:beforeAutospacing="1" w:after="100" w:afterAutospacing="1" w:line="360" w:lineRule="auto"/>
        <w:jc w:val="both"/>
        <w:rPr>
          <w:rFonts w:ascii="Arial" w:eastAsia="Arial Unicode MS" w:hAnsi="Arial" w:cs="Arial"/>
          <w:sz w:val="24"/>
          <w:szCs w:val="24"/>
        </w:rPr>
      </w:pPr>
      <w:hyperlink r:id="rId51" w:history="1">
        <w:r w:rsidR="00AF2244" w:rsidRPr="00670830">
          <w:rPr>
            <w:rStyle w:val="Hipervnculo"/>
            <w:rFonts w:ascii="Arial" w:eastAsia="Arial Unicode MS" w:hAnsi="Arial" w:cs="Arial"/>
            <w:sz w:val="24"/>
            <w:szCs w:val="24"/>
          </w:rPr>
          <w:t>http://www.banxico.org.mx/portal-mercado-cambiario/index.html</w:t>
        </w:r>
      </w:hyperlink>
    </w:p>
    <w:p w:rsidR="00085D41" w:rsidRPr="00670830" w:rsidRDefault="00AC26BD" w:rsidP="00670830">
      <w:pPr>
        <w:spacing w:line="360" w:lineRule="auto"/>
        <w:rPr>
          <w:rFonts w:ascii="Arial" w:hAnsi="Arial" w:cs="Arial"/>
          <w:b/>
          <w:i/>
          <w:sz w:val="24"/>
          <w:szCs w:val="24"/>
        </w:rPr>
      </w:pPr>
      <w:hyperlink r:id="rId52" w:history="1">
        <w:r w:rsidR="0025170B" w:rsidRPr="00670830">
          <w:rPr>
            <w:rStyle w:val="Hipervnculo"/>
            <w:rFonts w:ascii="Arial" w:eastAsia="Arial Unicode MS" w:hAnsi="Arial" w:cs="Arial"/>
            <w:sz w:val="24"/>
            <w:szCs w:val="24"/>
          </w:rPr>
          <w:t>https://www.uaeh.edu.mx/docencia</w:t>
        </w:r>
      </w:hyperlink>
    </w:p>
    <w:sectPr w:rsidR="00085D41" w:rsidRPr="00670830">
      <w:footerReference w:type="default" r:id="rId5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6327" w:rsidRDefault="00C46327" w:rsidP="00C95E4D">
      <w:pPr>
        <w:spacing w:after="0" w:line="240" w:lineRule="auto"/>
      </w:pPr>
      <w:r>
        <w:separator/>
      </w:r>
    </w:p>
  </w:endnote>
  <w:endnote w:type="continuationSeparator" w:id="0">
    <w:p w:rsidR="00C46327" w:rsidRDefault="00C46327" w:rsidP="00C95E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8528038"/>
      <w:docPartObj>
        <w:docPartGallery w:val="Page Numbers (Bottom of Page)"/>
        <w:docPartUnique/>
      </w:docPartObj>
    </w:sdtPr>
    <w:sdtContent>
      <w:p w:rsidR="00AC26BD" w:rsidRDefault="00AC26BD">
        <w:pPr>
          <w:pStyle w:val="Piedepgina"/>
          <w:jc w:val="right"/>
        </w:pPr>
        <w:r>
          <w:fldChar w:fldCharType="begin"/>
        </w:r>
        <w:r>
          <w:instrText>PAGE   \* MERGEFORMAT</w:instrText>
        </w:r>
        <w:r>
          <w:fldChar w:fldCharType="separate"/>
        </w:r>
        <w:r w:rsidR="00D6645A" w:rsidRPr="00D6645A">
          <w:rPr>
            <w:noProof/>
            <w:lang w:val="es-ES"/>
          </w:rPr>
          <w:t>1</w:t>
        </w:r>
        <w:r>
          <w:fldChar w:fldCharType="end"/>
        </w:r>
      </w:p>
    </w:sdtContent>
  </w:sdt>
  <w:p w:rsidR="00AC26BD" w:rsidRDefault="00AC26B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6327" w:rsidRDefault="00C46327" w:rsidP="00C95E4D">
      <w:pPr>
        <w:spacing w:after="0" w:line="240" w:lineRule="auto"/>
      </w:pPr>
      <w:r>
        <w:separator/>
      </w:r>
    </w:p>
  </w:footnote>
  <w:footnote w:type="continuationSeparator" w:id="0">
    <w:p w:rsidR="00C46327" w:rsidRDefault="00C46327" w:rsidP="00C95E4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E5A3D"/>
    <w:multiLevelType w:val="hybridMultilevel"/>
    <w:tmpl w:val="4630F6F8"/>
    <w:lvl w:ilvl="0" w:tplc="ADEE2A0C">
      <w:start w:val="3"/>
      <w:numFmt w:val="bullet"/>
      <w:lvlText w:val="-"/>
      <w:lvlJc w:val="left"/>
      <w:pPr>
        <w:ind w:left="720" w:hanging="360"/>
      </w:pPr>
      <w:rPr>
        <w:rFonts w:ascii="Calibri" w:eastAsiaTheme="minorHAnsi" w:hAnsi="Calibri" w:cs="Calibri"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ADEE2A0C">
      <w:start w:val="3"/>
      <w:numFmt w:val="bullet"/>
      <w:lvlText w:val="-"/>
      <w:lvlJc w:val="left"/>
      <w:pPr>
        <w:ind w:left="2880" w:hanging="360"/>
      </w:pPr>
      <w:rPr>
        <w:rFonts w:ascii="Calibri" w:eastAsiaTheme="minorHAnsi" w:hAnsi="Calibri" w:cs="Calibri" w:hint="default"/>
      </w:rPr>
    </w:lvl>
    <w:lvl w:ilvl="4" w:tplc="080A0003">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00D0525A"/>
    <w:multiLevelType w:val="hybridMultilevel"/>
    <w:tmpl w:val="1BDE8D8E"/>
    <w:lvl w:ilvl="0" w:tplc="080A0001">
      <w:start w:val="1"/>
      <w:numFmt w:val="bullet"/>
      <w:lvlText w:val=""/>
      <w:lvlJc w:val="left"/>
      <w:pPr>
        <w:ind w:left="765" w:hanging="360"/>
      </w:pPr>
      <w:rPr>
        <w:rFonts w:ascii="Symbol" w:hAnsi="Symbol" w:hint="default"/>
      </w:rPr>
    </w:lvl>
    <w:lvl w:ilvl="1" w:tplc="080A0003">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2">
    <w:nsid w:val="01967309"/>
    <w:multiLevelType w:val="hybridMultilevel"/>
    <w:tmpl w:val="97DC41A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03156604"/>
    <w:multiLevelType w:val="hybridMultilevel"/>
    <w:tmpl w:val="D3F268B0"/>
    <w:lvl w:ilvl="0" w:tplc="ADEE2A0C">
      <w:start w:val="3"/>
      <w:numFmt w:val="bullet"/>
      <w:lvlText w:val="-"/>
      <w:lvlJc w:val="left"/>
      <w:pPr>
        <w:ind w:left="1440" w:hanging="360"/>
      </w:pPr>
      <w:rPr>
        <w:rFonts w:ascii="Calibri" w:eastAsiaTheme="minorHAnsi" w:hAnsi="Calibri" w:cs="Calibri"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4">
    <w:nsid w:val="05A2378A"/>
    <w:multiLevelType w:val="hybridMultilevel"/>
    <w:tmpl w:val="E49CE03E"/>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08AD74BD"/>
    <w:multiLevelType w:val="hybridMultilevel"/>
    <w:tmpl w:val="24A648E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0F2127CC"/>
    <w:multiLevelType w:val="hybridMultilevel"/>
    <w:tmpl w:val="096A61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0FFC56C9"/>
    <w:multiLevelType w:val="hybridMultilevel"/>
    <w:tmpl w:val="5AB40F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180B0701"/>
    <w:multiLevelType w:val="hybridMultilevel"/>
    <w:tmpl w:val="C83E6724"/>
    <w:lvl w:ilvl="0" w:tplc="ADEE2A0C">
      <w:start w:val="3"/>
      <w:numFmt w:val="bullet"/>
      <w:lvlText w:val="-"/>
      <w:lvlJc w:val="left"/>
      <w:pPr>
        <w:ind w:left="720" w:hanging="360"/>
      </w:pPr>
      <w:rPr>
        <w:rFonts w:ascii="Calibri" w:eastAsiaTheme="minorHAnsi"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19C136AC"/>
    <w:multiLevelType w:val="hybridMultilevel"/>
    <w:tmpl w:val="31E6C69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1A3A5E5A"/>
    <w:multiLevelType w:val="hybridMultilevel"/>
    <w:tmpl w:val="CDC6CA3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1D0459CE"/>
    <w:multiLevelType w:val="hybridMultilevel"/>
    <w:tmpl w:val="F918DB2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203C5F70"/>
    <w:multiLevelType w:val="hybridMultilevel"/>
    <w:tmpl w:val="17A46E74"/>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20437024"/>
    <w:multiLevelType w:val="hybridMultilevel"/>
    <w:tmpl w:val="DBA85FE4"/>
    <w:lvl w:ilvl="0" w:tplc="ADEE2A0C">
      <w:start w:val="3"/>
      <w:numFmt w:val="bullet"/>
      <w:lvlText w:val="-"/>
      <w:lvlJc w:val="left"/>
      <w:pPr>
        <w:ind w:left="1440" w:hanging="360"/>
      </w:pPr>
      <w:rPr>
        <w:rFonts w:ascii="Calibri" w:eastAsiaTheme="minorHAnsi" w:hAnsi="Calibri" w:cs="Calibri"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4">
    <w:nsid w:val="223B622F"/>
    <w:multiLevelType w:val="hybridMultilevel"/>
    <w:tmpl w:val="15D0478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ADEE2A0C">
      <w:start w:val="3"/>
      <w:numFmt w:val="bullet"/>
      <w:lvlText w:val="-"/>
      <w:lvlJc w:val="left"/>
      <w:pPr>
        <w:ind w:left="2160" w:hanging="360"/>
      </w:pPr>
      <w:rPr>
        <w:rFonts w:ascii="Calibri" w:eastAsiaTheme="minorHAnsi" w:hAnsi="Calibri" w:cs="Calibri" w:hint="default"/>
      </w:rPr>
    </w:lvl>
    <w:lvl w:ilvl="3" w:tplc="ADEE2A0C">
      <w:start w:val="3"/>
      <w:numFmt w:val="bullet"/>
      <w:lvlText w:val="-"/>
      <w:lvlJc w:val="left"/>
      <w:pPr>
        <w:ind w:left="2880" w:hanging="360"/>
      </w:pPr>
      <w:rPr>
        <w:rFonts w:ascii="Calibri" w:eastAsiaTheme="minorHAnsi" w:hAnsi="Calibri" w:cs="Calibri" w:hint="default"/>
      </w:rPr>
    </w:lvl>
    <w:lvl w:ilvl="4" w:tplc="080A0003">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28545998"/>
    <w:multiLevelType w:val="hybridMultilevel"/>
    <w:tmpl w:val="E1F2938A"/>
    <w:lvl w:ilvl="0" w:tplc="ADEE2A0C">
      <w:start w:val="3"/>
      <w:numFmt w:val="bullet"/>
      <w:lvlText w:val="-"/>
      <w:lvlJc w:val="left"/>
      <w:pPr>
        <w:ind w:left="720" w:hanging="360"/>
      </w:pPr>
      <w:rPr>
        <w:rFonts w:ascii="Calibri" w:eastAsiaTheme="minorHAnsi" w:hAnsi="Calibri" w:cs="Calibri"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2C1C6FF5"/>
    <w:multiLevelType w:val="multilevel"/>
    <w:tmpl w:val="C5FCE946"/>
    <w:lvl w:ilvl="0">
      <w:start w:val="1"/>
      <w:numFmt w:val="decimal"/>
      <w:lvlText w:val="%1."/>
      <w:lvlJc w:val="left"/>
      <w:pPr>
        <w:ind w:left="720" w:hanging="360"/>
      </w:pPr>
      <w:rPr>
        <w:rFonts w:hint="default"/>
      </w:rPr>
    </w:lvl>
    <w:lvl w:ilvl="1">
      <w:start w:val="1"/>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nsid w:val="2C503710"/>
    <w:multiLevelType w:val="hybridMultilevel"/>
    <w:tmpl w:val="5B36AAF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nsid w:val="30F44B29"/>
    <w:multiLevelType w:val="hybridMultilevel"/>
    <w:tmpl w:val="6450E81A"/>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35FC4D72"/>
    <w:multiLevelType w:val="hybridMultilevel"/>
    <w:tmpl w:val="115C373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371903AE"/>
    <w:multiLevelType w:val="hybridMultilevel"/>
    <w:tmpl w:val="C0F88DB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nsid w:val="3A07574E"/>
    <w:multiLevelType w:val="hybridMultilevel"/>
    <w:tmpl w:val="4C443876"/>
    <w:lvl w:ilvl="0" w:tplc="ADEE2A0C">
      <w:start w:val="3"/>
      <w:numFmt w:val="bullet"/>
      <w:lvlText w:val="-"/>
      <w:lvlJc w:val="left"/>
      <w:pPr>
        <w:ind w:left="1440" w:hanging="360"/>
      </w:pPr>
      <w:rPr>
        <w:rFonts w:ascii="Calibri" w:eastAsiaTheme="minorHAnsi" w:hAnsi="Calibri" w:cs="Calibri"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2">
    <w:nsid w:val="3B4E5B54"/>
    <w:multiLevelType w:val="hybridMultilevel"/>
    <w:tmpl w:val="EE8873CA"/>
    <w:lvl w:ilvl="0" w:tplc="080A000D">
      <w:start w:val="1"/>
      <w:numFmt w:val="bullet"/>
      <w:lvlText w:val=""/>
      <w:lvlJc w:val="left"/>
      <w:pPr>
        <w:ind w:left="765" w:hanging="360"/>
      </w:pPr>
      <w:rPr>
        <w:rFonts w:ascii="Wingdings" w:hAnsi="Wingdings"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23">
    <w:nsid w:val="3E56308E"/>
    <w:multiLevelType w:val="multilevel"/>
    <w:tmpl w:val="99642718"/>
    <w:lvl w:ilvl="0">
      <w:start w:val="1"/>
      <w:numFmt w:val="decimal"/>
      <w:lvlText w:val="%1."/>
      <w:lvlJc w:val="left"/>
      <w:pPr>
        <w:ind w:left="720" w:hanging="360"/>
      </w:pPr>
      <w:rPr>
        <w:rFonts w:hint="default"/>
      </w:rPr>
    </w:lvl>
    <w:lvl w:ilvl="1">
      <w:start w:val="4"/>
      <w:numFmt w:val="decimal"/>
      <w:isLgl/>
      <w:lvlText w:val="%1.%2."/>
      <w:lvlJc w:val="left"/>
      <w:pPr>
        <w:ind w:left="1350" w:hanging="990"/>
      </w:pPr>
      <w:rPr>
        <w:rFonts w:hint="default"/>
      </w:rPr>
    </w:lvl>
    <w:lvl w:ilvl="2">
      <w:start w:val="1"/>
      <w:numFmt w:val="decimal"/>
      <w:isLgl/>
      <w:lvlText w:val="%1.%2.%3."/>
      <w:lvlJc w:val="left"/>
      <w:pPr>
        <w:ind w:left="1350" w:hanging="990"/>
      </w:pPr>
      <w:rPr>
        <w:rFonts w:hint="default"/>
      </w:rPr>
    </w:lvl>
    <w:lvl w:ilvl="3">
      <w:start w:val="1"/>
      <w:numFmt w:val="decimal"/>
      <w:isLgl/>
      <w:lvlText w:val="%1.%2.%3.%4."/>
      <w:lvlJc w:val="left"/>
      <w:pPr>
        <w:ind w:left="1350" w:hanging="99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nsid w:val="3E9B13E6"/>
    <w:multiLevelType w:val="hybridMultilevel"/>
    <w:tmpl w:val="2B04AC0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nsid w:val="455172F2"/>
    <w:multiLevelType w:val="hybridMultilevel"/>
    <w:tmpl w:val="B99AF32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nsid w:val="47C17A2A"/>
    <w:multiLevelType w:val="hybridMultilevel"/>
    <w:tmpl w:val="7274490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nsid w:val="4F0E0EEF"/>
    <w:multiLevelType w:val="hybridMultilevel"/>
    <w:tmpl w:val="401843C2"/>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nsid w:val="5174071C"/>
    <w:multiLevelType w:val="multilevel"/>
    <w:tmpl w:val="31D65CFC"/>
    <w:lvl w:ilvl="0">
      <w:start w:val="1"/>
      <w:numFmt w:val="decimal"/>
      <w:lvlText w:val="%1."/>
      <w:lvlJc w:val="left"/>
      <w:pPr>
        <w:ind w:left="720" w:hanging="360"/>
      </w:pPr>
      <w:rPr>
        <w:rFonts w:hint="default"/>
      </w:rPr>
    </w:lvl>
    <w:lvl w:ilvl="1">
      <w:start w:val="3"/>
      <w:numFmt w:val="decimal"/>
      <w:isLgl/>
      <w:lvlText w:val="%1.%2"/>
      <w:lvlJc w:val="left"/>
      <w:pPr>
        <w:ind w:left="930"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9">
    <w:nsid w:val="53EE29BF"/>
    <w:multiLevelType w:val="hybridMultilevel"/>
    <w:tmpl w:val="97A65B4E"/>
    <w:lvl w:ilvl="0" w:tplc="742E6E6C">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nsid w:val="55740F1F"/>
    <w:multiLevelType w:val="hybridMultilevel"/>
    <w:tmpl w:val="7FBE0A2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nsid w:val="55A271E9"/>
    <w:multiLevelType w:val="hybridMultilevel"/>
    <w:tmpl w:val="72802E8A"/>
    <w:lvl w:ilvl="0" w:tplc="080A0001">
      <w:start w:val="1"/>
      <w:numFmt w:val="bullet"/>
      <w:lvlText w:val=""/>
      <w:lvlJc w:val="left"/>
      <w:pPr>
        <w:ind w:left="1470" w:hanging="360"/>
      </w:pPr>
      <w:rPr>
        <w:rFonts w:ascii="Symbol" w:hAnsi="Symbol" w:hint="default"/>
      </w:rPr>
    </w:lvl>
    <w:lvl w:ilvl="1" w:tplc="080A0003" w:tentative="1">
      <w:start w:val="1"/>
      <w:numFmt w:val="bullet"/>
      <w:lvlText w:val="o"/>
      <w:lvlJc w:val="left"/>
      <w:pPr>
        <w:ind w:left="2190" w:hanging="360"/>
      </w:pPr>
      <w:rPr>
        <w:rFonts w:ascii="Courier New" w:hAnsi="Courier New" w:cs="Courier New" w:hint="default"/>
      </w:rPr>
    </w:lvl>
    <w:lvl w:ilvl="2" w:tplc="080A0005" w:tentative="1">
      <w:start w:val="1"/>
      <w:numFmt w:val="bullet"/>
      <w:lvlText w:val=""/>
      <w:lvlJc w:val="left"/>
      <w:pPr>
        <w:ind w:left="2910" w:hanging="360"/>
      </w:pPr>
      <w:rPr>
        <w:rFonts w:ascii="Wingdings" w:hAnsi="Wingdings" w:hint="default"/>
      </w:rPr>
    </w:lvl>
    <w:lvl w:ilvl="3" w:tplc="080A0001" w:tentative="1">
      <w:start w:val="1"/>
      <w:numFmt w:val="bullet"/>
      <w:lvlText w:val=""/>
      <w:lvlJc w:val="left"/>
      <w:pPr>
        <w:ind w:left="3630" w:hanging="360"/>
      </w:pPr>
      <w:rPr>
        <w:rFonts w:ascii="Symbol" w:hAnsi="Symbol" w:hint="default"/>
      </w:rPr>
    </w:lvl>
    <w:lvl w:ilvl="4" w:tplc="080A0003" w:tentative="1">
      <w:start w:val="1"/>
      <w:numFmt w:val="bullet"/>
      <w:lvlText w:val="o"/>
      <w:lvlJc w:val="left"/>
      <w:pPr>
        <w:ind w:left="4350" w:hanging="360"/>
      </w:pPr>
      <w:rPr>
        <w:rFonts w:ascii="Courier New" w:hAnsi="Courier New" w:cs="Courier New" w:hint="default"/>
      </w:rPr>
    </w:lvl>
    <w:lvl w:ilvl="5" w:tplc="080A0005" w:tentative="1">
      <w:start w:val="1"/>
      <w:numFmt w:val="bullet"/>
      <w:lvlText w:val=""/>
      <w:lvlJc w:val="left"/>
      <w:pPr>
        <w:ind w:left="5070" w:hanging="360"/>
      </w:pPr>
      <w:rPr>
        <w:rFonts w:ascii="Wingdings" w:hAnsi="Wingdings" w:hint="default"/>
      </w:rPr>
    </w:lvl>
    <w:lvl w:ilvl="6" w:tplc="080A0001" w:tentative="1">
      <w:start w:val="1"/>
      <w:numFmt w:val="bullet"/>
      <w:lvlText w:val=""/>
      <w:lvlJc w:val="left"/>
      <w:pPr>
        <w:ind w:left="5790" w:hanging="360"/>
      </w:pPr>
      <w:rPr>
        <w:rFonts w:ascii="Symbol" w:hAnsi="Symbol" w:hint="default"/>
      </w:rPr>
    </w:lvl>
    <w:lvl w:ilvl="7" w:tplc="080A0003" w:tentative="1">
      <w:start w:val="1"/>
      <w:numFmt w:val="bullet"/>
      <w:lvlText w:val="o"/>
      <w:lvlJc w:val="left"/>
      <w:pPr>
        <w:ind w:left="6510" w:hanging="360"/>
      </w:pPr>
      <w:rPr>
        <w:rFonts w:ascii="Courier New" w:hAnsi="Courier New" w:cs="Courier New" w:hint="default"/>
      </w:rPr>
    </w:lvl>
    <w:lvl w:ilvl="8" w:tplc="080A0005" w:tentative="1">
      <w:start w:val="1"/>
      <w:numFmt w:val="bullet"/>
      <w:lvlText w:val=""/>
      <w:lvlJc w:val="left"/>
      <w:pPr>
        <w:ind w:left="7230" w:hanging="360"/>
      </w:pPr>
      <w:rPr>
        <w:rFonts w:ascii="Wingdings" w:hAnsi="Wingdings" w:hint="default"/>
      </w:rPr>
    </w:lvl>
  </w:abstractNum>
  <w:abstractNum w:abstractNumId="32">
    <w:nsid w:val="56B944DA"/>
    <w:multiLevelType w:val="hybridMultilevel"/>
    <w:tmpl w:val="3186532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nsid w:val="58A91164"/>
    <w:multiLevelType w:val="hybridMultilevel"/>
    <w:tmpl w:val="C25027F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nsid w:val="5B367DF7"/>
    <w:multiLevelType w:val="hybridMultilevel"/>
    <w:tmpl w:val="8B942E62"/>
    <w:lvl w:ilvl="0" w:tplc="080A000D">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5">
    <w:nsid w:val="5BFC0AFC"/>
    <w:multiLevelType w:val="hybridMultilevel"/>
    <w:tmpl w:val="49E414A8"/>
    <w:lvl w:ilvl="0" w:tplc="847048F6">
      <w:start w:val="1"/>
      <w:numFmt w:val="upperRoman"/>
      <w:lvlText w:val="%1."/>
      <w:lvlJc w:val="left"/>
      <w:pPr>
        <w:ind w:left="1080" w:hanging="720"/>
      </w:pPr>
      <w:rPr>
        <w:rFonts w:hint="default"/>
      </w:rPr>
    </w:lvl>
    <w:lvl w:ilvl="1" w:tplc="080A001B">
      <w:start w:val="1"/>
      <w:numFmt w:val="lowerRoman"/>
      <w:lvlText w:val="%2."/>
      <w:lvlJc w:val="righ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nsid w:val="60892821"/>
    <w:multiLevelType w:val="hybridMultilevel"/>
    <w:tmpl w:val="5E0EABD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nsid w:val="63086B8D"/>
    <w:multiLevelType w:val="hybridMultilevel"/>
    <w:tmpl w:val="B824DBC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nsid w:val="65A95BC9"/>
    <w:multiLevelType w:val="hybridMultilevel"/>
    <w:tmpl w:val="EB8298B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nsid w:val="6A006218"/>
    <w:multiLevelType w:val="multilevel"/>
    <w:tmpl w:val="1BF4D964"/>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nsid w:val="6A1F6DE3"/>
    <w:multiLevelType w:val="multilevel"/>
    <w:tmpl w:val="C17E8EF2"/>
    <w:lvl w:ilvl="0">
      <w:start w:val="1"/>
      <w:numFmt w:val="decimal"/>
      <w:lvlText w:val="%1."/>
      <w:lvlJc w:val="left"/>
      <w:pPr>
        <w:ind w:left="720" w:hanging="360"/>
      </w:p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nsid w:val="6ABA351A"/>
    <w:multiLevelType w:val="hybridMultilevel"/>
    <w:tmpl w:val="D620124E"/>
    <w:lvl w:ilvl="0" w:tplc="ADEE2A0C">
      <w:start w:val="3"/>
      <w:numFmt w:val="bullet"/>
      <w:lvlText w:val="-"/>
      <w:lvlJc w:val="left"/>
      <w:pPr>
        <w:ind w:left="720" w:hanging="360"/>
      </w:pPr>
      <w:rPr>
        <w:rFonts w:ascii="Calibri" w:eastAsiaTheme="minorHAnsi"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nsid w:val="6BAB4AEB"/>
    <w:multiLevelType w:val="hybridMultilevel"/>
    <w:tmpl w:val="C5C825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nsid w:val="6DD30D83"/>
    <w:multiLevelType w:val="hybridMultilevel"/>
    <w:tmpl w:val="D71E2CC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4">
    <w:nsid w:val="6EEC1772"/>
    <w:multiLevelType w:val="hybridMultilevel"/>
    <w:tmpl w:val="6B925C16"/>
    <w:lvl w:ilvl="0" w:tplc="14D22A4C">
      <w:start w:val="1"/>
      <w:numFmt w:val="decimal"/>
      <w:lvlText w:val="%1."/>
      <w:lvlJc w:val="left"/>
      <w:pPr>
        <w:ind w:left="720" w:hanging="360"/>
      </w:pPr>
      <w:rPr>
        <w:rFonts w:asciiTheme="minorHAnsi" w:eastAsiaTheme="minorHAnsi" w:hAnsiTheme="minorHAnsi" w:cstheme="minorBidi"/>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5">
    <w:nsid w:val="71866002"/>
    <w:multiLevelType w:val="hybridMultilevel"/>
    <w:tmpl w:val="1308984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6">
    <w:nsid w:val="723F333B"/>
    <w:multiLevelType w:val="hybridMultilevel"/>
    <w:tmpl w:val="21AAEDA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7">
    <w:nsid w:val="76223F41"/>
    <w:multiLevelType w:val="hybridMultilevel"/>
    <w:tmpl w:val="A7329CE2"/>
    <w:lvl w:ilvl="0" w:tplc="ADEE2A0C">
      <w:start w:val="3"/>
      <w:numFmt w:val="bullet"/>
      <w:lvlText w:val="-"/>
      <w:lvlJc w:val="left"/>
      <w:pPr>
        <w:ind w:left="720" w:hanging="360"/>
      </w:pPr>
      <w:rPr>
        <w:rFonts w:ascii="Calibri" w:eastAsiaTheme="minorHAnsi"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8">
    <w:nsid w:val="76DF268A"/>
    <w:multiLevelType w:val="hybridMultilevel"/>
    <w:tmpl w:val="75D25716"/>
    <w:lvl w:ilvl="0" w:tplc="ADEE2A0C">
      <w:start w:val="3"/>
      <w:numFmt w:val="bullet"/>
      <w:lvlText w:val="-"/>
      <w:lvlJc w:val="left"/>
      <w:pPr>
        <w:ind w:left="720" w:hanging="360"/>
      </w:pPr>
      <w:rPr>
        <w:rFonts w:ascii="Calibri" w:eastAsiaTheme="minorHAnsi"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9">
    <w:nsid w:val="78C746D1"/>
    <w:multiLevelType w:val="hybridMultilevel"/>
    <w:tmpl w:val="E452C9D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0">
    <w:nsid w:val="7C5C2648"/>
    <w:multiLevelType w:val="hybridMultilevel"/>
    <w:tmpl w:val="8EFCD20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30"/>
  </w:num>
  <w:num w:numId="2">
    <w:abstractNumId w:val="31"/>
  </w:num>
  <w:num w:numId="3">
    <w:abstractNumId w:val="40"/>
  </w:num>
  <w:num w:numId="4">
    <w:abstractNumId w:val="1"/>
  </w:num>
  <w:num w:numId="5">
    <w:abstractNumId w:val="49"/>
  </w:num>
  <w:num w:numId="6">
    <w:abstractNumId w:val="7"/>
  </w:num>
  <w:num w:numId="7">
    <w:abstractNumId w:val="10"/>
  </w:num>
  <w:num w:numId="8">
    <w:abstractNumId w:val="36"/>
  </w:num>
  <w:num w:numId="9">
    <w:abstractNumId w:val="22"/>
  </w:num>
  <w:num w:numId="10">
    <w:abstractNumId w:val="42"/>
  </w:num>
  <w:num w:numId="11">
    <w:abstractNumId w:val="16"/>
  </w:num>
  <w:num w:numId="12">
    <w:abstractNumId w:val="44"/>
  </w:num>
  <w:num w:numId="13">
    <w:abstractNumId w:val="35"/>
  </w:num>
  <w:num w:numId="14">
    <w:abstractNumId w:val="14"/>
  </w:num>
  <w:num w:numId="15">
    <w:abstractNumId w:val="28"/>
  </w:num>
  <w:num w:numId="16">
    <w:abstractNumId w:val="23"/>
  </w:num>
  <w:num w:numId="17">
    <w:abstractNumId w:val="17"/>
  </w:num>
  <w:num w:numId="18">
    <w:abstractNumId w:val="11"/>
  </w:num>
  <w:num w:numId="19">
    <w:abstractNumId w:val="12"/>
  </w:num>
  <w:num w:numId="20">
    <w:abstractNumId w:val="45"/>
  </w:num>
  <w:num w:numId="21">
    <w:abstractNumId w:val="24"/>
  </w:num>
  <w:num w:numId="22">
    <w:abstractNumId w:val="20"/>
  </w:num>
  <w:num w:numId="23">
    <w:abstractNumId w:val="2"/>
  </w:num>
  <w:num w:numId="24">
    <w:abstractNumId w:val="9"/>
  </w:num>
  <w:num w:numId="25">
    <w:abstractNumId w:val="6"/>
  </w:num>
  <w:num w:numId="26">
    <w:abstractNumId w:val="4"/>
  </w:num>
  <w:num w:numId="27">
    <w:abstractNumId w:val="26"/>
  </w:num>
  <w:num w:numId="28">
    <w:abstractNumId w:val="27"/>
  </w:num>
  <w:num w:numId="29">
    <w:abstractNumId w:val="19"/>
  </w:num>
  <w:num w:numId="30">
    <w:abstractNumId w:val="29"/>
  </w:num>
  <w:num w:numId="31">
    <w:abstractNumId w:val="18"/>
  </w:num>
  <w:num w:numId="32">
    <w:abstractNumId w:val="5"/>
  </w:num>
  <w:num w:numId="33">
    <w:abstractNumId w:val="32"/>
  </w:num>
  <w:num w:numId="34">
    <w:abstractNumId w:val="46"/>
  </w:num>
  <w:num w:numId="35">
    <w:abstractNumId w:val="37"/>
  </w:num>
  <w:num w:numId="36">
    <w:abstractNumId w:val="48"/>
  </w:num>
  <w:num w:numId="37">
    <w:abstractNumId w:val="43"/>
  </w:num>
  <w:num w:numId="38">
    <w:abstractNumId w:val="39"/>
  </w:num>
  <w:num w:numId="39">
    <w:abstractNumId w:val="38"/>
  </w:num>
  <w:num w:numId="40">
    <w:abstractNumId w:val="21"/>
  </w:num>
  <w:num w:numId="41">
    <w:abstractNumId w:val="3"/>
  </w:num>
  <w:num w:numId="42">
    <w:abstractNumId w:val="13"/>
  </w:num>
  <w:num w:numId="43">
    <w:abstractNumId w:val="25"/>
  </w:num>
  <w:num w:numId="44">
    <w:abstractNumId w:val="8"/>
  </w:num>
  <w:num w:numId="45">
    <w:abstractNumId w:val="33"/>
  </w:num>
  <w:num w:numId="46">
    <w:abstractNumId w:val="50"/>
  </w:num>
  <w:num w:numId="47">
    <w:abstractNumId w:val="41"/>
  </w:num>
  <w:num w:numId="48">
    <w:abstractNumId w:val="47"/>
  </w:num>
  <w:num w:numId="49">
    <w:abstractNumId w:val="15"/>
  </w:num>
  <w:num w:numId="50">
    <w:abstractNumId w:val="0"/>
  </w:num>
  <w:num w:numId="51">
    <w:abstractNumId w:val="34"/>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2B04"/>
    <w:rsid w:val="00003043"/>
    <w:rsid w:val="000062AD"/>
    <w:rsid w:val="000065A5"/>
    <w:rsid w:val="000117D9"/>
    <w:rsid w:val="00012607"/>
    <w:rsid w:val="00013E70"/>
    <w:rsid w:val="000157AA"/>
    <w:rsid w:val="00016762"/>
    <w:rsid w:val="0002044A"/>
    <w:rsid w:val="00021BDD"/>
    <w:rsid w:val="00024B48"/>
    <w:rsid w:val="00024BAE"/>
    <w:rsid w:val="000257A3"/>
    <w:rsid w:val="00025A54"/>
    <w:rsid w:val="00030997"/>
    <w:rsid w:val="000344A6"/>
    <w:rsid w:val="00042296"/>
    <w:rsid w:val="000452A0"/>
    <w:rsid w:val="0004620F"/>
    <w:rsid w:val="000501C8"/>
    <w:rsid w:val="00050CAF"/>
    <w:rsid w:val="00050E07"/>
    <w:rsid w:val="00051A36"/>
    <w:rsid w:val="00052492"/>
    <w:rsid w:val="00053478"/>
    <w:rsid w:val="00057671"/>
    <w:rsid w:val="00063E31"/>
    <w:rsid w:val="00071DEC"/>
    <w:rsid w:val="00071EC1"/>
    <w:rsid w:val="00082B00"/>
    <w:rsid w:val="00085D41"/>
    <w:rsid w:val="000904BD"/>
    <w:rsid w:val="000935A4"/>
    <w:rsid w:val="00094133"/>
    <w:rsid w:val="00097CC2"/>
    <w:rsid w:val="000A10AC"/>
    <w:rsid w:val="000A1502"/>
    <w:rsid w:val="000A1EE0"/>
    <w:rsid w:val="000A4516"/>
    <w:rsid w:val="000B0550"/>
    <w:rsid w:val="000B3A93"/>
    <w:rsid w:val="000C0796"/>
    <w:rsid w:val="000D025C"/>
    <w:rsid w:val="000D222A"/>
    <w:rsid w:val="000D2CE1"/>
    <w:rsid w:val="000D4D1A"/>
    <w:rsid w:val="000D4D7E"/>
    <w:rsid w:val="000D5BA1"/>
    <w:rsid w:val="000E79D2"/>
    <w:rsid w:val="000F4B88"/>
    <w:rsid w:val="00101236"/>
    <w:rsid w:val="0011036F"/>
    <w:rsid w:val="00110503"/>
    <w:rsid w:val="00110C65"/>
    <w:rsid w:val="001112A3"/>
    <w:rsid w:val="0011420F"/>
    <w:rsid w:val="00120800"/>
    <w:rsid w:val="00120C0B"/>
    <w:rsid w:val="00123ECA"/>
    <w:rsid w:val="00125305"/>
    <w:rsid w:val="0012742E"/>
    <w:rsid w:val="001329CA"/>
    <w:rsid w:val="00134CB7"/>
    <w:rsid w:val="001352BD"/>
    <w:rsid w:val="0013589C"/>
    <w:rsid w:val="00135964"/>
    <w:rsid w:val="00137B42"/>
    <w:rsid w:val="00142286"/>
    <w:rsid w:val="00142C67"/>
    <w:rsid w:val="00146511"/>
    <w:rsid w:val="00146574"/>
    <w:rsid w:val="0014790C"/>
    <w:rsid w:val="00150751"/>
    <w:rsid w:val="00151ACE"/>
    <w:rsid w:val="001524A3"/>
    <w:rsid w:val="0016040C"/>
    <w:rsid w:val="00162A85"/>
    <w:rsid w:val="001631A9"/>
    <w:rsid w:val="00164159"/>
    <w:rsid w:val="001653B2"/>
    <w:rsid w:val="00165ACE"/>
    <w:rsid w:val="001662D5"/>
    <w:rsid w:val="00166CA0"/>
    <w:rsid w:val="0018002F"/>
    <w:rsid w:val="0018054A"/>
    <w:rsid w:val="001819DF"/>
    <w:rsid w:val="00183E91"/>
    <w:rsid w:val="0019055F"/>
    <w:rsid w:val="001910FA"/>
    <w:rsid w:val="001920C6"/>
    <w:rsid w:val="0019524B"/>
    <w:rsid w:val="001A2192"/>
    <w:rsid w:val="001A2E07"/>
    <w:rsid w:val="001A4477"/>
    <w:rsid w:val="001A6690"/>
    <w:rsid w:val="001B18F9"/>
    <w:rsid w:val="001B261B"/>
    <w:rsid w:val="001B2FF7"/>
    <w:rsid w:val="001B321C"/>
    <w:rsid w:val="001B4D20"/>
    <w:rsid w:val="001B58CF"/>
    <w:rsid w:val="001C1B7E"/>
    <w:rsid w:val="001C22F8"/>
    <w:rsid w:val="001C3520"/>
    <w:rsid w:val="001C384A"/>
    <w:rsid w:val="001D0455"/>
    <w:rsid w:val="001D0AAA"/>
    <w:rsid w:val="001D3C49"/>
    <w:rsid w:val="001D5C25"/>
    <w:rsid w:val="001D7693"/>
    <w:rsid w:val="001E0821"/>
    <w:rsid w:val="001E4ED2"/>
    <w:rsid w:val="001F588D"/>
    <w:rsid w:val="001F7DEB"/>
    <w:rsid w:val="00203954"/>
    <w:rsid w:val="00203D3F"/>
    <w:rsid w:val="00204E71"/>
    <w:rsid w:val="002075E2"/>
    <w:rsid w:val="00207951"/>
    <w:rsid w:val="002109B8"/>
    <w:rsid w:val="002127FB"/>
    <w:rsid w:val="00212F2A"/>
    <w:rsid w:val="00213E8A"/>
    <w:rsid w:val="00217C25"/>
    <w:rsid w:val="00224C2F"/>
    <w:rsid w:val="00226EB7"/>
    <w:rsid w:val="00233593"/>
    <w:rsid w:val="0023644B"/>
    <w:rsid w:val="002377BD"/>
    <w:rsid w:val="00237E3D"/>
    <w:rsid w:val="0025013D"/>
    <w:rsid w:val="0025170B"/>
    <w:rsid w:val="00255027"/>
    <w:rsid w:val="00255B34"/>
    <w:rsid w:val="002718A2"/>
    <w:rsid w:val="00273528"/>
    <w:rsid w:val="00274B5A"/>
    <w:rsid w:val="00277696"/>
    <w:rsid w:val="002823CA"/>
    <w:rsid w:val="0028311C"/>
    <w:rsid w:val="002840F1"/>
    <w:rsid w:val="002844EB"/>
    <w:rsid w:val="002860B7"/>
    <w:rsid w:val="00293760"/>
    <w:rsid w:val="00295659"/>
    <w:rsid w:val="002B2E9F"/>
    <w:rsid w:val="002B2F1E"/>
    <w:rsid w:val="002B5C41"/>
    <w:rsid w:val="002B73D8"/>
    <w:rsid w:val="002C125C"/>
    <w:rsid w:val="002C4073"/>
    <w:rsid w:val="002C500A"/>
    <w:rsid w:val="002C7E18"/>
    <w:rsid w:val="002D0D48"/>
    <w:rsid w:val="002D7FD1"/>
    <w:rsid w:val="002E2912"/>
    <w:rsid w:val="002E77E8"/>
    <w:rsid w:val="002F03A9"/>
    <w:rsid w:val="002F2300"/>
    <w:rsid w:val="002F4785"/>
    <w:rsid w:val="002F7930"/>
    <w:rsid w:val="003007D8"/>
    <w:rsid w:val="00301206"/>
    <w:rsid w:val="00302244"/>
    <w:rsid w:val="00302968"/>
    <w:rsid w:val="00304B20"/>
    <w:rsid w:val="00306FAA"/>
    <w:rsid w:val="00310290"/>
    <w:rsid w:val="00310406"/>
    <w:rsid w:val="0031120A"/>
    <w:rsid w:val="00313FF1"/>
    <w:rsid w:val="0031473A"/>
    <w:rsid w:val="00315406"/>
    <w:rsid w:val="00320CB8"/>
    <w:rsid w:val="00320D86"/>
    <w:rsid w:val="00324239"/>
    <w:rsid w:val="00327462"/>
    <w:rsid w:val="0032753A"/>
    <w:rsid w:val="003434E4"/>
    <w:rsid w:val="00346E9C"/>
    <w:rsid w:val="003473FC"/>
    <w:rsid w:val="003548D7"/>
    <w:rsid w:val="00357993"/>
    <w:rsid w:val="00357B5B"/>
    <w:rsid w:val="0036679E"/>
    <w:rsid w:val="00367CD0"/>
    <w:rsid w:val="00377868"/>
    <w:rsid w:val="00377E4C"/>
    <w:rsid w:val="00382B04"/>
    <w:rsid w:val="00382E67"/>
    <w:rsid w:val="0038359F"/>
    <w:rsid w:val="00386B95"/>
    <w:rsid w:val="00387B6A"/>
    <w:rsid w:val="00391CC0"/>
    <w:rsid w:val="003963B1"/>
    <w:rsid w:val="00396BD5"/>
    <w:rsid w:val="003A6D3D"/>
    <w:rsid w:val="003B0EB0"/>
    <w:rsid w:val="003B106A"/>
    <w:rsid w:val="003B3087"/>
    <w:rsid w:val="003B41A0"/>
    <w:rsid w:val="003B42D3"/>
    <w:rsid w:val="003B4A4A"/>
    <w:rsid w:val="003B7B62"/>
    <w:rsid w:val="003C1985"/>
    <w:rsid w:val="003C60DE"/>
    <w:rsid w:val="003C657C"/>
    <w:rsid w:val="003C739C"/>
    <w:rsid w:val="003D6618"/>
    <w:rsid w:val="003D77BD"/>
    <w:rsid w:val="003E599C"/>
    <w:rsid w:val="003E68B2"/>
    <w:rsid w:val="003F121F"/>
    <w:rsid w:val="003F5EB2"/>
    <w:rsid w:val="003F6094"/>
    <w:rsid w:val="003F7B3D"/>
    <w:rsid w:val="003F7DFE"/>
    <w:rsid w:val="00402329"/>
    <w:rsid w:val="00403950"/>
    <w:rsid w:val="00403C1C"/>
    <w:rsid w:val="004058DA"/>
    <w:rsid w:val="00406790"/>
    <w:rsid w:val="004071F8"/>
    <w:rsid w:val="004072A9"/>
    <w:rsid w:val="004108C8"/>
    <w:rsid w:val="00411D99"/>
    <w:rsid w:val="004149CE"/>
    <w:rsid w:val="004200C4"/>
    <w:rsid w:val="00422007"/>
    <w:rsid w:val="00424494"/>
    <w:rsid w:val="0043168B"/>
    <w:rsid w:val="00435638"/>
    <w:rsid w:val="00445DBB"/>
    <w:rsid w:val="004460EC"/>
    <w:rsid w:val="004468CD"/>
    <w:rsid w:val="00451D07"/>
    <w:rsid w:val="0045517E"/>
    <w:rsid w:val="004659E6"/>
    <w:rsid w:val="0046731D"/>
    <w:rsid w:val="004675C8"/>
    <w:rsid w:val="004703B2"/>
    <w:rsid w:val="0047683C"/>
    <w:rsid w:val="004778E5"/>
    <w:rsid w:val="00481DB6"/>
    <w:rsid w:val="00481F98"/>
    <w:rsid w:val="0048251C"/>
    <w:rsid w:val="004828CA"/>
    <w:rsid w:val="00482D63"/>
    <w:rsid w:val="00483F6F"/>
    <w:rsid w:val="00483FA9"/>
    <w:rsid w:val="00484CC3"/>
    <w:rsid w:val="00490A2B"/>
    <w:rsid w:val="00490B80"/>
    <w:rsid w:val="00495A0A"/>
    <w:rsid w:val="0049623C"/>
    <w:rsid w:val="004978E7"/>
    <w:rsid w:val="004A5834"/>
    <w:rsid w:val="004A7A80"/>
    <w:rsid w:val="004B2B15"/>
    <w:rsid w:val="004C23B1"/>
    <w:rsid w:val="004C3F72"/>
    <w:rsid w:val="004C7847"/>
    <w:rsid w:val="004D2238"/>
    <w:rsid w:val="004D2F67"/>
    <w:rsid w:val="004D5A73"/>
    <w:rsid w:val="004E1B79"/>
    <w:rsid w:val="004E6846"/>
    <w:rsid w:val="004F00AE"/>
    <w:rsid w:val="004F24D9"/>
    <w:rsid w:val="004F399F"/>
    <w:rsid w:val="00501CC2"/>
    <w:rsid w:val="0050335A"/>
    <w:rsid w:val="00511A3F"/>
    <w:rsid w:val="00515761"/>
    <w:rsid w:val="00516D91"/>
    <w:rsid w:val="00524987"/>
    <w:rsid w:val="0053037F"/>
    <w:rsid w:val="005314E3"/>
    <w:rsid w:val="00541879"/>
    <w:rsid w:val="00543DCD"/>
    <w:rsid w:val="005457BC"/>
    <w:rsid w:val="00546644"/>
    <w:rsid w:val="00552412"/>
    <w:rsid w:val="00552F6B"/>
    <w:rsid w:val="00554755"/>
    <w:rsid w:val="005603E9"/>
    <w:rsid w:val="00563398"/>
    <w:rsid w:val="00564298"/>
    <w:rsid w:val="005677FE"/>
    <w:rsid w:val="005679F3"/>
    <w:rsid w:val="00573448"/>
    <w:rsid w:val="00573A5A"/>
    <w:rsid w:val="00574445"/>
    <w:rsid w:val="005772F6"/>
    <w:rsid w:val="00581F95"/>
    <w:rsid w:val="0058477D"/>
    <w:rsid w:val="005913D4"/>
    <w:rsid w:val="00595716"/>
    <w:rsid w:val="005A23BC"/>
    <w:rsid w:val="005A25A5"/>
    <w:rsid w:val="005A4B58"/>
    <w:rsid w:val="005A4FAA"/>
    <w:rsid w:val="005A7825"/>
    <w:rsid w:val="005B01B1"/>
    <w:rsid w:val="005B6441"/>
    <w:rsid w:val="005B7B08"/>
    <w:rsid w:val="005C30C5"/>
    <w:rsid w:val="005C36A9"/>
    <w:rsid w:val="005C604F"/>
    <w:rsid w:val="005C76D9"/>
    <w:rsid w:val="005D78D2"/>
    <w:rsid w:val="005E1970"/>
    <w:rsid w:val="005E4381"/>
    <w:rsid w:val="005E6469"/>
    <w:rsid w:val="005E770C"/>
    <w:rsid w:val="005F1864"/>
    <w:rsid w:val="005F43C5"/>
    <w:rsid w:val="005F6358"/>
    <w:rsid w:val="005F6D00"/>
    <w:rsid w:val="006107A8"/>
    <w:rsid w:val="00610D92"/>
    <w:rsid w:val="00614734"/>
    <w:rsid w:val="00614FD9"/>
    <w:rsid w:val="00622506"/>
    <w:rsid w:val="006230F4"/>
    <w:rsid w:val="00624AD5"/>
    <w:rsid w:val="00625B89"/>
    <w:rsid w:val="00630917"/>
    <w:rsid w:val="00630A83"/>
    <w:rsid w:val="00630B72"/>
    <w:rsid w:val="006340F6"/>
    <w:rsid w:val="00636920"/>
    <w:rsid w:val="00636973"/>
    <w:rsid w:val="00644390"/>
    <w:rsid w:val="00644715"/>
    <w:rsid w:val="00645880"/>
    <w:rsid w:val="00645CF6"/>
    <w:rsid w:val="00651D49"/>
    <w:rsid w:val="0065731F"/>
    <w:rsid w:val="00663EA5"/>
    <w:rsid w:val="00666B34"/>
    <w:rsid w:val="0066750B"/>
    <w:rsid w:val="0067030E"/>
    <w:rsid w:val="00670830"/>
    <w:rsid w:val="0067258A"/>
    <w:rsid w:val="006726BB"/>
    <w:rsid w:val="00673051"/>
    <w:rsid w:val="00674A45"/>
    <w:rsid w:val="00675AA1"/>
    <w:rsid w:val="00675F3A"/>
    <w:rsid w:val="006760B4"/>
    <w:rsid w:val="00676701"/>
    <w:rsid w:val="00676B3D"/>
    <w:rsid w:val="006779C1"/>
    <w:rsid w:val="0068357F"/>
    <w:rsid w:val="006839E3"/>
    <w:rsid w:val="006862DE"/>
    <w:rsid w:val="00693B7E"/>
    <w:rsid w:val="00695529"/>
    <w:rsid w:val="006963A9"/>
    <w:rsid w:val="006A0356"/>
    <w:rsid w:val="006A69C4"/>
    <w:rsid w:val="006A69E1"/>
    <w:rsid w:val="006B09A7"/>
    <w:rsid w:val="006B1049"/>
    <w:rsid w:val="006B12EF"/>
    <w:rsid w:val="006B1AAC"/>
    <w:rsid w:val="006B33CA"/>
    <w:rsid w:val="006B5A7A"/>
    <w:rsid w:val="006C082A"/>
    <w:rsid w:val="006C3C18"/>
    <w:rsid w:val="006D088C"/>
    <w:rsid w:val="006E041C"/>
    <w:rsid w:val="006E4099"/>
    <w:rsid w:val="006E4D39"/>
    <w:rsid w:val="006E501C"/>
    <w:rsid w:val="006E563E"/>
    <w:rsid w:val="006E5D8C"/>
    <w:rsid w:val="006E6FA3"/>
    <w:rsid w:val="006E7044"/>
    <w:rsid w:val="006F6902"/>
    <w:rsid w:val="006F753F"/>
    <w:rsid w:val="00700DDF"/>
    <w:rsid w:val="00702333"/>
    <w:rsid w:val="00703547"/>
    <w:rsid w:val="00705307"/>
    <w:rsid w:val="00706AC4"/>
    <w:rsid w:val="00710A07"/>
    <w:rsid w:val="00710FB3"/>
    <w:rsid w:val="00713B9F"/>
    <w:rsid w:val="0071471A"/>
    <w:rsid w:val="00714CBC"/>
    <w:rsid w:val="007203A2"/>
    <w:rsid w:val="007205BC"/>
    <w:rsid w:val="00723775"/>
    <w:rsid w:val="0073101F"/>
    <w:rsid w:val="007317D7"/>
    <w:rsid w:val="007323D4"/>
    <w:rsid w:val="00732941"/>
    <w:rsid w:val="007354FC"/>
    <w:rsid w:val="00737041"/>
    <w:rsid w:val="00740C13"/>
    <w:rsid w:val="00740DD9"/>
    <w:rsid w:val="00741181"/>
    <w:rsid w:val="00741D6A"/>
    <w:rsid w:val="00742407"/>
    <w:rsid w:val="00743F5B"/>
    <w:rsid w:val="00746E29"/>
    <w:rsid w:val="00755EA3"/>
    <w:rsid w:val="00761752"/>
    <w:rsid w:val="0077159C"/>
    <w:rsid w:val="00780AB8"/>
    <w:rsid w:val="00794DF7"/>
    <w:rsid w:val="00794F05"/>
    <w:rsid w:val="0079758C"/>
    <w:rsid w:val="007A515C"/>
    <w:rsid w:val="007A5222"/>
    <w:rsid w:val="007B0818"/>
    <w:rsid w:val="007B2F3F"/>
    <w:rsid w:val="007B6D21"/>
    <w:rsid w:val="007B7053"/>
    <w:rsid w:val="007B7B9D"/>
    <w:rsid w:val="007C5E06"/>
    <w:rsid w:val="007C7EB3"/>
    <w:rsid w:val="007D17D3"/>
    <w:rsid w:val="007D188E"/>
    <w:rsid w:val="007D272E"/>
    <w:rsid w:val="007E189C"/>
    <w:rsid w:val="007E28CD"/>
    <w:rsid w:val="007E3B62"/>
    <w:rsid w:val="007F02CA"/>
    <w:rsid w:val="007F2832"/>
    <w:rsid w:val="007F3623"/>
    <w:rsid w:val="007F3B74"/>
    <w:rsid w:val="007F3C6B"/>
    <w:rsid w:val="007F5042"/>
    <w:rsid w:val="007F6FE3"/>
    <w:rsid w:val="00802D78"/>
    <w:rsid w:val="00805A07"/>
    <w:rsid w:val="00805BB9"/>
    <w:rsid w:val="00807E56"/>
    <w:rsid w:val="008100D6"/>
    <w:rsid w:val="008101F1"/>
    <w:rsid w:val="00813414"/>
    <w:rsid w:val="00813C70"/>
    <w:rsid w:val="008172C0"/>
    <w:rsid w:val="00822A0A"/>
    <w:rsid w:val="00823FE3"/>
    <w:rsid w:val="00827308"/>
    <w:rsid w:val="0083315B"/>
    <w:rsid w:val="0083435C"/>
    <w:rsid w:val="008417FD"/>
    <w:rsid w:val="008420E6"/>
    <w:rsid w:val="00842441"/>
    <w:rsid w:val="008473AB"/>
    <w:rsid w:val="00847FD6"/>
    <w:rsid w:val="008531B7"/>
    <w:rsid w:val="008574A4"/>
    <w:rsid w:val="00865BC2"/>
    <w:rsid w:val="00865F1D"/>
    <w:rsid w:val="0086655D"/>
    <w:rsid w:val="00874586"/>
    <w:rsid w:val="0087778E"/>
    <w:rsid w:val="008878F0"/>
    <w:rsid w:val="00892588"/>
    <w:rsid w:val="00892658"/>
    <w:rsid w:val="00895562"/>
    <w:rsid w:val="008A32BB"/>
    <w:rsid w:val="008A503F"/>
    <w:rsid w:val="008A69E5"/>
    <w:rsid w:val="008B0545"/>
    <w:rsid w:val="008B2715"/>
    <w:rsid w:val="008B370D"/>
    <w:rsid w:val="008B4DC1"/>
    <w:rsid w:val="008B6AC3"/>
    <w:rsid w:val="008D613D"/>
    <w:rsid w:val="008D7A42"/>
    <w:rsid w:val="008E06C5"/>
    <w:rsid w:val="008E15EC"/>
    <w:rsid w:val="008E5D70"/>
    <w:rsid w:val="008E5DCC"/>
    <w:rsid w:val="008F450C"/>
    <w:rsid w:val="0090261E"/>
    <w:rsid w:val="00903287"/>
    <w:rsid w:val="009065DC"/>
    <w:rsid w:val="00913618"/>
    <w:rsid w:val="009156B0"/>
    <w:rsid w:val="0091634D"/>
    <w:rsid w:val="0092691A"/>
    <w:rsid w:val="00931ECE"/>
    <w:rsid w:val="009334EA"/>
    <w:rsid w:val="009355DB"/>
    <w:rsid w:val="00935C80"/>
    <w:rsid w:val="0094244F"/>
    <w:rsid w:val="00943680"/>
    <w:rsid w:val="00943CB3"/>
    <w:rsid w:val="00950514"/>
    <w:rsid w:val="00950919"/>
    <w:rsid w:val="009514AE"/>
    <w:rsid w:val="00952A3E"/>
    <w:rsid w:val="00954162"/>
    <w:rsid w:val="0095419C"/>
    <w:rsid w:val="00955FC5"/>
    <w:rsid w:val="0095611F"/>
    <w:rsid w:val="00956AFA"/>
    <w:rsid w:val="009613F9"/>
    <w:rsid w:val="00961EE0"/>
    <w:rsid w:val="009629C7"/>
    <w:rsid w:val="009656CE"/>
    <w:rsid w:val="00971016"/>
    <w:rsid w:val="009711AB"/>
    <w:rsid w:val="00971B3D"/>
    <w:rsid w:val="00973241"/>
    <w:rsid w:val="00974419"/>
    <w:rsid w:val="00974C6F"/>
    <w:rsid w:val="00976258"/>
    <w:rsid w:val="00976C00"/>
    <w:rsid w:val="0098594B"/>
    <w:rsid w:val="00990ECB"/>
    <w:rsid w:val="009914C2"/>
    <w:rsid w:val="009922EE"/>
    <w:rsid w:val="0099397D"/>
    <w:rsid w:val="0099431F"/>
    <w:rsid w:val="00996845"/>
    <w:rsid w:val="00996E91"/>
    <w:rsid w:val="0099718C"/>
    <w:rsid w:val="00997692"/>
    <w:rsid w:val="009A4F9B"/>
    <w:rsid w:val="009A54B7"/>
    <w:rsid w:val="009A577D"/>
    <w:rsid w:val="009A74FD"/>
    <w:rsid w:val="009B131B"/>
    <w:rsid w:val="009B5468"/>
    <w:rsid w:val="009B5FF4"/>
    <w:rsid w:val="009C4609"/>
    <w:rsid w:val="009C592D"/>
    <w:rsid w:val="009C59F3"/>
    <w:rsid w:val="009C5D02"/>
    <w:rsid w:val="009C775C"/>
    <w:rsid w:val="009C7A79"/>
    <w:rsid w:val="009D0C8E"/>
    <w:rsid w:val="009D1550"/>
    <w:rsid w:val="009D192D"/>
    <w:rsid w:val="009D575B"/>
    <w:rsid w:val="009D58A5"/>
    <w:rsid w:val="009D6938"/>
    <w:rsid w:val="009E3839"/>
    <w:rsid w:val="009E48BF"/>
    <w:rsid w:val="009E5E15"/>
    <w:rsid w:val="009F0616"/>
    <w:rsid w:val="009F5873"/>
    <w:rsid w:val="009F620B"/>
    <w:rsid w:val="00A0071E"/>
    <w:rsid w:val="00A05149"/>
    <w:rsid w:val="00A06DA2"/>
    <w:rsid w:val="00A10076"/>
    <w:rsid w:val="00A145A3"/>
    <w:rsid w:val="00A17969"/>
    <w:rsid w:val="00A20F14"/>
    <w:rsid w:val="00A22085"/>
    <w:rsid w:val="00A23A58"/>
    <w:rsid w:val="00A23D66"/>
    <w:rsid w:val="00A244AD"/>
    <w:rsid w:val="00A302DC"/>
    <w:rsid w:val="00A4095D"/>
    <w:rsid w:val="00A439A6"/>
    <w:rsid w:val="00A443F3"/>
    <w:rsid w:val="00A459A2"/>
    <w:rsid w:val="00A51574"/>
    <w:rsid w:val="00A5662E"/>
    <w:rsid w:val="00A60C27"/>
    <w:rsid w:val="00A65A3F"/>
    <w:rsid w:val="00A71577"/>
    <w:rsid w:val="00A73F04"/>
    <w:rsid w:val="00A74AB4"/>
    <w:rsid w:val="00A74B42"/>
    <w:rsid w:val="00A76FA0"/>
    <w:rsid w:val="00A8158C"/>
    <w:rsid w:val="00A827AC"/>
    <w:rsid w:val="00A91670"/>
    <w:rsid w:val="00A9194A"/>
    <w:rsid w:val="00A968B7"/>
    <w:rsid w:val="00A9776D"/>
    <w:rsid w:val="00AA1372"/>
    <w:rsid w:val="00AA14AA"/>
    <w:rsid w:val="00AA2D34"/>
    <w:rsid w:val="00AB197A"/>
    <w:rsid w:val="00AB259A"/>
    <w:rsid w:val="00AB25CA"/>
    <w:rsid w:val="00AB5D27"/>
    <w:rsid w:val="00AC0277"/>
    <w:rsid w:val="00AC1D20"/>
    <w:rsid w:val="00AC26BD"/>
    <w:rsid w:val="00AC4EDA"/>
    <w:rsid w:val="00AD1943"/>
    <w:rsid w:val="00AD3E36"/>
    <w:rsid w:val="00AE6228"/>
    <w:rsid w:val="00AF2244"/>
    <w:rsid w:val="00AF3D91"/>
    <w:rsid w:val="00AF48CB"/>
    <w:rsid w:val="00AF55C2"/>
    <w:rsid w:val="00AF6964"/>
    <w:rsid w:val="00AF7AA8"/>
    <w:rsid w:val="00B02FF2"/>
    <w:rsid w:val="00B0343A"/>
    <w:rsid w:val="00B036C3"/>
    <w:rsid w:val="00B059B7"/>
    <w:rsid w:val="00B10579"/>
    <w:rsid w:val="00B11BFB"/>
    <w:rsid w:val="00B122B5"/>
    <w:rsid w:val="00B1239B"/>
    <w:rsid w:val="00B12CA6"/>
    <w:rsid w:val="00B14368"/>
    <w:rsid w:val="00B14766"/>
    <w:rsid w:val="00B162FC"/>
    <w:rsid w:val="00B16C14"/>
    <w:rsid w:val="00B21152"/>
    <w:rsid w:val="00B213C6"/>
    <w:rsid w:val="00B242A9"/>
    <w:rsid w:val="00B259C8"/>
    <w:rsid w:val="00B25A92"/>
    <w:rsid w:val="00B341EB"/>
    <w:rsid w:val="00B3483C"/>
    <w:rsid w:val="00B34A56"/>
    <w:rsid w:val="00B34BEB"/>
    <w:rsid w:val="00B413C4"/>
    <w:rsid w:val="00B4295E"/>
    <w:rsid w:val="00B45FD1"/>
    <w:rsid w:val="00B47C98"/>
    <w:rsid w:val="00B5059D"/>
    <w:rsid w:val="00B512DB"/>
    <w:rsid w:val="00B52006"/>
    <w:rsid w:val="00B54C02"/>
    <w:rsid w:val="00B5594B"/>
    <w:rsid w:val="00B55E41"/>
    <w:rsid w:val="00B6747C"/>
    <w:rsid w:val="00B71F6E"/>
    <w:rsid w:val="00B71FF8"/>
    <w:rsid w:val="00B849FA"/>
    <w:rsid w:val="00B84CD8"/>
    <w:rsid w:val="00B854F6"/>
    <w:rsid w:val="00B86C7E"/>
    <w:rsid w:val="00B96748"/>
    <w:rsid w:val="00B974CB"/>
    <w:rsid w:val="00BA26F1"/>
    <w:rsid w:val="00BA34A5"/>
    <w:rsid w:val="00BA50B5"/>
    <w:rsid w:val="00BB3862"/>
    <w:rsid w:val="00BC2380"/>
    <w:rsid w:val="00BC2E3F"/>
    <w:rsid w:val="00BC4F30"/>
    <w:rsid w:val="00BC7554"/>
    <w:rsid w:val="00BD1CDB"/>
    <w:rsid w:val="00BD7173"/>
    <w:rsid w:val="00BE28E0"/>
    <w:rsid w:val="00BE3194"/>
    <w:rsid w:val="00BE3ECF"/>
    <w:rsid w:val="00BE4501"/>
    <w:rsid w:val="00BE477E"/>
    <w:rsid w:val="00BE7A51"/>
    <w:rsid w:val="00BF02C1"/>
    <w:rsid w:val="00BF198A"/>
    <w:rsid w:val="00BF2749"/>
    <w:rsid w:val="00BF5CCD"/>
    <w:rsid w:val="00C00C4C"/>
    <w:rsid w:val="00C043E5"/>
    <w:rsid w:val="00C1045D"/>
    <w:rsid w:val="00C14280"/>
    <w:rsid w:val="00C15AAA"/>
    <w:rsid w:val="00C16B56"/>
    <w:rsid w:val="00C2090A"/>
    <w:rsid w:val="00C20CEF"/>
    <w:rsid w:val="00C22F11"/>
    <w:rsid w:val="00C24AE7"/>
    <w:rsid w:val="00C27662"/>
    <w:rsid w:val="00C27C3A"/>
    <w:rsid w:val="00C30956"/>
    <w:rsid w:val="00C32262"/>
    <w:rsid w:val="00C40206"/>
    <w:rsid w:val="00C431C7"/>
    <w:rsid w:val="00C45ED6"/>
    <w:rsid w:val="00C46327"/>
    <w:rsid w:val="00C47104"/>
    <w:rsid w:val="00C51001"/>
    <w:rsid w:val="00C51B8C"/>
    <w:rsid w:val="00C5307A"/>
    <w:rsid w:val="00C53346"/>
    <w:rsid w:val="00C60F5A"/>
    <w:rsid w:val="00C61629"/>
    <w:rsid w:val="00C641BF"/>
    <w:rsid w:val="00C64B13"/>
    <w:rsid w:val="00C6770C"/>
    <w:rsid w:val="00C747B8"/>
    <w:rsid w:val="00C77F52"/>
    <w:rsid w:val="00C8097C"/>
    <w:rsid w:val="00C80E15"/>
    <w:rsid w:val="00C836CD"/>
    <w:rsid w:val="00C90C5A"/>
    <w:rsid w:val="00C91CA8"/>
    <w:rsid w:val="00C95E4D"/>
    <w:rsid w:val="00CC08B9"/>
    <w:rsid w:val="00CC2DFC"/>
    <w:rsid w:val="00CC2EC0"/>
    <w:rsid w:val="00CC46F8"/>
    <w:rsid w:val="00CC5155"/>
    <w:rsid w:val="00CD4178"/>
    <w:rsid w:val="00CD4C14"/>
    <w:rsid w:val="00CE179B"/>
    <w:rsid w:val="00CE3489"/>
    <w:rsid w:val="00CF211D"/>
    <w:rsid w:val="00CF32E9"/>
    <w:rsid w:val="00D042B7"/>
    <w:rsid w:val="00D077A1"/>
    <w:rsid w:val="00D20FD1"/>
    <w:rsid w:val="00D2248B"/>
    <w:rsid w:val="00D23E66"/>
    <w:rsid w:val="00D24C8D"/>
    <w:rsid w:val="00D25234"/>
    <w:rsid w:val="00D259CD"/>
    <w:rsid w:val="00D26E05"/>
    <w:rsid w:val="00D301A6"/>
    <w:rsid w:val="00D30D05"/>
    <w:rsid w:val="00D32D57"/>
    <w:rsid w:val="00D344D7"/>
    <w:rsid w:val="00D34F78"/>
    <w:rsid w:val="00D40D44"/>
    <w:rsid w:val="00D41318"/>
    <w:rsid w:val="00D41BEB"/>
    <w:rsid w:val="00D4438A"/>
    <w:rsid w:val="00D4535F"/>
    <w:rsid w:val="00D51CCF"/>
    <w:rsid w:val="00D52F5F"/>
    <w:rsid w:val="00D623EB"/>
    <w:rsid w:val="00D64814"/>
    <w:rsid w:val="00D64CFF"/>
    <w:rsid w:val="00D6645A"/>
    <w:rsid w:val="00D7105C"/>
    <w:rsid w:val="00D7269D"/>
    <w:rsid w:val="00D74008"/>
    <w:rsid w:val="00D76591"/>
    <w:rsid w:val="00D770CD"/>
    <w:rsid w:val="00D77C7D"/>
    <w:rsid w:val="00D81DB0"/>
    <w:rsid w:val="00D83787"/>
    <w:rsid w:val="00D87D0F"/>
    <w:rsid w:val="00D87F1A"/>
    <w:rsid w:val="00D951D2"/>
    <w:rsid w:val="00D970C3"/>
    <w:rsid w:val="00D97241"/>
    <w:rsid w:val="00DA19FB"/>
    <w:rsid w:val="00DA1B41"/>
    <w:rsid w:val="00DA24CF"/>
    <w:rsid w:val="00DA2A3C"/>
    <w:rsid w:val="00DA321C"/>
    <w:rsid w:val="00DA324A"/>
    <w:rsid w:val="00DA5199"/>
    <w:rsid w:val="00DA6630"/>
    <w:rsid w:val="00DA6E41"/>
    <w:rsid w:val="00DB2629"/>
    <w:rsid w:val="00DB2F44"/>
    <w:rsid w:val="00DB4944"/>
    <w:rsid w:val="00DB6942"/>
    <w:rsid w:val="00DC14C4"/>
    <w:rsid w:val="00DC3206"/>
    <w:rsid w:val="00DC488B"/>
    <w:rsid w:val="00DC7AA8"/>
    <w:rsid w:val="00DD459E"/>
    <w:rsid w:val="00DD6AC8"/>
    <w:rsid w:val="00DD7E9F"/>
    <w:rsid w:val="00DF1FB8"/>
    <w:rsid w:val="00DF30CA"/>
    <w:rsid w:val="00E05CAE"/>
    <w:rsid w:val="00E06073"/>
    <w:rsid w:val="00E114D9"/>
    <w:rsid w:val="00E125FA"/>
    <w:rsid w:val="00E1293E"/>
    <w:rsid w:val="00E12AE5"/>
    <w:rsid w:val="00E142FD"/>
    <w:rsid w:val="00E14799"/>
    <w:rsid w:val="00E21736"/>
    <w:rsid w:val="00E2282C"/>
    <w:rsid w:val="00E23D3C"/>
    <w:rsid w:val="00E2530C"/>
    <w:rsid w:val="00E25881"/>
    <w:rsid w:val="00E2763B"/>
    <w:rsid w:val="00E310B9"/>
    <w:rsid w:val="00E331C9"/>
    <w:rsid w:val="00E37C12"/>
    <w:rsid w:val="00E404FC"/>
    <w:rsid w:val="00E40BE7"/>
    <w:rsid w:val="00E41244"/>
    <w:rsid w:val="00E414B3"/>
    <w:rsid w:val="00E42D02"/>
    <w:rsid w:val="00E4553E"/>
    <w:rsid w:val="00E5172A"/>
    <w:rsid w:val="00E52717"/>
    <w:rsid w:val="00E53619"/>
    <w:rsid w:val="00E5580E"/>
    <w:rsid w:val="00E60D25"/>
    <w:rsid w:val="00E64B4B"/>
    <w:rsid w:val="00E65E76"/>
    <w:rsid w:val="00E671C2"/>
    <w:rsid w:val="00E672C9"/>
    <w:rsid w:val="00E675F7"/>
    <w:rsid w:val="00E7022E"/>
    <w:rsid w:val="00E72679"/>
    <w:rsid w:val="00E72FBF"/>
    <w:rsid w:val="00E74B03"/>
    <w:rsid w:val="00E74E18"/>
    <w:rsid w:val="00E75BEB"/>
    <w:rsid w:val="00E81306"/>
    <w:rsid w:val="00E93065"/>
    <w:rsid w:val="00E97DD5"/>
    <w:rsid w:val="00EA2D5D"/>
    <w:rsid w:val="00EA6D7A"/>
    <w:rsid w:val="00EB255E"/>
    <w:rsid w:val="00EB6EC7"/>
    <w:rsid w:val="00EC4103"/>
    <w:rsid w:val="00EC5055"/>
    <w:rsid w:val="00EC5857"/>
    <w:rsid w:val="00EC5C2E"/>
    <w:rsid w:val="00EC7CE2"/>
    <w:rsid w:val="00ED6B21"/>
    <w:rsid w:val="00EE1046"/>
    <w:rsid w:val="00EF1FA9"/>
    <w:rsid w:val="00EF2231"/>
    <w:rsid w:val="00EF51CC"/>
    <w:rsid w:val="00EF69B1"/>
    <w:rsid w:val="00F03F4E"/>
    <w:rsid w:val="00F1064C"/>
    <w:rsid w:val="00F11BF7"/>
    <w:rsid w:val="00F13122"/>
    <w:rsid w:val="00F149C2"/>
    <w:rsid w:val="00F17BC6"/>
    <w:rsid w:val="00F23D06"/>
    <w:rsid w:val="00F3095F"/>
    <w:rsid w:val="00F33677"/>
    <w:rsid w:val="00F37F56"/>
    <w:rsid w:val="00F401F5"/>
    <w:rsid w:val="00F4102A"/>
    <w:rsid w:val="00F50292"/>
    <w:rsid w:val="00F50C9D"/>
    <w:rsid w:val="00F546A8"/>
    <w:rsid w:val="00F5487D"/>
    <w:rsid w:val="00F57A8E"/>
    <w:rsid w:val="00F70D6F"/>
    <w:rsid w:val="00F72546"/>
    <w:rsid w:val="00F81DA2"/>
    <w:rsid w:val="00F82815"/>
    <w:rsid w:val="00F839DD"/>
    <w:rsid w:val="00F8751B"/>
    <w:rsid w:val="00F90E95"/>
    <w:rsid w:val="00F94151"/>
    <w:rsid w:val="00F94F5D"/>
    <w:rsid w:val="00F97A2B"/>
    <w:rsid w:val="00FA2EED"/>
    <w:rsid w:val="00FA53D7"/>
    <w:rsid w:val="00FA6ADB"/>
    <w:rsid w:val="00FA6BF1"/>
    <w:rsid w:val="00FB446F"/>
    <w:rsid w:val="00FB5B82"/>
    <w:rsid w:val="00FC0A4D"/>
    <w:rsid w:val="00FC3C8C"/>
    <w:rsid w:val="00FD0894"/>
    <w:rsid w:val="00FD1043"/>
    <w:rsid w:val="00FD3636"/>
    <w:rsid w:val="00FE35E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77BD"/>
  </w:style>
  <w:style w:type="paragraph" w:styleId="Ttulo1">
    <w:name w:val="heading 1"/>
    <w:basedOn w:val="Normal"/>
    <w:next w:val="Normal"/>
    <w:link w:val="Ttulo1Car"/>
    <w:uiPriority w:val="9"/>
    <w:qFormat/>
    <w:rsid w:val="00F1312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F8281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706AC4"/>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9355DB"/>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C27C3A"/>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13122"/>
    <w:rPr>
      <w:rFonts w:asciiTheme="majorHAnsi" w:eastAsiaTheme="majorEastAsia" w:hAnsiTheme="majorHAnsi" w:cstheme="majorBidi"/>
      <w:b/>
      <w:bCs/>
      <w:color w:val="365F91" w:themeColor="accent1" w:themeShade="BF"/>
      <w:sz w:val="28"/>
      <w:szCs w:val="28"/>
    </w:rPr>
  </w:style>
  <w:style w:type="paragraph" w:styleId="Prrafodelista">
    <w:name w:val="List Paragraph"/>
    <w:basedOn w:val="Normal"/>
    <w:uiPriority w:val="34"/>
    <w:qFormat/>
    <w:rsid w:val="00F82815"/>
    <w:pPr>
      <w:ind w:left="720"/>
      <w:contextualSpacing/>
    </w:pPr>
  </w:style>
  <w:style w:type="character" w:customStyle="1" w:styleId="Ttulo2Car">
    <w:name w:val="Título 2 Car"/>
    <w:basedOn w:val="Fuentedeprrafopredeter"/>
    <w:link w:val="Ttulo2"/>
    <w:uiPriority w:val="9"/>
    <w:rsid w:val="00F82815"/>
    <w:rPr>
      <w:rFonts w:asciiTheme="majorHAnsi" w:eastAsiaTheme="majorEastAsia" w:hAnsiTheme="majorHAnsi" w:cstheme="majorBidi"/>
      <w:b/>
      <w:bCs/>
      <w:color w:val="4F81BD" w:themeColor="accent1"/>
      <w:sz w:val="26"/>
      <w:szCs w:val="26"/>
    </w:rPr>
  </w:style>
  <w:style w:type="paragraph" w:styleId="Textodeglobo">
    <w:name w:val="Balloon Text"/>
    <w:basedOn w:val="Normal"/>
    <w:link w:val="TextodegloboCar"/>
    <w:uiPriority w:val="99"/>
    <w:semiHidden/>
    <w:unhideWhenUsed/>
    <w:rsid w:val="009B546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B5468"/>
    <w:rPr>
      <w:rFonts w:ascii="Tahoma" w:hAnsi="Tahoma" w:cs="Tahoma"/>
      <w:sz w:val="16"/>
      <w:szCs w:val="16"/>
    </w:rPr>
  </w:style>
  <w:style w:type="character" w:customStyle="1" w:styleId="Ttulo3Car">
    <w:name w:val="Título 3 Car"/>
    <w:basedOn w:val="Fuentedeprrafopredeter"/>
    <w:link w:val="Ttulo3"/>
    <w:uiPriority w:val="9"/>
    <w:rsid w:val="00706AC4"/>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9355DB"/>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C27C3A"/>
    <w:rPr>
      <w:rFonts w:asciiTheme="majorHAnsi" w:eastAsiaTheme="majorEastAsia" w:hAnsiTheme="majorHAnsi" w:cstheme="majorBidi"/>
      <w:color w:val="243F60" w:themeColor="accent1" w:themeShade="7F"/>
    </w:rPr>
  </w:style>
  <w:style w:type="paragraph" w:styleId="Encabezado">
    <w:name w:val="header"/>
    <w:basedOn w:val="Normal"/>
    <w:link w:val="EncabezadoCar"/>
    <w:uiPriority w:val="99"/>
    <w:unhideWhenUsed/>
    <w:rsid w:val="00C95E4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95E4D"/>
  </w:style>
  <w:style w:type="paragraph" w:styleId="Piedepgina">
    <w:name w:val="footer"/>
    <w:basedOn w:val="Normal"/>
    <w:link w:val="PiedepginaCar"/>
    <w:uiPriority w:val="99"/>
    <w:unhideWhenUsed/>
    <w:rsid w:val="00C95E4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95E4D"/>
  </w:style>
  <w:style w:type="character" w:styleId="Textodelmarcadordeposicin">
    <w:name w:val="Placeholder Text"/>
    <w:basedOn w:val="Fuentedeprrafopredeter"/>
    <w:uiPriority w:val="99"/>
    <w:semiHidden/>
    <w:rsid w:val="005913D4"/>
    <w:rPr>
      <w:color w:val="808080"/>
    </w:rPr>
  </w:style>
  <w:style w:type="paragraph" w:styleId="z-Principiodelformulario">
    <w:name w:val="HTML Top of Form"/>
    <w:basedOn w:val="Normal"/>
    <w:next w:val="Normal"/>
    <w:link w:val="z-PrincipiodelformularioCar"/>
    <w:hidden/>
    <w:uiPriority w:val="99"/>
    <w:semiHidden/>
    <w:unhideWhenUsed/>
    <w:rsid w:val="00A06DA2"/>
    <w:pPr>
      <w:pBdr>
        <w:bottom w:val="single" w:sz="6" w:space="1" w:color="auto"/>
      </w:pBdr>
      <w:spacing w:after="0" w:line="240" w:lineRule="auto"/>
      <w:jc w:val="center"/>
    </w:pPr>
    <w:rPr>
      <w:rFonts w:ascii="Arial" w:eastAsia="Times New Roman"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A06DA2"/>
    <w:rPr>
      <w:rFonts w:ascii="Arial" w:eastAsia="Times New Roman" w:hAnsi="Arial" w:cs="Arial"/>
      <w:vanish/>
      <w:sz w:val="16"/>
      <w:szCs w:val="16"/>
      <w:lang w:eastAsia="es-MX"/>
    </w:rPr>
  </w:style>
  <w:style w:type="paragraph" w:styleId="z-Finaldelformulario">
    <w:name w:val="HTML Bottom of Form"/>
    <w:basedOn w:val="Normal"/>
    <w:next w:val="Normal"/>
    <w:link w:val="z-FinaldelformularioCar"/>
    <w:hidden/>
    <w:uiPriority w:val="99"/>
    <w:unhideWhenUsed/>
    <w:rsid w:val="00A06DA2"/>
    <w:pPr>
      <w:pBdr>
        <w:top w:val="single" w:sz="6" w:space="1" w:color="auto"/>
      </w:pBdr>
      <w:spacing w:after="0" w:line="240" w:lineRule="auto"/>
      <w:jc w:val="center"/>
    </w:pPr>
    <w:rPr>
      <w:rFonts w:ascii="Arial" w:eastAsia="Times New Roman" w:hAnsi="Arial" w:cs="Arial"/>
      <w:vanish/>
      <w:sz w:val="16"/>
      <w:szCs w:val="16"/>
      <w:lang w:eastAsia="es-MX"/>
    </w:rPr>
  </w:style>
  <w:style w:type="character" w:customStyle="1" w:styleId="z-FinaldelformularioCar">
    <w:name w:val="z-Final del formulario Car"/>
    <w:basedOn w:val="Fuentedeprrafopredeter"/>
    <w:link w:val="z-Finaldelformulario"/>
    <w:uiPriority w:val="99"/>
    <w:rsid w:val="00A06DA2"/>
    <w:rPr>
      <w:rFonts w:ascii="Arial" w:eastAsia="Times New Roman" w:hAnsi="Arial" w:cs="Arial"/>
      <w:vanish/>
      <w:sz w:val="16"/>
      <w:szCs w:val="16"/>
      <w:lang w:eastAsia="es-MX"/>
    </w:rPr>
  </w:style>
  <w:style w:type="character" w:styleId="Hipervnculo">
    <w:name w:val="Hyperlink"/>
    <w:basedOn w:val="Fuentedeprrafopredeter"/>
    <w:uiPriority w:val="99"/>
    <w:unhideWhenUsed/>
    <w:rsid w:val="00954162"/>
    <w:rPr>
      <w:color w:val="0000FF" w:themeColor="hyperlink"/>
      <w:u w:val="single"/>
    </w:rPr>
  </w:style>
  <w:style w:type="paragraph" w:styleId="TtulodeTDC">
    <w:name w:val="TOC Heading"/>
    <w:basedOn w:val="Ttulo1"/>
    <w:next w:val="Normal"/>
    <w:uiPriority w:val="39"/>
    <w:semiHidden/>
    <w:unhideWhenUsed/>
    <w:qFormat/>
    <w:rsid w:val="002075E2"/>
    <w:pPr>
      <w:outlineLvl w:val="9"/>
    </w:pPr>
    <w:rPr>
      <w:lang w:eastAsia="es-MX"/>
    </w:rPr>
  </w:style>
  <w:style w:type="paragraph" w:styleId="TDC1">
    <w:name w:val="toc 1"/>
    <w:basedOn w:val="Normal"/>
    <w:next w:val="Normal"/>
    <w:autoRedefine/>
    <w:uiPriority w:val="39"/>
    <w:unhideWhenUsed/>
    <w:rsid w:val="002075E2"/>
    <w:pPr>
      <w:spacing w:after="100"/>
    </w:pPr>
  </w:style>
  <w:style w:type="paragraph" w:styleId="TDC2">
    <w:name w:val="toc 2"/>
    <w:basedOn w:val="Normal"/>
    <w:next w:val="Normal"/>
    <w:autoRedefine/>
    <w:uiPriority w:val="39"/>
    <w:unhideWhenUsed/>
    <w:rsid w:val="002075E2"/>
    <w:pPr>
      <w:spacing w:after="100"/>
      <w:ind w:left="220"/>
    </w:pPr>
  </w:style>
  <w:style w:type="paragraph" w:styleId="TDC3">
    <w:name w:val="toc 3"/>
    <w:basedOn w:val="Normal"/>
    <w:next w:val="Normal"/>
    <w:autoRedefine/>
    <w:uiPriority w:val="39"/>
    <w:unhideWhenUsed/>
    <w:rsid w:val="002075E2"/>
    <w:pPr>
      <w:spacing w:after="100"/>
      <w:ind w:left="440"/>
    </w:pPr>
  </w:style>
  <w:style w:type="character" w:styleId="CitaHTML">
    <w:name w:val="HTML Cite"/>
    <w:basedOn w:val="Fuentedeprrafopredeter"/>
    <w:uiPriority w:val="99"/>
    <w:semiHidden/>
    <w:unhideWhenUsed/>
    <w:rsid w:val="00D970C3"/>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77BD"/>
  </w:style>
  <w:style w:type="paragraph" w:styleId="Ttulo1">
    <w:name w:val="heading 1"/>
    <w:basedOn w:val="Normal"/>
    <w:next w:val="Normal"/>
    <w:link w:val="Ttulo1Car"/>
    <w:uiPriority w:val="9"/>
    <w:qFormat/>
    <w:rsid w:val="00F1312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F8281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706AC4"/>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9355DB"/>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C27C3A"/>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13122"/>
    <w:rPr>
      <w:rFonts w:asciiTheme="majorHAnsi" w:eastAsiaTheme="majorEastAsia" w:hAnsiTheme="majorHAnsi" w:cstheme="majorBidi"/>
      <w:b/>
      <w:bCs/>
      <w:color w:val="365F91" w:themeColor="accent1" w:themeShade="BF"/>
      <w:sz w:val="28"/>
      <w:szCs w:val="28"/>
    </w:rPr>
  </w:style>
  <w:style w:type="paragraph" w:styleId="Prrafodelista">
    <w:name w:val="List Paragraph"/>
    <w:basedOn w:val="Normal"/>
    <w:uiPriority w:val="34"/>
    <w:qFormat/>
    <w:rsid w:val="00F82815"/>
    <w:pPr>
      <w:ind w:left="720"/>
      <w:contextualSpacing/>
    </w:pPr>
  </w:style>
  <w:style w:type="character" w:customStyle="1" w:styleId="Ttulo2Car">
    <w:name w:val="Título 2 Car"/>
    <w:basedOn w:val="Fuentedeprrafopredeter"/>
    <w:link w:val="Ttulo2"/>
    <w:uiPriority w:val="9"/>
    <w:rsid w:val="00F82815"/>
    <w:rPr>
      <w:rFonts w:asciiTheme="majorHAnsi" w:eastAsiaTheme="majorEastAsia" w:hAnsiTheme="majorHAnsi" w:cstheme="majorBidi"/>
      <w:b/>
      <w:bCs/>
      <w:color w:val="4F81BD" w:themeColor="accent1"/>
      <w:sz w:val="26"/>
      <w:szCs w:val="26"/>
    </w:rPr>
  </w:style>
  <w:style w:type="paragraph" w:styleId="Textodeglobo">
    <w:name w:val="Balloon Text"/>
    <w:basedOn w:val="Normal"/>
    <w:link w:val="TextodegloboCar"/>
    <w:uiPriority w:val="99"/>
    <w:semiHidden/>
    <w:unhideWhenUsed/>
    <w:rsid w:val="009B546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B5468"/>
    <w:rPr>
      <w:rFonts w:ascii="Tahoma" w:hAnsi="Tahoma" w:cs="Tahoma"/>
      <w:sz w:val="16"/>
      <w:szCs w:val="16"/>
    </w:rPr>
  </w:style>
  <w:style w:type="character" w:customStyle="1" w:styleId="Ttulo3Car">
    <w:name w:val="Título 3 Car"/>
    <w:basedOn w:val="Fuentedeprrafopredeter"/>
    <w:link w:val="Ttulo3"/>
    <w:uiPriority w:val="9"/>
    <w:rsid w:val="00706AC4"/>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9355DB"/>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C27C3A"/>
    <w:rPr>
      <w:rFonts w:asciiTheme="majorHAnsi" w:eastAsiaTheme="majorEastAsia" w:hAnsiTheme="majorHAnsi" w:cstheme="majorBidi"/>
      <w:color w:val="243F60" w:themeColor="accent1" w:themeShade="7F"/>
    </w:rPr>
  </w:style>
  <w:style w:type="paragraph" w:styleId="Encabezado">
    <w:name w:val="header"/>
    <w:basedOn w:val="Normal"/>
    <w:link w:val="EncabezadoCar"/>
    <w:uiPriority w:val="99"/>
    <w:unhideWhenUsed/>
    <w:rsid w:val="00C95E4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95E4D"/>
  </w:style>
  <w:style w:type="paragraph" w:styleId="Piedepgina">
    <w:name w:val="footer"/>
    <w:basedOn w:val="Normal"/>
    <w:link w:val="PiedepginaCar"/>
    <w:uiPriority w:val="99"/>
    <w:unhideWhenUsed/>
    <w:rsid w:val="00C95E4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95E4D"/>
  </w:style>
  <w:style w:type="character" w:styleId="Textodelmarcadordeposicin">
    <w:name w:val="Placeholder Text"/>
    <w:basedOn w:val="Fuentedeprrafopredeter"/>
    <w:uiPriority w:val="99"/>
    <w:semiHidden/>
    <w:rsid w:val="005913D4"/>
    <w:rPr>
      <w:color w:val="808080"/>
    </w:rPr>
  </w:style>
  <w:style w:type="paragraph" w:styleId="z-Principiodelformulario">
    <w:name w:val="HTML Top of Form"/>
    <w:basedOn w:val="Normal"/>
    <w:next w:val="Normal"/>
    <w:link w:val="z-PrincipiodelformularioCar"/>
    <w:hidden/>
    <w:uiPriority w:val="99"/>
    <w:semiHidden/>
    <w:unhideWhenUsed/>
    <w:rsid w:val="00A06DA2"/>
    <w:pPr>
      <w:pBdr>
        <w:bottom w:val="single" w:sz="6" w:space="1" w:color="auto"/>
      </w:pBdr>
      <w:spacing w:after="0" w:line="240" w:lineRule="auto"/>
      <w:jc w:val="center"/>
    </w:pPr>
    <w:rPr>
      <w:rFonts w:ascii="Arial" w:eastAsia="Times New Roman"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A06DA2"/>
    <w:rPr>
      <w:rFonts w:ascii="Arial" w:eastAsia="Times New Roman" w:hAnsi="Arial" w:cs="Arial"/>
      <w:vanish/>
      <w:sz w:val="16"/>
      <w:szCs w:val="16"/>
      <w:lang w:eastAsia="es-MX"/>
    </w:rPr>
  </w:style>
  <w:style w:type="paragraph" w:styleId="z-Finaldelformulario">
    <w:name w:val="HTML Bottom of Form"/>
    <w:basedOn w:val="Normal"/>
    <w:next w:val="Normal"/>
    <w:link w:val="z-FinaldelformularioCar"/>
    <w:hidden/>
    <w:uiPriority w:val="99"/>
    <w:unhideWhenUsed/>
    <w:rsid w:val="00A06DA2"/>
    <w:pPr>
      <w:pBdr>
        <w:top w:val="single" w:sz="6" w:space="1" w:color="auto"/>
      </w:pBdr>
      <w:spacing w:after="0" w:line="240" w:lineRule="auto"/>
      <w:jc w:val="center"/>
    </w:pPr>
    <w:rPr>
      <w:rFonts w:ascii="Arial" w:eastAsia="Times New Roman" w:hAnsi="Arial" w:cs="Arial"/>
      <w:vanish/>
      <w:sz w:val="16"/>
      <w:szCs w:val="16"/>
      <w:lang w:eastAsia="es-MX"/>
    </w:rPr>
  </w:style>
  <w:style w:type="character" w:customStyle="1" w:styleId="z-FinaldelformularioCar">
    <w:name w:val="z-Final del formulario Car"/>
    <w:basedOn w:val="Fuentedeprrafopredeter"/>
    <w:link w:val="z-Finaldelformulario"/>
    <w:uiPriority w:val="99"/>
    <w:rsid w:val="00A06DA2"/>
    <w:rPr>
      <w:rFonts w:ascii="Arial" w:eastAsia="Times New Roman" w:hAnsi="Arial" w:cs="Arial"/>
      <w:vanish/>
      <w:sz w:val="16"/>
      <w:szCs w:val="16"/>
      <w:lang w:eastAsia="es-MX"/>
    </w:rPr>
  </w:style>
  <w:style w:type="character" w:styleId="Hipervnculo">
    <w:name w:val="Hyperlink"/>
    <w:basedOn w:val="Fuentedeprrafopredeter"/>
    <w:uiPriority w:val="99"/>
    <w:unhideWhenUsed/>
    <w:rsid w:val="00954162"/>
    <w:rPr>
      <w:color w:val="0000FF" w:themeColor="hyperlink"/>
      <w:u w:val="single"/>
    </w:rPr>
  </w:style>
  <w:style w:type="paragraph" w:styleId="TtulodeTDC">
    <w:name w:val="TOC Heading"/>
    <w:basedOn w:val="Ttulo1"/>
    <w:next w:val="Normal"/>
    <w:uiPriority w:val="39"/>
    <w:semiHidden/>
    <w:unhideWhenUsed/>
    <w:qFormat/>
    <w:rsid w:val="002075E2"/>
    <w:pPr>
      <w:outlineLvl w:val="9"/>
    </w:pPr>
    <w:rPr>
      <w:lang w:eastAsia="es-MX"/>
    </w:rPr>
  </w:style>
  <w:style w:type="paragraph" w:styleId="TDC1">
    <w:name w:val="toc 1"/>
    <w:basedOn w:val="Normal"/>
    <w:next w:val="Normal"/>
    <w:autoRedefine/>
    <w:uiPriority w:val="39"/>
    <w:unhideWhenUsed/>
    <w:rsid w:val="002075E2"/>
    <w:pPr>
      <w:spacing w:after="100"/>
    </w:pPr>
  </w:style>
  <w:style w:type="paragraph" w:styleId="TDC2">
    <w:name w:val="toc 2"/>
    <w:basedOn w:val="Normal"/>
    <w:next w:val="Normal"/>
    <w:autoRedefine/>
    <w:uiPriority w:val="39"/>
    <w:unhideWhenUsed/>
    <w:rsid w:val="002075E2"/>
    <w:pPr>
      <w:spacing w:after="100"/>
      <w:ind w:left="220"/>
    </w:pPr>
  </w:style>
  <w:style w:type="paragraph" w:styleId="TDC3">
    <w:name w:val="toc 3"/>
    <w:basedOn w:val="Normal"/>
    <w:next w:val="Normal"/>
    <w:autoRedefine/>
    <w:uiPriority w:val="39"/>
    <w:unhideWhenUsed/>
    <w:rsid w:val="002075E2"/>
    <w:pPr>
      <w:spacing w:after="100"/>
      <w:ind w:left="440"/>
    </w:pPr>
  </w:style>
  <w:style w:type="character" w:styleId="CitaHTML">
    <w:name w:val="HTML Cite"/>
    <w:basedOn w:val="Fuentedeprrafopredeter"/>
    <w:uiPriority w:val="99"/>
    <w:semiHidden/>
    <w:unhideWhenUsed/>
    <w:rsid w:val="00D970C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711862">
      <w:bodyDiv w:val="1"/>
      <w:marLeft w:val="0"/>
      <w:marRight w:val="0"/>
      <w:marTop w:val="0"/>
      <w:marBottom w:val="0"/>
      <w:divBdr>
        <w:top w:val="none" w:sz="0" w:space="0" w:color="auto"/>
        <w:left w:val="none" w:sz="0" w:space="0" w:color="auto"/>
        <w:bottom w:val="none" w:sz="0" w:space="0" w:color="auto"/>
        <w:right w:val="none" w:sz="0" w:space="0" w:color="auto"/>
      </w:divBdr>
    </w:div>
    <w:div w:id="73402100">
      <w:bodyDiv w:val="1"/>
      <w:marLeft w:val="0"/>
      <w:marRight w:val="0"/>
      <w:marTop w:val="0"/>
      <w:marBottom w:val="0"/>
      <w:divBdr>
        <w:top w:val="none" w:sz="0" w:space="0" w:color="auto"/>
        <w:left w:val="none" w:sz="0" w:space="0" w:color="auto"/>
        <w:bottom w:val="none" w:sz="0" w:space="0" w:color="auto"/>
        <w:right w:val="none" w:sz="0" w:space="0" w:color="auto"/>
      </w:divBdr>
    </w:div>
    <w:div w:id="239288759">
      <w:bodyDiv w:val="1"/>
      <w:marLeft w:val="0"/>
      <w:marRight w:val="0"/>
      <w:marTop w:val="0"/>
      <w:marBottom w:val="0"/>
      <w:divBdr>
        <w:top w:val="none" w:sz="0" w:space="0" w:color="auto"/>
        <w:left w:val="none" w:sz="0" w:space="0" w:color="auto"/>
        <w:bottom w:val="none" w:sz="0" w:space="0" w:color="auto"/>
        <w:right w:val="none" w:sz="0" w:space="0" w:color="auto"/>
      </w:divBdr>
    </w:div>
    <w:div w:id="256795077">
      <w:bodyDiv w:val="1"/>
      <w:marLeft w:val="0"/>
      <w:marRight w:val="0"/>
      <w:marTop w:val="0"/>
      <w:marBottom w:val="0"/>
      <w:divBdr>
        <w:top w:val="none" w:sz="0" w:space="0" w:color="auto"/>
        <w:left w:val="none" w:sz="0" w:space="0" w:color="auto"/>
        <w:bottom w:val="none" w:sz="0" w:space="0" w:color="auto"/>
        <w:right w:val="none" w:sz="0" w:space="0" w:color="auto"/>
      </w:divBdr>
    </w:div>
    <w:div w:id="263155073">
      <w:bodyDiv w:val="1"/>
      <w:marLeft w:val="0"/>
      <w:marRight w:val="0"/>
      <w:marTop w:val="0"/>
      <w:marBottom w:val="0"/>
      <w:divBdr>
        <w:top w:val="none" w:sz="0" w:space="0" w:color="auto"/>
        <w:left w:val="none" w:sz="0" w:space="0" w:color="auto"/>
        <w:bottom w:val="none" w:sz="0" w:space="0" w:color="auto"/>
        <w:right w:val="none" w:sz="0" w:space="0" w:color="auto"/>
      </w:divBdr>
    </w:div>
    <w:div w:id="298802644">
      <w:bodyDiv w:val="1"/>
      <w:marLeft w:val="0"/>
      <w:marRight w:val="0"/>
      <w:marTop w:val="0"/>
      <w:marBottom w:val="0"/>
      <w:divBdr>
        <w:top w:val="none" w:sz="0" w:space="0" w:color="auto"/>
        <w:left w:val="none" w:sz="0" w:space="0" w:color="auto"/>
        <w:bottom w:val="none" w:sz="0" w:space="0" w:color="auto"/>
        <w:right w:val="none" w:sz="0" w:space="0" w:color="auto"/>
      </w:divBdr>
    </w:div>
    <w:div w:id="343751321">
      <w:bodyDiv w:val="1"/>
      <w:marLeft w:val="0"/>
      <w:marRight w:val="0"/>
      <w:marTop w:val="0"/>
      <w:marBottom w:val="0"/>
      <w:divBdr>
        <w:top w:val="none" w:sz="0" w:space="0" w:color="auto"/>
        <w:left w:val="none" w:sz="0" w:space="0" w:color="auto"/>
        <w:bottom w:val="none" w:sz="0" w:space="0" w:color="auto"/>
        <w:right w:val="none" w:sz="0" w:space="0" w:color="auto"/>
      </w:divBdr>
    </w:div>
    <w:div w:id="366610354">
      <w:bodyDiv w:val="1"/>
      <w:marLeft w:val="0"/>
      <w:marRight w:val="0"/>
      <w:marTop w:val="0"/>
      <w:marBottom w:val="0"/>
      <w:divBdr>
        <w:top w:val="none" w:sz="0" w:space="0" w:color="auto"/>
        <w:left w:val="none" w:sz="0" w:space="0" w:color="auto"/>
        <w:bottom w:val="none" w:sz="0" w:space="0" w:color="auto"/>
        <w:right w:val="none" w:sz="0" w:space="0" w:color="auto"/>
      </w:divBdr>
    </w:div>
    <w:div w:id="450978623">
      <w:bodyDiv w:val="1"/>
      <w:marLeft w:val="0"/>
      <w:marRight w:val="0"/>
      <w:marTop w:val="0"/>
      <w:marBottom w:val="0"/>
      <w:divBdr>
        <w:top w:val="none" w:sz="0" w:space="0" w:color="auto"/>
        <w:left w:val="none" w:sz="0" w:space="0" w:color="auto"/>
        <w:bottom w:val="none" w:sz="0" w:space="0" w:color="auto"/>
        <w:right w:val="none" w:sz="0" w:space="0" w:color="auto"/>
      </w:divBdr>
    </w:div>
    <w:div w:id="653220477">
      <w:bodyDiv w:val="1"/>
      <w:marLeft w:val="0"/>
      <w:marRight w:val="0"/>
      <w:marTop w:val="0"/>
      <w:marBottom w:val="0"/>
      <w:divBdr>
        <w:top w:val="none" w:sz="0" w:space="0" w:color="auto"/>
        <w:left w:val="none" w:sz="0" w:space="0" w:color="auto"/>
        <w:bottom w:val="none" w:sz="0" w:space="0" w:color="auto"/>
        <w:right w:val="none" w:sz="0" w:space="0" w:color="auto"/>
      </w:divBdr>
    </w:div>
    <w:div w:id="658390432">
      <w:bodyDiv w:val="1"/>
      <w:marLeft w:val="0"/>
      <w:marRight w:val="0"/>
      <w:marTop w:val="0"/>
      <w:marBottom w:val="0"/>
      <w:divBdr>
        <w:top w:val="none" w:sz="0" w:space="0" w:color="auto"/>
        <w:left w:val="none" w:sz="0" w:space="0" w:color="auto"/>
        <w:bottom w:val="none" w:sz="0" w:space="0" w:color="auto"/>
        <w:right w:val="none" w:sz="0" w:space="0" w:color="auto"/>
      </w:divBdr>
    </w:div>
    <w:div w:id="847714222">
      <w:bodyDiv w:val="1"/>
      <w:marLeft w:val="0"/>
      <w:marRight w:val="0"/>
      <w:marTop w:val="0"/>
      <w:marBottom w:val="0"/>
      <w:divBdr>
        <w:top w:val="none" w:sz="0" w:space="0" w:color="auto"/>
        <w:left w:val="none" w:sz="0" w:space="0" w:color="auto"/>
        <w:bottom w:val="none" w:sz="0" w:space="0" w:color="auto"/>
        <w:right w:val="none" w:sz="0" w:space="0" w:color="auto"/>
      </w:divBdr>
    </w:div>
    <w:div w:id="879632541">
      <w:bodyDiv w:val="1"/>
      <w:marLeft w:val="0"/>
      <w:marRight w:val="0"/>
      <w:marTop w:val="0"/>
      <w:marBottom w:val="0"/>
      <w:divBdr>
        <w:top w:val="none" w:sz="0" w:space="0" w:color="auto"/>
        <w:left w:val="none" w:sz="0" w:space="0" w:color="auto"/>
        <w:bottom w:val="none" w:sz="0" w:space="0" w:color="auto"/>
        <w:right w:val="none" w:sz="0" w:space="0" w:color="auto"/>
      </w:divBdr>
    </w:div>
    <w:div w:id="1066418465">
      <w:bodyDiv w:val="1"/>
      <w:marLeft w:val="0"/>
      <w:marRight w:val="0"/>
      <w:marTop w:val="0"/>
      <w:marBottom w:val="0"/>
      <w:divBdr>
        <w:top w:val="none" w:sz="0" w:space="0" w:color="auto"/>
        <w:left w:val="none" w:sz="0" w:space="0" w:color="auto"/>
        <w:bottom w:val="none" w:sz="0" w:space="0" w:color="auto"/>
        <w:right w:val="none" w:sz="0" w:space="0" w:color="auto"/>
      </w:divBdr>
    </w:div>
    <w:div w:id="1133718059">
      <w:bodyDiv w:val="1"/>
      <w:marLeft w:val="0"/>
      <w:marRight w:val="0"/>
      <w:marTop w:val="0"/>
      <w:marBottom w:val="0"/>
      <w:divBdr>
        <w:top w:val="none" w:sz="0" w:space="0" w:color="auto"/>
        <w:left w:val="none" w:sz="0" w:space="0" w:color="auto"/>
        <w:bottom w:val="none" w:sz="0" w:space="0" w:color="auto"/>
        <w:right w:val="none" w:sz="0" w:space="0" w:color="auto"/>
      </w:divBdr>
    </w:div>
    <w:div w:id="1343892255">
      <w:bodyDiv w:val="1"/>
      <w:marLeft w:val="0"/>
      <w:marRight w:val="0"/>
      <w:marTop w:val="0"/>
      <w:marBottom w:val="0"/>
      <w:divBdr>
        <w:top w:val="none" w:sz="0" w:space="0" w:color="auto"/>
        <w:left w:val="none" w:sz="0" w:space="0" w:color="auto"/>
        <w:bottom w:val="none" w:sz="0" w:space="0" w:color="auto"/>
        <w:right w:val="none" w:sz="0" w:space="0" w:color="auto"/>
      </w:divBdr>
    </w:div>
    <w:div w:id="1457606414">
      <w:bodyDiv w:val="1"/>
      <w:marLeft w:val="0"/>
      <w:marRight w:val="0"/>
      <w:marTop w:val="0"/>
      <w:marBottom w:val="0"/>
      <w:divBdr>
        <w:top w:val="none" w:sz="0" w:space="0" w:color="auto"/>
        <w:left w:val="none" w:sz="0" w:space="0" w:color="auto"/>
        <w:bottom w:val="none" w:sz="0" w:space="0" w:color="auto"/>
        <w:right w:val="none" w:sz="0" w:space="0" w:color="auto"/>
      </w:divBdr>
    </w:div>
    <w:div w:id="1808662954">
      <w:bodyDiv w:val="1"/>
      <w:marLeft w:val="0"/>
      <w:marRight w:val="0"/>
      <w:marTop w:val="0"/>
      <w:marBottom w:val="0"/>
      <w:divBdr>
        <w:top w:val="none" w:sz="0" w:space="0" w:color="auto"/>
        <w:left w:val="none" w:sz="0" w:space="0" w:color="auto"/>
        <w:bottom w:val="none" w:sz="0" w:space="0" w:color="auto"/>
        <w:right w:val="none" w:sz="0" w:space="0" w:color="auto"/>
      </w:divBdr>
    </w:div>
    <w:div w:id="1860194627">
      <w:bodyDiv w:val="1"/>
      <w:marLeft w:val="0"/>
      <w:marRight w:val="0"/>
      <w:marTop w:val="0"/>
      <w:marBottom w:val="0"/>
      <w:divBdr>
        <w:top w:val="none" w:sz="0" w:space="0" w:color="auto"/>
        <w:left w:val="none" w:sz="0" w:space="0" w:color="auto"/>
        <w:bottom w:val="none" w:sz="0" w:space="0" w:color="auto"/>
        <w:right w:val="none" w:sz="0" w:space="0" w:color="auto"/>
      </w:divBdr>
    </w:div>
    <w:div w:id="1879121032">
      <w:bodyDiv w:val="1"/>
      <w:marLeft w:val="0"/>
      <w:marRight w:val="0"/>
      <w:marTop w:val="0"/>
      <w:marBottom w:val="0"/>
      <w:divBdr>
        <w:top w:val="none" w:sz="0" w:space="0" w:color="auto"/>
        <w:left w:val="none" w:sz="0" w:space="0" w:color="auto"/>
        <w:bottom w:val="none" w:sz="0" w:space="0" w:color="auto"/>
        <w:right w:val="none" w:sz="0" w:space="0" w:color="auto"/>
      </w:divBdr>
    </w:div>
    <w:div w:id="1953978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image" Target="media/image5.png"/><Relationship Id="rId26" Type="http://schemas.openxmlformats.org/officeDocument/2006/relationships/hyperlink" Target="http://www.bmv.com.mx" TargetMode="External"/><Relationship Id="rId39" Type="http://schemas.openxmlformats.org/officeDocument/2006/relationships/hyperlink" Target="https://www.bbva.es/TLBS/cursowarrants/" TargetMode="External"/><Relationship Id="rId21" Type="http://schemas.openxmlformats.org/officeDocument/2006/relationships/image" Target="media/image8.png"/><Relationship Id="rId34" Type="http://schemas.openxmlformats.org/officeDocument/2006/relationships/hyperlink" Target="http://www.promexico.gob.mx" TargetMode="External"/><Relationship Id="rId42" Type="http://schemas.openxmlformats.org/officeDocument/2006/relationships/hyperlink" Target="http://www.banxico.org.mx/sistema-financiero/material-educativo/intermedio/riesgos/%7BA5059B92-176D-0BB6-2958-7257E2799FAD%7D.pdf" TargetMode="External"/><Relationship Id="rId47" Type="http://schemas.openxmlformats.org/officeDocument/2006/relationships/hyperlink" Target="http://www.cnbv.gob.mx/Normatividad/Ley%20de%20la%20Comisi&#243;n%20Nacional%20Bancaria%20y%20de%20Valores.pdf" TargetMode="External"/><Relationship Id="rId50" Type="http://schemas.openxmlformats.org/officeDocument/2006/relationships/hyperlink" Target="http://www.amaii.com.mx/AMAII/Portal/cfpages/" TargetMode="External"/><Relationship Id="rId55"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diagramLayout" Target="diagrams/layout1.xml"/><Relationship Id="rId17" Type="http://schemas.openxmlformats.org/officeDocument/2006/relationships/image" Target="media/image4.png"/><Relationship Id="rId25" Type="http://schemas.openxmlformats.org/officeDocument/2006/relationships/hyperlink" Target="http://www.cnbv.gob.mx" TargetMode="External"/><Relationship Id="rId33" Type="http://schemas.openxmlformats.org/officeDocument/2006/relationships/hyperlink" Target="http://www.ipab.org.mx" TargetMode="External"/><Relationship Id="rId38" Type="http://schemas.openxmlformats.org/officeDocument/2006/relationships/hyperlink" Target="http://www.bmv.com.mx/wb3/wb/BMV/BMV_deuda_a_largo_plazo" TargetMode="External"/><Relationship Id="rId46" Type="http://schemas.openxmlformats.org/officeDocument/2006/relationships/hyperlink" Target="http://www.banxico.org.mx/acerca-del-banco-de-mexico/semblanza-historica.html" TargetMode="Externa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emf"/><Relationship Id="rId29" Type="http://schemas.openxmlformats.org/officeDocument/2006/relationships/hyperlink" Target="http://www.banxico.org.mx" TargetMode="External"/><Relationship Id="rId41" Type="http://schemas.openxmlformats.org/officeDocument/2006/relationships/hyperlink" Target="http://segurosypensionesparatodos.fundacionmapfre.org/"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Data" Target="diagrams/data1.xml"/><Relationship Id="rId24" Type="http://schemas.openxmlformats.org/officeDocument/2006/relationships/hyperlink" Target="http://www.juridicas.unam.mx" TargetMode="External"/><Relationship Id="rId32" Type="http://schemas.openxmlformats.org/officeDocument/2006/relationships/hyperlink" Target="http://www.condusef.gob.mx" TargetMode="External"/><Relationship Id="rId37" Type="http://schemas.openxmlformats.org/officeDocument/2006/relationships/hyperlink" Target="http://www.divisasforex.com" TargetMode="External"/><Relationship Id="rId40" Type="http://schemas.openxmlformats.org/officeDocument/2006/relationships/hyperlink" Target="http://www.bmv.com.mx/wb3/wb/BMV/caracteristicas_generales" TargetMode="External"/><Relationship Id="rId45" Type="http://schemas.openxmlformats.org/officeDocument/2006/relationships/hyperlink" Target="http://www.shcp.gob.mx/apartadoshaciendaparatodos/banca_desarrollo/index.html" TargetMode="External"/><Relationship Id="rId53" Type="http://schemas.openxmlformats.org/officeDocument/2006/relationships/footer" Target="footer1.xml"/><Relationship Id="rId5" Type="http://schemas.openxmlformats.org/officeDocument/2006/relationships/settings" Target="settings.xml"/><Relationship Id="rId15" Type="http://schemas.microsoft.com/office/2007/relationships/diagramDrawing" Target="diagrams/drawing1.xml"/><Relationship Id="rId23" Type="http://schemas.openxmlformats.org/officeDocument/2006/relationships/hyperlink" Target="http://biblio.juridicas.unam.mx" TargetMode="External"/><Relationship Id="rId28" Type="http://schemas.openxmlformats.org/officeDocument/2006/relationships/hyperlink" Target="http://www.amaii.com.mx" TargetMode="External"/><Relationship Id="rId36" Type="http://schemas.openxmlformats.org/officeDocument/2006/relationships/hyperlink" Target="http://www.bancomer.com" TargetMode="External"/><Relationship Id="rId49" Type="http://schemas.openxmlformats.org/officeDocument/2006/relationships/hyperlink" Target="http://www.internetworldstats.com" TargetMode="External"/><Relationship Id="rId10" Type="http://schemas.openxmlformats.org/officeDocument/2006/relationships/image" Target="media/image2.png"/><Relationship Id="rId19" Type="http://schemas.openxmlformats.org/officeDocument/2006/relationships/image" Target="media/image6.emf"/><Relationship Id="rId31" Type="http://schemas.openxmlformats.org/officeDocument/2006/relationships/hyperlink" Target="http://www.cnsf.gob.mx" TargetMode="External"/><Relationship Id="rId44" Type="http://schemas.openxmlformats.org/officeDocument/2006/relationships/hyperlink" Target="https://www.abm.org.mx/la-banca-en-mexico/index.htm" TargetMode="External"/><Relationship Id="rId52" Type="http://schemas.openxmlformats.org/officeDocument/2006/relationships/hyperlink" Target="https://www.uaeh.edu.mx/docencia"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Colors" Target="diagrams/colors1.xml"/><Relationship Id="rId22" Type="http://schemas.openxmlformats.org/officeDocument/2006/relationships/image" Target="media/image9.png"/><Relationship Id="rId27" Type="http://schemas.openxmlformats.org/officeDocument/2006/relationships/hyperlink" Target="http://www.amib.com.mx" TargetMode="External"/><Relationship Id="rId30" Type="http://schemas.openxmlformats.org/officeDocument/2006/relationships/hyperlink" Target="http://www.consar.gob.mx" TargetMode="External"/><Relationship Id="rId35" Type="http://schemas.openxmlformats.org/officeDocument/2006/relationships/hyperlink" Target="http://www.ciep.itam.mx" TargetMode="External"/><Relationship Id="rId43" Type="http://schemas.openxmlformats.org/officeDocument/2006/relationships/hyperlink" Target="http://eleconomista.com.mx/finanzas-personales/2013/05/23/guia-sobre-fondos-inversion-principiantes" TargetMode="External"/><Relationship Id="rId48" Type="http://schemas.openxmlformats.org/officeDocument/2006/relationships/hyperlink" Target="http://data.worldbank.org/indicator/FS.AST.PRVT.GD.ZS" TargetMode="External"/><Relationship Id="rId8" Type="http://schemas.openxmlformats.org/officeDocument/2006/relationships/endnotes" Target="endnotes.xml"/><Relationship Id="rId51" Type="http://schemas.openxmlformats.org/officeDocument/2006/relationships/hyperlink" Target="http://www.banxico.org.mx/portal-mercado-cambiario/index.html" TargetMode="External"/><Relationship Id="rId3"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375B5F6-D213-47B0-A204-3EC1BFAE3FCC}" type="doc">
      <dgm:prSet loTypeId="urn:microsoft.com/office/officeart/2008/layout/HorizontalMultiLevelHierarchy" loCatId="hierarchy" qsTypeId="urn:microsoft.com/office/officeart/2005/8/quickstyle/3d1" qsCatId="3D" csTypeId="urn:microsoft.com/office/officeart/2005/8/colors/colorful1" csCatId="colorful" phldr="1"/>
      <dgm:spPr/>
      <dgm:t>
        <a:bodyPr/>
        <a:lstStyle/>
        <a:p>
          <a:endParaRPr lang="es-MX"/>
        </a:p>
      </dgm:t>
    </dgm:pt>
    <dgm:pt modelId="{203CA77D-F505-48E7-99A5-E45EE2DDE620}">
      <dgm:prSet phldrT="[Texto]" custT="1"/>
      <dgm:spPr/>
      <dgm:t>
        <a:bodyPr/>
        <a:lstStyle/>
        <a:p>
          <a:r>
            <a:rPr lang="es-MX" sz="1600"/>
            <a:t>Sistema Financiero Mexicano</a:t>
          </a:r>
        </a:p>
      </dgm:t>
    </dgm:pt>
    <dgm:pt modelId="{89A9870D-3B90-4A06-BD67-A91C78D860A5}" type="parTrans" cxnId="{1A4063AB-EAB0-48D2-A019-FD07E769716B}">
      <dgm:prSet/>
      <dgm:spPr/>
      <dgm:t>
        <a:bodyPr/>
        <a:lstStyle/>
        <a:p>
          <a:endParaRPr lang="es-MX"/>
        </a:p>
      </dgm:t>
    </dgm:pt>
    <dgm:pt modelId="{FE3812BC-6155-4521-AA7A-C845986057B7}" type="sibTrans" cxnId="{1A4063AB-EAB0-48D2-A019-FD07E769716B}">
      <dgm:prSet/>
      <dgm:spPr/>
      <dgm:t>
        <a:bodyPr/>
        <a:lstStyle/>
        <a:p>
          <a:endParaRPr lang="es-MX"/>
        </a:p>
      </dgm:t>
    </dgm:pt>
    <dgm:pt modelId="{97F644E1-8A04-410B-84EE-276710926C92}">
      <dgm:prSet phldrT="[Texto]"/>
      <dgm:spPr>
        <a:solidFill>
          <a:schemeClr val="accent3">
            <a:lumMod val="75000"/>
          </a:schemeClr>
        </a:solidFill>
      </dgm:spPr>
      <dgm:t>
        <a:bodyPr/>
        <a:lstStyle/>
        <a:p>
          <a:r>
            <a:rPr lang="es-MX"/>
            <a:t>1. Sistema Bursátil Mexicano</a:t>
          </a:r>
        </a:p>
      </dgm:t>
    </dgm:pt>
    <dgm:pt modelId="{8C6E112C-0234-42C4-BF95-78560467E174}" type="parTrans" cxnId="{02EFA25D-99EC-4338-A4C2-43E4D30E982B}">
      <dgm:prSet/>
      <dgm:spPr/>
      <dgm:t>
        <a:bodyPr/>
        <a:lstStyle/>
        <a:p>
          <a:endParaRPr lang="es-MX"/>
        </a:p>
      </dgm:t>
    </dgm:pt>
    <dgm:pt modelId="{B25AC525-7245-40E0-A614-443A3FA41387}" type="sibTrans" cxnId="{02EFA25D-99EC-4338-A4C2-43E4D30E982B}">
      <dgm:prSet/>
      <dgm:spPr/>
      <dgm:t>
        <a:bodyPr/>
        <a:lstStyle/>
        <a:p>
          <a:endParaRPr lang="es-MX"/>
        </a:p>
      </dgm:t>
    </dgm:pt>
    <dgm:pt modelId="{7053EB93-84DC-4BBD-A979-8007B82B4F24}">
      <dgm:prSet phldrT="[Texto]"/>
      <dgm:spPr>
        <a:solidFill>
          <a:schemeClr val="accent6">
            <a:lumMod val="75000"/>
          </a:schemeClr>
        </a:solidFill>
      </dgm:spPr>
      <dgm:t>
        <a:bodyPr/>
        <a:lstStyle/>
        <a:p>
          <a:r>
            <a:rPr lang="es-MX"/>
            <a:t>2. Sistema Bancario Mexicano</a:t>
          </a:r>
        </a:p>
      </dgm:t>
    </dgm:pt>
    <dgm:pt modelId="{6AF3B604-F8FD-48BC-98E9-64F1F0152E1E}" type="parTrans" cxnId="{2D36F7EA-C5A0-429F-92BF-B158BF3B7DE7}">
      <dgm:prSet/>
      <dgm:spPr/>
      <dgm:t>
        <a:bodyPr/>
        <a:lstStyle/>
        <a:p>
          <a:endParaRPr lang="es-MX"/>
        </a:p>
      </dgm:t>
    </dgm:pt>
    <dgm:pt modelId="{7021355E-8731-45D7-AFC9-2771B8E85627}" type="sibTrans" cxnId="{2D36F7EA-C5A0-429F-92BF-B158BF3B7DE7}">
      <dgm:prSet/>
      <dgm:spPr/>
      <dgm:t>
        <a:bodyPr/>
        <a:lstStyle/>
        <a:p>
          <a:endParaRPr lang="es-MX"/>
        </a:p>
      </dgm:t>
    </dgm:pt>
    <dgm:pt modelId="{1224E64B-AB7C-4C10-A458-43F6849BD724}">
      <dgm:prSet phldrT="[Texto]"/>
      <dgm:spPr/>
      <dgm:t>
        <a:bodyPr/>
        <a:lstStyle/>
        <a:p>
          <a:r>
            <a:rPr lang="es-MX"/>
            <a:t>3. Organismos Reguladores</a:t>
          </a:r>
        </a:p>
      </dgm:t>
    </dgm:pt>
    <dgm:pt modelId="{AFA4B58D-60D8-4D6B-8A9A-AC1E6F9B60FD}" type="parTrans" cxnId="{13FE3E2A-24D9-4318-B49A-E3A750B5C50D}">
      <dgm:prSet/>
      <dgm:spPr/>
      <dgm:t>
        <a:bodyPr/>
        <a:lstStyle/>
        <a:p>
          <a:endParaRPr lang="es-MX"/>
        </a:p>
      </dgm:t>
    </dgm:pt>
    <dgm:pt modelId="{64F6A9BB-BB2C-4D1D-98BA-09BD396633D8}" type="sibTrans" cxnId="{13FE3E2A-24D9-4318-B49A-E3A750B5C50D}">
      <dgm:prSet/>
      <dgm:spPr/>
      <dgm:t>
        <a:bodyPr/>
        <a:lstStyle/>
        <a:p>
          <a:endParaRPr lang="es-MX"/>
        </a:p>
      </dgm:t>
    </dgm:pt>
    <dgm:pt modelId="{76531BCD-0105-4CBB-8AD5-3E391D9371D9}">
      <dgm:prSet phldrT="[Texto]"/>
      <dgm:spPr>
        <a:solidFill>
          <a:schemeClr val="tx2">
            <a:lumMod val="60000"/>
            <a:lumOff val="40000"/>
          </a:schemeClr>
        </a:solidFill>
      </dgm:spPr>
      <dgm:t>
        <a:bodyPr/>
        <a:lstStyle/>
        <a:p>
          <a:r>
            <a:rPr lang="es-MX"/>
            <a:t>4. Otras figuras Financieras</a:t>
          </a:r>
        </a:p>
      </dgm:t>
    </dgm:pt>
    <dgm:pt modelId="{0709A312-A45C-426C-8D55-8F4020B63461}" type="parTrans" cxnId="{FE1A836E-5FCF-407B-99D5-8B291989813D}">
      <dgm:prSet/>
      <dgm:spPr/>
      <dgm:t>
        <a:bodyPr/>
        <a:lstStyle/>
        <a:p>
          <a:endParaRPr lang="es-MX"/>
        </a:p>
      </dgm:t>
    </dgm:pt>
    <dgm:pt modelId="{1D4B7E00-4560-4339-AF7B-0A7F573A4884}" type="sibTrans" cxnId="{FE1A836E-5FCF-407B-99D5-8B291989813D}">
      <dgm:prSet/>
      <dgm:spPr/>
      <dgm:t>
        <a:bodyPr/>
        <a:lstStyle/>
        <a:p>
          <a:endParaRPr lang="es-MX"/>
        </a:p>
      </dgm:t>
    </dgm:pt>
    <dgm:pt modelId="{57E4989E-7F3B-470C-9010-2D30030E8DD8}" type="pres">
      <dgm:prSet presAssocID="{D375B5F6-D213-47B0-A204-3EC1BFAE3FCC}" presName="Name0" presStyleCnt="0">
        <dgm:presLayoutVars>
          <dgm:chPref val="1"/>
          <dgm:dir/>
          <dgm:animOne val="branch"/>
          <dgm:animLvl val="lvl"/>
          <dgm:resizeHandles val="exact"/>
        </dgm:presLayoutVars>
      </dgm:prSet>
      <dgm:spPr/>
      <dgm:t>
        <a:bodyPr/>
        <a:lstStyle/>
        <a:p>
          <a:endParaRPr lang="es-MX"/>
        </a:p>
      </dgm:t>
    </dgm:pt>
    <dgm:pt modelId="{75BC0ED6-02D3-4420-8433-8879BE751AC6}" type="pres">
      <dgm:prSet presAssocID="{203CA77D-F505-48E7-99A5-E45EE2DDE620}" presName="root1" presStyleCnt="0"/>
      <dgm:spPr/>
    </dgm:pt>
    <dgm:pt modelId="{09DAA27F-C2D2-4904-88CA-52A1740F788B}" type="pres">
      <dgm:prSet presAssocID="{203CA77D-F505-48E7-99A5-E45EE2DDE620}" presName="LevelOneTextNode" presStyleLbl="node0" presStyleIdx="0" presStyleCnt="1" custScaleX="142385">
        <dgm:presLayoutVars>
          <dgm:chPref val="3"/>
        </dgm:presLayoutVars>
      </dgm:prSet>
      <dgm:spPr/>
      <dgm:t>
        <a:bodyPr/>
        <a:lstStyle/>
        <a:p>
          <a:endParaRPr lang="es-MX"/>
        </a:p>
      </dgm:t>
    </dgm:pt>
    <dgm:pt modelId="{173D55F7-4F2F-4B9E-A3BF-BD3265A7686C}" type="pres">
      <dgm:prSet presAssocID="{203CA77D-F505-48E7-99A5-E45EE2DDE620}" presName="level2hierChild" presStyleCnt="0"/>
      <dgm:spPr/>
    </dgm:pt>
    <dgm:pt modelId="{9F89ED20-8337-4142-81BE-BE938D9BE449}" type="pres">
      <dgm:prSet presAssocID="{8C6E112C-0234-42C4-BF95-78560467E174}" presName="conn2-1" presStyleLbl="parChTrans1D2" presStyleIdx="0" presStyleCnt="4"/>
      <dgm:spPr/>
      <dgm:t>
        <a:bodyPr/>
        <a:lstStyle/>
        <a:p>
          <a:endParaRPr lang="es-MX"/>
        </a:p>
      </dgm:t>
    </dgm:pt>
    <dgm:pt modelId="{E621559D-E9CC-4A73-A8F6-5693EBC8FEE6}" type="pres">
      <dgm:prSet presAssocID="{8C6E112C-0234-42C4-BF95-78560467E174}" presName="connTx" presStyleLbl="parChTrans1D2" presStyleIdx="0" presStyleCnt="4"/>
      <dgm:spPr/>
      <dgm:t>
        <a:bodyPr/>
        <a:lstStyle/>
        <a:p>
          <a:endParaRPr lang="es-MX"/>
        </a:p>
      </dgm:t>
    </dgm:pt>
    <dgm:pt modelId="{F793198C-7AA2-4F7C-8A30-8F15CEE49D83}" type="pres">
      <dgm:prSet presAssocID="{97F644E1-8A04-410B-84EE-276710926C92}" presName="root2" presStyleCnt="0"/>
      <dgm:spPr/>
    </dgm:pt>
    <dgm:pt modelId="{14BC65FE-ED8F-45C8-92A6-5AEF6F0DDC05}" type="pres">
      <dgm:prSet presAssocID="{97F644E1-8A04-410B-84EE-276710926C92}" presName="LevelTwoTextNode" presStyleLbl="node2" presStyleIdx="0" presStyleCnt="4" custScaleX="258584">
        <dgm:presLayoutVars>
          <dgm:chPref val="3"/>
        </dgm:presLayoutVars>
      </dgm:prSet>
      <dgm:spPr/>
      <dgm:t>
        <a:bodyPr/>
        <a:lstStyle/>
        <a:p>
          <a:endParaRPr lang="es-MX"/>
        </a:p>
      </dgm:t>
    </dgm:pt>
    <dgm:pt modelId="{752DFA07-6A6D-4616-834D-55FB0D78C2A7}" type="pres">
      <dgm:prSet presAssocID="{97F644E1-8A04-410B-84EE-276710926C92}" presName="level3hierChild" presStyleCnt="0"/>
      <dgm:spPr/>
    </dgm:pt>
    <dgm:pt modelId="{EEF3C518-5B7A-4137-9B8E-B7D009A9414E}" type="pres">
      <dgm:prSet presAssocID="{6AF3B604-F8FD-48BC-98E9-64F1F0152E1E}" presName="conn2-1" presStyleLbl="parChTrans1D2" presStyleIdx="1" presStyleCnt="4"/>
      <dgm:spPr/>
      <dgm:t>
        <a:bodyPr/>
        <a:lstStyle/>
        <a:p>
          <a:endParaRPr lang="es-MX"/>
        </a:p>
      </dgm:t>
    </dgm:pt>
    <dgm:pt modelId="{15F64688-1F94-4573-95E3-B98C961FBE3B}" type="pres">
      <dgm:prSet presAssocID="{6AF3B604-F8FD-48BC-98E9-64F1F0152E1E}" presName="connTx" presStyleLbl="parChTrans1D2" presStyleIdx="1" presStyleCnt="4"/>
      <dgm:spPr/>
      <dgm:t>
        <a:bodyPr/>
        <a:lstStyle/>
        <a:p>
          <a:endParaRPr lang="es-MX"/>
        </a:p>
      </dgm:t>
    </dgm:pt>
    <dgm:pt modelId="{ABBF33F8-DD2A-4591-B6B4-48FE8120DF10}" type="pres">
      <dgm:prSet presAssocID="{7053EB93-84DC-4BBD-A979-8007B82B4F24}" presName="root2" presStyleCnt="0"/>
      <dgm:spPr/>
    </dgm:pt>
    <dgm:pt modelId="{6E63A57C-E05C-46C0-91AB-E17DA63AA0CE}" type="pres">
      <dgm:prSet presAssocID="{7053EB93-84DC-4BBD-A979-8007B82B4F24}" presName="LevelTwoTextNode" presStyleLbl="node2" presStyleIdx="1" presStyleCnt="4" custScaleX="258584">
        <dgm:presLayoutVars>
          <dgm:chPref val="3"/>
        </dgm:presLayoutVars>
      </dgm:prSet>
      <dgm:spPr/>
      <dgm:t>
        <a:bodyPr/>
        <a:lstStyle/>
        <a:p>
          <a:endParaRPr lang="es-MX"/>
        </a:p>
      </dgm:t>
    </dgm:pt>
    <dgm:pt modelId="{760DDDC3-FE43-4018-89FA-4390E6F16B7F}" type="pres">
      <dgm:prSet presAssocID="{7053EB93-84DC-4BBD-A979-8007B82B4F24}" presName="level3hierChild" presStyleCnt="0"/>
      <dgm:spPr/>
    </dgm:pt>
    <dgm:pt modelId="{53086CD6-E47C-47B2-843A-9B73A38B1715}" type="pres">
      <dgm:prSet presAssocID="{AFA4B58D-60D8-4D6B-8A9A-AC1E6F9B60FD}" presName="conn2-1" presStyleLbl="parChTrans1D2" presStyleIdx="2" presStyleCnt="4"/>
      <dgm:spPr/>
      <dgm:t>
        <a:bodyPr/>
        <a:lstStyle/>
        <a:p>
          <a:endParaRPr lang="es-MX"/>
        </a:p>
      </dgm:t>
    </dgm:pt>
    <dgm:pt modelId="{6DDA82B5-58EE-40C1-BAAD-065E3F411BE8}" type="pres">
      <dgm:prSet presAssocID="{AFA4B58D-60D8-4D6B-8A9A-AC1E6F9B60FD}" presName="connTx" presStyleLbl="parChTrans1D2" presStyleIdx="2" presStyleCnt="4"/>
      <dgm:spPr/>
      <dgm:t>
        <a:bodyPr/>
        <a:lstStyle/>
        <a:p>
          <a:endParaRPr lang="es-MX"/>
        </a:p>
      </dgm:t>
    </dgm:pt>
    <dgm:pt modelId="{C656E733-3A00-4C4D-AEF7-C5D7DADBE12E}" type="pres">
      <dgm:prSet presAssocID="{1224E64B-AB7C-4C10-A458-43F6849BD724}" presName="root2" presStyleCnt="0"/>
      <dgm:spPr/>
    </dgm:pt>
    <dgm:pt modelId="{DB4D6B10-5953-45E6-88A7-37DF539F8008}" type="pres">
      <dgm:prSet presAssocID="{1224E64B-AB7C-4C10-A458-43F6849BD724}" presName="LevelTwoTextNode" presStyleLbl="node2" presStyleIdx="2" presStyleCnt="4" custScaleX="258584">
        <dgm:presLayoutVars>
          <dgm:chPref val="3"/>
        </dgm:presLayoutVars>
      </dgm:prSet>
      <dgm:spPr/>
      <dgm:t>
        <a:bodyPr/>
        <a:lstStyle/>
        <a:p>
          <a:endParaRPr lang="es-MX"/>
        </a:p>
      </dgm:t>
    </dgm:pt>
    <dgm:pt modelId="{2672644E-1C6D-42BE-AA2D-9ED326FAA032}" type="pres">
      <dgm:prSet presAssocID="{1224E64B-AB7C-4C10-A458-43F6849BD724}" presName="level3hierChild" presStyleCnt="0"/>
      <dgm:spPr/>
    </dgm:pt>
    <dgm:pt modelId="{313ACDD2-5FF4-4999-A9D8-E33723ADE1CB}" type="pres">
      <dgm:prSet presAssocID="{0709A312-A45C-426C-8D55-8F4020B63461}" presName="conn2-1" presStyleLbl="parChTrans1D2" presStyleIdx="3" presStyleCnt="4"/>
      <dgm:spPr/>
      <dgm:t>
        <a:bodyPr/>
        <a:lstStyle/>
        <a:p>
          <a:endParaRPr lang="es-MX"/>
        </a:p>
      </dgm:t>
    </dgm:pt>
    <dgm:pt modelId="{5F530246-4FED-4890-AC31-ED43703B99AF}" type="pres">
      <dgm:prSet presAssocID="{0709A312-A45C-426C-8D55-8F4020B63461}" presName="connTx" presStyleLbl="parChTrans1D2" presStyleIdx="3" presStyleCnt="4"/>
      <dgm:spPr/>
      <dgm:t>
        <a:bodyPr/>
        <a:lstStyle/>
        <a:p>
          <a:endParaRPr lang="es-MX"/>
        </a:p>
      </dgm:t>
    </dgm:pt>
    <dgm:pt modelId="{9983542F-54B8-4319-A877-77C0253E1F46}" type="pres">
      <dgm:prSet presAssocID="{76531BCD-0105-4CBB-8AD5-3E391D9371D9}" presName="root2" presStyleCnt="0"/>
      <dgm:spPr/>
    </dgm:pt>
    <dgm:pt modelId="{09CF94F5-8EA4-4456-AE17-E5EF480E09DE}" type="pres">
      <dgm:prSet presAssocID="{76531BCD-0105-4CBB-8AD5-3E391D9371D9}" presName="LevelTwoTextNode" presStyleLbl="node2" presStyleIdx="3" presStyleCnt="4" custScaleX="258584">
        <dgm:presLayoutVars>
          <dgm:chPref val="3"/>
        </dgm:presLayoutVars>
      </dgm:prSet>
      <dgm:spPr/>
      <dgm:t>
        <a:bodyPr/>
        <a:lstStyle/>
        <a:p>
          <a:endParaRPr lang="es-MX"/>
        </a:p>
      </dgm:t>
    </dgm:pt>
    <dgm:pt modelId="{74F4B680-3A3B-4F94-B5A7-476F14574605}" type="pres">
      <dgm:prSet presAssocID="{76531BCD-0105-4CBB-8AD5-3E391D9371D9}" presName="level3hierChild" presStyleCnt="0"/>
      <dgm:spPr/>
    </dgm:pt>
  </dgm:ptLst>
  <dgm:cxnLst>
    <dgm:cxn modelId="{B6C4D26A-7EB5-4C64-8D1A-8EAD1D890937}" type="presOf" srcId="{8C6E112C-0234-42C4-BF95-78560467E174}" destId="{9F89ED20-8337-4142-81BE-BE938D9BE449}" srcOrd="0" destOrd="0" presId="urn:microsoft.com/office/officeart/2008/layout/HorizontalMultiLevelHierarchy"/>
    <dgm:cxn modelId="{F9D50FBB-574C-4584-8F36-B5B7ACB32535}" type="presOf" srcId="{203CA77D-F505-48E7-99A5-E45EE2DDE620}" destId="{09DAA27F-C2D2-4904-88CA-52A1740F788B}" srcOrd="0" destOrd="0" presId="urn:microsoft.com/office/officeart/2008/layout/HorizontalMultiLevelHierarchy"/>
    <dgm:cxn modelId="{B5EFB72F-841C-4CF5-965B-73A65C1FEE88}" type="presOf" srcId="{AFA4B58D-60D8-4D6B-8A9A-AC1E6F9B60FD}" destId="{53086CD6-E47C-47B2-843A-9B73A38B1715}" srcOrd="0" destOrd="0" presId="urn:microsoft.com/office/officeart/2008/layout/HorizontalMultiLevelHierarchy"/>
    <dgm:cxn modelId="{13FE3E2A-24D9-4318-B49A-E3A750B5C50D}" srcId="{203CA77D-F505-48E7-99A5-E45EE2DDE620}" destId="{1224E64B-AB7C-4C10-A458-43F6849BD724}" srcOrd="2" destOrd="0" parTransId="{AFA4B58D-60D8-4D6B-8A9A-AC1E6F9B60FD}" sibTransId="{64F6A9BB-BB2C-4D1D-98BA-09BD396633D8}"/>
    <dgm:cxn modelId="{311CF7B6-D644-4722-AFAF-620305B126C6}" type="presOf" srcId="{AFA4B58D-60D8-4D6B-8A9A-AC1E6F9B60FD}" destId="{6DDA82B5-58EE-40C1-BAAD-065E3F411BE8}" srcOrd="1" destOrd="0" presId="urn:microsoft.com/office/officeart/2008/layout/HorizontalMultiLevelHierarchy"/>
    <dgm:cxn modelId="{1A4063AB-EAB0-48D2-A019-FD07E769716B}" srcId="{D375B5F6-D213-47B0-A204-3EC1BFAE3FCC}" destId="{203CA77D-F505-48E7-99A5-E45EE2DDE620}" srcOrd="0" destOrd="0" parTransId="{89A9870D-3B90-4A06-BD67-A91C78D860A5}" sibTransId="{FE3812BC-6155-4521-AA7A-C845986057B7}"/>
    <dgm:cxn modelId="{02EFA25D-99EC-4338-A4C2-43E4D30E982B}" srcId="{203CA77D-F505-48E7-99A5-E45EE2DDE620}" destId="{97F644E1-8A04-410B-84EE-276710926C92}" srcOrd="0" destOrd="0" parTransId="{8C6E112C-0234-42C4-BF95-78560467E174}" sibTransId="{B25AC525-7245-40E0-A614-443A3FA41387}"/>
    <dgm:cxn modelId="{155ECA85-09D8-43F4-861B-19D4C124C9E7}" type="presOf" srcId="{6AF3B604-F8FD-48BC-98E9-64F1F0152E1E}" destId="{EEF3C518-5B7A-4137-9B8E-B7D009A9414E}" srcOrd="0" destOrd="0" presId="urn:microsoft.com/office/officeart/2008/layout/HorizontalMultiLevelHierarchy"/>
    <dgm:cxn modelId="{614FF9CF-ACAF-476A-A06A-59B8301E2D0C}" type="presOf" srcId="{D375B5F6-D213-47B0-A204-3EC1BFAE3FCC}" destId="{57E4989E-7F3B-470C-9010-2D30030E8DD8}" srcOrd="0" destOrd="0" presId="urn:microsoft.com/office/officeart/2008/layout/HorizontalMultiLevelHierarchy"/>
    <dgm:cxn modelId="{2D36F7EA-C5A0-429F-92BF-B158BF3B7DE7}" srcId="{203CA77D-F505-48E7-99A5-E45EE2DDE620}" destId="{7053EB93-84DC-4BBD-A979-8007B82B4F24}" srcOrd="1" destOrd="0" parTransId="{6AF3B604-F8FD-48BC-98E9-64F1F0152E1E}" sibTransId="{7021355E-8731-45D7-AFC9-2771B8E85627}"/>
    <dgm:cxn modelId="{FE1A836E-5FCF-407B-99D5-8B291989813D}" srcId="{203CA77D-F505-48E7-99A5-E45EE2DDE620}" destId="{76531BCD-0105-4CBB-8AD5-3E391D9371D9}" srcOrd="3" destOrd="0" parTransId="{0709A312-A45C-426C-8D55-8F4020B63461}" sibTransId="{1D4B7E00-4560-4339-AF7B-0A7F573A4884}"/>
    <dgm:cxn modelId="{7C174F0B-A347-4673-902B-A86B9804F3A2}" type="presOf" srcId="{7053EB93-84DC-4BBD-A979-8007B82B4F24}" destId="{6E63A57C-E05C-46C0-91AB-E17DA63AA0CE}" srcOrd="0" destOrd="0" presId="urn:microsoft.com/office/officeart/2008/layout/HorizontalMultiLevelHierarchy"/>
    <dgm:cxn modelId="{E38BA0BE-37CD-4E56-A330-7253BD4D2753}" type="presOf" srcId="{1224E64B-AB7C-4C10-A458-43F6849BD724}" destId="{DB4D6B10-5953-45E6-88A7-37DF539F8008}" srcOrd="0" destOrd="0" presId="urn:microsoft.com/office/officeart/2008/layout/HorizontalMultiLevelHierarchy"/>
    <dgm:cxn modelId="{D3A5B27B-0586-43D9-B93B-2C7D1E31A20D}" type="presOf" srcId="{76531BCD-0105-4CBB-8AD5-3E391D9371D9}" destId="{09CF94F5-8EA4-4456-AE17-E5EF480E09DE}" srcOrd="0" destOrd="0" presId="urn:microsoft.com/office/officeart/2008/layout/HorizontalMultiLevelHierarchy"/>
    <dgm:cxn modelId="{DB45002E-D345-4B82-801B-8BC13D04376B}" type="presOf" srcId="{97F644E1-8A04-410B-84EE-276710926C92}" destId="{14BC65FE-ED8F-45C8-92A6-5AEF6F0DDC05}" srcOrd="0" destOrd="0" presId="urn:microsoft.com/office/officeart/2008/layout/HorizontalMultiLevelHierarchy"/>
    <dgm:cxn modelId="{D44CBE02-A05D-421A-A1E0-5D22A306CF1A}" type="presOf" srcId="{8C6E112C-0234-42C4-BF95-78560467E174}" destId="{E621559D-E9CC-4A73-A8F6-5693EBC8FEE6}" srcOrd="1" destOrd="0" presId="urn:microsoft.com/office/officeart/2008/layout/HorizontalMultiLevelHierarchy"/>
    <dgm:cxn modelId="{BBF22902-D780-4E62-B7EC-AE5D93B14EA0}" type="presOf" srcId="{0709A312-A45C-426C-8D55-8F4020B63461}" destId="{5F530246-4FED-4890-AC31-ED43703B99AF}" srcOrd="1" destOrd="0" presId="urn:microsoft.com/office/officeart/2008/layout/HorizontalMultiLevelHierarchy"/>
    <dgm:cxn modelId="{2F9C7CFE-4DC9-40F4-8378-344ECBDC19D2}" type="presOf" srcId="{6AF3B604-F8FD-48BC-98E9-64F1F0152E1E}" destId="{15F64688-1F94-4573-95E3-B98C961FBE3B}" srcOrd="1" destOrd="0" presId="urn:microsoft.com/office/officeart/2008/layout/HorizontalMultiLevelHierarchy"/>
    <dgm:cxn modelId="{71F7D3CD-5139-43FB-B486-BACAF214D708}" type="presOf" srcId="{0709A312-A45C-426C-8D55-8F4020B63461}" destId="{313ACDD2-5FF4-4999-A9D8-E33723ADE1CB}" srcOrd="0" destOrd="0" presId="urn:microsoft.com/office/officeart/2008/layout/HorizontalMultiLevelHierarchy"/>
    <dgm:cxn modelId="{3AD48BC4-6279-4308-9C00-0299321B00C9}" type="presParOf" srcId="{57E4989E-7F3B-470C-9010-2D30030E8DD8}" destId="{75BC0ED6-02D3-4420-8433-8879BE751AC6}" srcOrd="0" destOrd="0" presId="urn:microsoft.com/office/officeart/2008/layout/HorizontalMultiLevelHierarchy"/>
    <dgm:cxn modelId="{8C1D5C7D-0E40-43B6-8090-A5A9AC41DD78}" type="presParOf" srcId="{75BC0ED6-02D3-4420-8433-8879BE751AC6}" destId="{09DAA27F-C2D2-4904-88CA-52A1740F788B}" srcOrd="0" destOrd="0" presId="urn:microsoft.com/office/officeart/2008/layout/HorizontalMultiLevelHierarchy"/>
    <dgm:cxn modelId="{E12B5003-499D-4125-89F0-A7701697F99F}" type="presParOf" srcId="{75BC0ED6-02D3-4420-8433-8879BE751AC6}" destId="{173D55F7-4F2F-4B9E-A3BF-BD3265A7686C}" srcOrd="1" destOrd="0" presId="urn:microsoft.com/office/officeart/2008/layout/HorizontalMultiLevelHierarchy"/>
    <dgm:cxn modelId="{1D2B2ADA-E537-4211-84DC-B3FB5FEBE8ED}" type="presParOf" srcId="{173D55F7-4F2F-4B9E-A3BF-BD3265A7686C}" destId="{9F89ED20-8337-4142-81BE-BE938D9BE449}" srcOrd="0" destOrd="0" presId="urn:microsoft.com/office/officeart/2008/layout/HorizontalMultiLevelHierarchy"/>
    <dgm:cxn modelId="{B507DED1-379A-4056-95D7-80B65A511D33}" type="presParOf" srcId="{9F89ED20-8337-4142-81BE-BE938D9BE449}" destId="{E621559D-E9CC-4A73-A8F6-5693EBC8FEE6}" srcOrd="0" destOrd="0" presId="urn:microsoft.com/office/officeart/2008/layout/HorizontalMultiLevelHierarchy"/>
    <dgm:cxn modelId="{E269DBEE-C0D4-4EF1-8F02-7739E7DDB9C6}" type="presParOf" srcId="{173D55F7-4F2F-4B9E-A3BF-BD3265A7686C}" destId="{F793198C-7AA2-4F7C-8A30-8F15CEE49D83}" srcOrd="1" destOrd="0" presId="urn:microsoft.com/office/officeart/2008/layout/HorizontalMultiLevelHierarchy"/>
    <dgm:cxn modelId="{47F1D8B9-DE31-49EF-BCD4-B67358878DAA}" type="presParOf" srcId="{F793198C-7AA2-4F7C-8A30-8F15CEE49D83}" destId="{14BC65FE-ED8F-45C8-92A6-5AEF6F0DDC05}" srcOrd="0" destOrd="0" presId="urn:microsoft.com/office/officeart/2008/layout/HorizontalMultiLevelHierarchy"/>
    <dgm:cxn modelId="{BF8AC078-3150-4ADF-AAF5-3FC18B4630DC}" type="presParOf" srcId="{F793198C-7AA2-4F7C-8A30-8F15CEE49D83}" destId="{752DFA07-6A6D-4616-834D-55FB0D78C2A7}" srcOrd="1" destOrd="0" presId="urn:microsoft.com/office/officeart/2008/layout/HorizontalMultiLevelHierarchy"/>
    <dgm:cxn modelId="{A7C2D83E-9E90-45E7-8E61-F8B7555173F0}" type="presParOf" srcId="{173D55F7-4F2F-4B9E-A3BF-BD3265A7686C}" destId="{EEF3C518-5B7A-4137-9B8E-B7D009A9414E}" srcOrd="2" destOrd="0" presId="urn:microsoft.com/office/officeart/2008/layout/HorizontalMultiLevelHierarchy"/>
    <dgm:cxn modelId="{657567BB-2480-47E2-8D6D-D6CC696C5632}" type="presParOf" srcId="{EEF3C518-5B7A-4137-9B8E-B7D009A9414E}" destId="{15F64688-1F94-4573-95E3-B98C961FBE3B}" srcOrd="0" destOrd="0" presId="urn:microsoft.com/office/officeart/2008/layout/HorizontalMultiLevelHierarchy"/>
    <dgm:cxn modelId="{8407FAA1-5388-4F92-82FF-F146CE102DE2}" type="presParOf" srcId="{173D55F7-4F2F-4B9E-A3BF-BD3265A7686C}" destId="{ABBF33F8-DD2A-4591-B6B4-48FE8120DF10}" srcOrd="3" destOrd="0" presId="urn:microsoft.com/office/officeart/2008/layout/HorizontalMultiLevelHierarchy"/>
    <dgm:cxn modelId="{2D6E993A-FF8E-4300-A4B0-67CDBE389399}" type="presParOf" srcId="{ABBF33F8-DD2A-4591-B6B4-48FE8120DF10}" destId="{6E63A57C-E05C-46C0-91AB-E17DA63AA0CE}" srcOrd="0" destOrd="0" presId="urn:microsoft.com/office/officeart/2008/layout/HorizontalMultiLevelHierarchy"/>
    <dgm:cxn modelId="{4DB15B2D-1320-4EC1-91E7-39BFF67B5D69}" type="presParOf" srcId="{ABBF33F8-DD2A-4591-B6B4-48FE8120DF10}" destId="{760DDDC3-FE43-4018-89FA-4390E6F16B7F}" srcOrd="1" destOrd="0" presId="urn:microsoft.com/office/officeart/2008/layout/HorizontalMultiLevelHierarchy"/>
    <dgm:cxn modelId="{3AECB6C7-6DBE-4337-8704-69AF60C26F54}" type="presParOf" srcId="{173D55F7-4F2F-4B9E-A3BF-BD3265A7686C}" destId="{53086CD6-E47C-47B2-843A-9B73A38B1715}" srcOrd="4" destOrd="0" presId="urn:microsoft.com/office/officeart/2008/layout/HorizontalMultiLevelHierarchy"/>
    <dgm:cxn modelId="{C634FE19-4065-4E7B-9A1F-CA1AB5A49AC3}" type="presParOf" srcId="{53086CD6-E47C-47B2-843A-9B73A38B1715}" destId="{6DDA82B5-58EE-40C1-BAAD-065E3F411BE8}" srcOrd="0" destOrd="0" presId="urn:microsoft.com/office/officeart/2008/layout/HorizontalMultiLevelHierarchy"/>
    <dgm:cxn modelId="{41AE0B33-7277-4D39-85A9-6A8AA8F39F15}" type="presParOf" srcId="{173D55F7-4F2F-4B9E-A3BF-BD3265A7686C}" destId="{C656E733-3A00-4C4D-AEF7-C5D7DADBE12E}" srcOrd="5" destOrd="0" presId="urn:microsoft.com/office/officeart/2008/layout/HorizontalMultiLevelHierarchy"/>
    <dgm:cxn modelId="{97C9BB39-009A-4064-8991-C50611F74D61}" type="presParOf" srcId="{C656E733-3A00-4C4D-AEF7-C5D7DADBE12E}" destId="{DB4D6B10-5953-45E6-88A7-37DF539F8008}" srcOrd="0" destOrd="0" presId="urn:microsoft.com/office/officeart/2008/layout/HorizontalMultiLevelHierarchy"/>
    <dgm:cxn modelId="{4106D4AF-241F-41EC-8D8F-1050C26AE107}" type="presParOf" srcId="{C656E733-3A00-4C4D-AEF7-C5D7DADBE12E}" destId="{2672644E-1C6D-42BE-AA2D-9ED326FAA032}" srcOrd="1" destOrd="0" presId="urn:microsoft.com/office/officeart/2008/layout/HorizontalMultiLevelHierarchy"/>
    <dgm:cxn modelId="{28FFF63A-89C5-416D-B0CD-0D74924D839A}" type="presParOf" srcId="{173D55F7-4F2F-4B9E-A3BF-BD3265A7686C}" destId="{313ACDD2-5FF4-4999-A9D8-E33723ADE1CB}" srcOrd="6" destOrd="0" presId="urn:microsoft.com/office/officeart/2008/layout/HorizontalMultiLevelHierarchy"/>
    <dgm:cxn modelId="{61FA7ECA-045A-4819-AE8D-C3B8C62660BB}" type="presParOf" srcId="{313ACDD2-5FF4-4999-A9D8-E33723ADE1CB}" destId="{5F530246-4FED-4890-AC31-ED43703B99AF}" srcOrd="0" destOrd="0" presId="urn:microsoft.com/office/officeart/2008/layout/HorizontalMultiLevelHierarchy"/>
    <dgm:cxn modelId="{2BCCF32C-68E9-44B2-B8A3-DCC1FF733396}" type="presParOf" srcId="{173D55F7-4F2F-4B9E-A3BF-BD3265A7686C}" destId="{9983542F-54B8-4319-A877-77C0253E1F46}" srcOrd="7" destOrd="0" presId="urn:microsoft.com/office/officeart/2008/layout/HorizontalMultiLevelHierarchy"/>
    <dgm:cxn modelId="{5E34FFE4-FEEE-4E98-9225-8E7D87CB81EB}" type="presParOf" srcId="{9983542F-54B8-4319-A877-77C0253E1F46}" destId="{09CF94F5-8EA4-4456-AE17-E5EF480E09DE}" srcOrd="0" destOrd="0" presId="urn:microsoft.com/office/officeart/2008/layout/HorizontalMultiLevelHierarchy"/>
    <dgm:cxn modelId="{165FC7B0-5E57-4B96-B4E6-68F9CCE0AA4A}" type="presParOf" srcId="{9983542F-54B8-4319-A877-77C0253E1F46}" destId="{74F4B680-3A3B-4F94-B5A7-476F14574605}" srcOrd="1" destOrd="0" presId="urn:microsoft.com/office/officeart/2008/layout/HorizontalMultiLevelHierarchy"/>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13ACDD2-5FF4-4999-A9D8-E33723ADE1CB}">
      <dsp:nvSpPr>
        <dsp:cNvPr id="0" name=""/>
        <dsp:cNvSpPr/>
      </dsp:nvSpPr>
      <dsp:spPr>
        <a:xfrm>
          <a:off x="1146139" y="1042987"/>
          <a:ext cx="259488" cy="741677"/>
        </a:xfrm>
        <a:custGeom>
          <a:avLst/>
          <a:gdLst/>
          <a:ahLst/>
          <a:cxnLst/>
          <a:rect l="0" t="0" r="0" b="0"/>
          <a:pathLst>
            <a:path>
              <a:moveTo>
                <a:pt x="0" y="0"/>
              </a:moveTo>
              <a:lnTo>
                <a:pt x="129744" y="0"/>
              </a:lnTo>
              <a:lnTo>
                <a:pt x="129744" y="741677"/>
              </a:lnTo>
              <a:lnTo>
                <a:pt x="259488" y="741677"/>
              </a:lnTo>
            </a:path>
          </a:pathLst>
        </a:custGeom>
        <a:noFill/>
        <a:ln w="25400" cap="flat" cmpd="sng" algn="ctr">
          <a:solidFill>
            <a:schemeClr val="accent2">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256240" y="1394182"/>
        <a:ext cx="39288" cy="39288"/>
      </dsp:txXfrm>
    </dsp:sp>
    <dsp:sp modelId="{53086CD6-E47C-47B2-843A-9B73A38B1715}">
      <dsp:nvSpPr>
        <dsp:cNvPr id="0" name=""/>
        <dsp:cNvSpPr/>
      </dsp:nvSpPr>
      <dsp:spPr>
        <a:xfrm>
          <a:off x="1146139" y="1042987"/>
          <a:ext cx="259488" cy="247225"/>
        </a:xfrm>
        <a:custGeom>
          <a:avLst/>
          <a:gdLst/>
          <a:ahLst/>
          <a:cxnLst/>
          <a:rect l="0" t="0" r="0" b="0"/>
          <a:pathLst>
            <a:path>
              <a:moveTo>
                <a:pt x="0" y="0"/>
              </a:moveTo>
              <a:lnTo>
                <a:pt x="129744" y="0"/>
              </a:lnTo>
              <a:lnTo>
                <a:pt x="129744" y="247225"/>
              </a:lnTo>
              <a:lnTo>
                <a:pt x="259488" y="247225"/>
              </a:lnTo>
            </a:path>
          </a:pathLst>
        </a:custGeom>
        <a:noFill/>
        <a:ln w="25400" cap="flat" cmpd="sng" algn="ctr">
          <a:solidFill>
            <a:schemeClr val="accent2">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266923" y="1157640"/>
        <a:ext cx="17920" cy="17920"/>
      </dsp:txXfrm>
    </dsp:sp>
    <dsp:sp modelId="{EEF3C518-5B7A-4137-9B8E-B7D009A9414E}">
      <dsp:nvSpPr>
        <dsp:cNvPr id="0" name=""/>
        <dsp:cNvSpPr/>
      </dsp:nvSpPr>
      <dsp:spPr>
        <a:xfrm>
          <a:off x="1146139" y="795761"/>
          <a:ext cx="259488" cy="247225"/>
        </a:xfrm>
        <a:custGeom>
          <a:avLst/>
          <a:gdLst/>
          <a:ahLst/>
          <a:cxnLst/>
          <a:rect l="0" t="0" r="0" b="0"/>
          <a:pathLst>
            <a:path>
              <a:moveTo>
                <a:pt x="0" y="247225"/>
              </a:moveTo>
              <a:lnTo>
                <a:pt x="129744" y="247225"/>
              </a:lnTo>
              <a:lnTo>
                <a:pt x="129744" y="0"/>
              </a:lnTo>
              <a:lnTo>
                <a:pt x="259488" y="0"/>
              </a:lnTo>
            </a:path>
          </a:pathLst>
        </a:custGeom>
        <a:noFill/>
        <a:ln w="25400" cap="flat" cmpd="sng" algn="ctr">
          <a:solidFill>
            <a:schemeClr val="accent2">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266923" y="910414"/>
        <a:ext cx="17920" cy="17920"/>
      </dsp:txXfrm>
    </dsp:sp>
    <dsp:sp modelId="{9F89ED20-8337-4142-81BE-BE938D9BE449}">
      <dsp:nvSpPr>
        <dsp:cNvPr id="0" name=""/>
        <dsp:cNvSpPr/>
      </dsp:nvSpPr>
      <dsp:spPr>
        <a:xfrm>
          <a:off x="1146139" y="301309"/>
          <a:ext cx="259488" cy="741677"/>
        </a:xfrm>
        <a:custGeom>
          <a:avLst/>
          <a:gdLst/>
          <a:ahLst/>
          <a:cxnLst/>
          <a:rect l="0" t="0" r="0" b="0"/>
          <a:pathLst>
            <a:path>
              <a:moveTo>
                <a:pt x="0" y="741677"/>
              </a:moveTo>
              <a:lnTo>
                <a:pt x="129744" y="741677"/>
              </a:lnTo>
              <a:lnTo>
                <a:pt x="129744" y="0"/>
              </a:lnTo>
              <a:lnTo>
                <a:pt x="259488" y="0"/>
              </a:lnTo>
            </a:path>
          </a:pathLst>
        </a:custGeom>
        <a:noFill/>
        <a:ln w="25400" cap="flat" cmpd="sng" algn="ctr">
          <a:solidFill>
            <a:schemeClr val="accent2">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256240" y="652504"/>
        <a:ext cx="39288" cy="39288"/>
      </dsp:txXfrm>
    </dsp:sp>
    <dsp:sp modelId="{09DAA27F-C2D2-4904-88CA-52A1740F788B}">
      <dsp:nvSpPr>
        <dsp:cNvPr id="0" name=""/>
        <dsp:cNvSpPr/>
      </dsp:nvSpPr>
      <dsp:spPr>
        <a:xfrm rot="16200000">
          <a:off x="-176421" y="761377"/>
          <a:ext cx="2081902" cy="563220"/>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s-MX" sz="1600" kern="1200"/>
            <a:t>Sistema Financiero Mexicano</a:t>
          </a:r>
        </a:p>
      </dsp:txBody>
      <dsp:txXfrm>
        <a:off x="-176421" y="761377"/>
        <a:ext cx="2081902" cy="563220"/>
      </dsp:txXfrm>
    </dsp:sp>
    <dsp:sp modelId="{14BC65FE-ED8F-45C8-92A6-5AEF6F0DDC05}">
      <dsp:nvSpPr>
        <dsp:cNvPr id="0" name=""/>
        <dsp:cNvSpPr/>
      </dsp:nvSpPr>
      <dsp:spPr>
        <a:xfrm>
          <a:off x="1405628" y="103528"/>
          <a:ext cx="3354976" cy="395561"/>
        </a:xfrm>
        <a:prstGeom prst="rect">
          <a:avLst/>
        </a:prstGeom>
        <a:solidFill>
          <a:schemeClr val="accent3">
            <a:lumMod val="7500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s-MX" sz="1300" kern="1200"/>
            <a:t>1. Sistema Bursátil Mexicano</a:t>
          </a:r>
        </a:p>
      </dsp:txBody>
      <dsp:txXfrm>
        <a:off x="1405628" y="103528"/>
        <a:ext cx="3354976" cy="395561"/>
      </dsp:txXfrm>
    </dsp:sp>
    <dsp:sp modelId="{6E63A57C-E05C-46C0-91AB-E17DA63AA0CE}">
      <dsp:nvSpPr>
        <dsp:cNvPr id="0" name=""/>
        <dsp:cNvSpPr/>
      </dsp:nvSpPr>
      <dsp:spPr>
        <a:xfrm>
          <a:off x="1405628" y="597980"/>
          <a:ext cx="3354976" cy="395561"/>
        </a:xfrm>
        <a:prstGeom prst="rect">
          <a:avLst/>
        </a:prstGeom>
        <a:solidFill>
          <a:schemeClr val="accent6">
            <a:lumMod val="7500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s-MX" sz="1300" kern="1200"/>
            <a:t>2. Sistema Bancario Mexicano</a:t>
          </a:r>
        </a:p>
      </dsp:txBody>
      <dsp:txXfrm>
        <a:off x="1405628" y="597980"/>
        <a:ext cx="3354976" cy="395561"/>
      </dsp:txXfrm>
    </dsp:sp>
    <dsp:sp modelId="{DB4D6B10-5953-45E6-88A7-37DF539F8008}">
      <dsp:nvSpPr>
        <dsp:cNvPr id="0" name=""/>
        <dsp:cNvSpPr/>
      </dsp:nvSpPr>
      <dsp:spPr>
        <a:xfrm>
          <a:off x="1405628" y="1092432"/>
          <a:ext cx="3354976" cy="395561"/>
        </a:xfrm>
        <a:prstGeom prst="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s-MX" sz="1300" kern="1200"/>
            <a:t>3. Organismos Reguladores</a:t>
          </a:r>
        </a:p>
      </dsp:txBody>
      <dsp:txXfrm>
        <a:off x="1405628" y="1092432"/>
        <a:ext cx="3354976" cy="395561"/>
      </dsp:txXfrm>
    </dsp:sp>
    <dsp:sp modelId="{09CF94F5-8EA4-4456-AE17-E5EF480E09DE}">
      <dsp:nvSpPr>
        <dsp:cNvPr id="0" name=""/>
        <dsp:cNvSpPr/>
      </dsp:nvSpPr>
      <dsp:spPr>
        <a:xfrm>
          <a:off x="1405628" y="1586884"/>
          <a:ext cx="3354976" cy="395561"/>
        </a:xfrm>
        <a:prstGeom prst="rect">
          <a:avLst/>
        </a:prstGeom>
        <a:solidFill>
          <a:schemeClr val="tx2">
            <a:lumMod val="60000"/>
            <a:lumOff val="4000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s-MX" sz="1300" kern="1200"/>
            <a:t>4. Otras figuras Financieras</a:t>
          </a:r>
        </a:p>
      </dsp:txBody>
      <dsp:txXfrm>
        <a:off x="1405628" y="1586884"/>
        <a:ext cx="3354976" cy="395561"/>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08B25D-C23D-4A1C-911F-FD39C4B45B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87388</TotalTime>
  <Pages>1</Pages>
  <Words>23858</Words>
  <Characters>131225</Characters>
  <Application>Microsoft Office Word</Application>
  <DocSecurity>0</DocSecurity>
  <Lines>1093</Lines>
  <Paragraphs>309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154774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Cesar Ivan Arroyo Rubalcava</dc:creator>
  <cp:lastModifiedBy>Cesar Ivan Arroyo Rubalcava</cp:lastModifiedBy>
  <cp:revision>2333</cp:revision>
  <cp:lastPrinted>2016-11-02T17:19:00Z</cp:lastPrinted>
  <dcterms:created xsi:type="dcterms:W3CDTF">2015-02-24T02:06:00Z</dcterms:created>
  <dcterms:modified xsi:type="dcterms:W3CDTF">2017-07-19T17:54:00Z</dcterms:modified>
</cp:coreProperties>
</file>