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3D6E" w:rsidRPr="000A2024" w:rsidRDefault="00E43D6E" w:rsidP="00E43D6E">
      <w:pPr>
        <w:jc w:val="center"/>
        <w:rPr>
          <w:rFonts w:ascii="Arial" w:hAnsi="Arial" w:cs="Arial"/>
          <w:b/>
          <w:sz w:val="30"/>
          <w:szCs w:val="30"/>
        </w:rPr>
      </w:pPr>
      <w:r w:rsidRPr="000A2024">
        <w:rPr>
          <w:rFonts w:ascii="Arial" w:hAnsi="Arial" w:cs="Arial"/>
          <w:b/>
          <w:bCs/>
          <w:noProof/>
          <w:color w:val="000000"/>
          <w:sz w:val="30"/>
          <w:szCs w:val="30"/>
          <w:lang w:eastAsia="es-MX"/>
        </w:rPr>
        <w:drawing>
          <wp:anchor distT="0" distB="0" distL="114300" distR="114300" simplePos="0" relativeHeight="251661312" behindDoc="0" locked="0" layoutInCell="1" allowOverlap="1" wp14:anchorId="4F848B54" wp14:editId="2AE1F893">
            <wp:simplePos x="0" y="0"/>
            <wp:positionH relativeFrom="column">
              <wp:posOffset>144145</wp:posOffset>
            </wp:positionH>
            <wp:positionV relativeFrom="paragraph">
              <wp:posOffset>-228600</wp:posOffset>
            </wp:positionV>
            <wp:extent cx="932180" cy="904240"/>
            <wp:effectExtent l="0" t="0" r="1270" b="0"/>
            <wp:wrapNone/>
            <wp:docPr id="19" name="Imagen 19" descr="PLECA SUPERIOR OFICIO FAC ECONOMI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LECA SUPERIOR OFICIO FAC ECONOMIA color"/>
                    <pic:cNvPicPr>
                      <a:picLocks noChangeAspect="1" noChangeArrowheads="1"/>
                    </pic:cNvPicPr>
                  </pic:nvPicPr>
                  <pic:blipFill>
                    <a:blip r:embed="rId8">
                      <a:extLst>
                        <a:ext uri="{28A0092B-C50C-407E-A947-70E740481C1C}">
                          <a14:useLocalDpi xmlns:a14="http://schemas.microsoft.com/office/drawing/2010/main" val="0"/>
                        </a:ext>
                      </a:extLst>
                    </a:blip>
                    <a:srcRect r="89090" b="-9496"/>
                    <a:stretch>
                      <a:fillRect/>
                    </a:stretch>
                  </pic:blipFill>
                  <pic:spPr bwMode="auto">
                    <a:xfrm>
                      <a:off x="0" y="0"/>
                      <a:ext cx="932180" cy="9042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2024">
        <w:rPr>
          <w:rFonts w:ascii="Arial" w:hAnsi="Arial" w:cs="Arial"/>
          <w:b/>
          <w:bCs/>
          <w:noProof/>
          <w:color w:val="000000"/>
          <w:sz w:val="30"/>
          <w:szCs w:val="30"/>
          <w:lang w:eastAsia="es-MX"/>
        </w:rPr>
        <w:drawing>
          <wp:anchor distT="0" distB="0" distL="114300" distR="114300" simplePos="0" relativeHeight="251660288" behindDoc="0" locked="0" layoutInCell="1" allowOverlap="1" wp14:anchorId="3A09D7D3" wp14:editId="26A98AE0">
            <wp:simplePos x="0" y="0"/>
            <wp:positionH relativeFrom="column">
              <wp:posOffset>5048885</wp:posOffset>
            </wp:positionH>
            <wp:positionV relativeFrom="paragraph">
              <wp:posOffset>-228600</wp:posOffset>
            </wp:positionV>
            <wp:extent cx="780415" cy="914400"/>
            <wp:effectExtent l="0" t="0" r="635" b="0"/>
            <wp:wrapNone/>
            <wp:docPr id="18" name="Imagen 18"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R"/>
                    <pic:cNvPicPr>
                      <a:picLocks noChangeAspect="1" noChangeArrowheads="1"/>
                    </pic:cNvPicPr>
                  </pic:nvPicPr>
                  <pic:blipFill>
                    <a:blip r:embed="rId9" cstate="print">
                      <a:lum contrast="12000"/>
                      <a:extLst>
                        <a:ext uri="{28A0092B-C50C-407E-A947-70E740481C1C}">
                          <a14:useLocalDpi xmlns:a14="http://schemas.microsoft.com/office/drawing/2010/main" val="0"/>
                        </a:ext>
                      </a:extLst>
                    </a:blip>
                    <a:srcRect/>
                    <a:stretch>
                      <a:fillRect/>
                    </a:stretch>
                  </pic:blipFill>
                  <pic:spPr bwMode="auto">
                    <a:xfrm>
                      <a:off x="0" y="0"/>
                      <a:ext cx="780415" cy="914400"/>
                    </a:xfrm>
                    <a:prstGeom prst="rect">
                      <a:avLst/>
                    </a:prstGeom>
                    <a:noFill/>
                  </pic:spPr>
                </pic:pic>
              </a:graphicData>
            </a:graphic>
            <wp14:sizeRelH relativeFrom="page">
              <wp14:pctWidth>0</wp14:pctWidth>
            </wp14:sizeRelH>
            <wp14:sizeRelV relativeFrom="page">
              <wp14:pctHeight>0</wp14:pctHeight>
            </wp14:sizeRelV>
          </wp:anchor>
        </w:drawing>
      </w:r>
      <w:r w:rsidRPr="000A2024">
        <w:rPr>
          <w:rFonts w:ascii="Arial" w:hAnsi="Arial" w:cs="Arial"/>
          <w:b/>
          <w:bCs/>
          <w:sz w:val="30"/>
          <w:szCs w:val="30"/>
        </w:rPr>
        <w:t>UNIVERSIDAD AUTÓNOMA DEL</w:t>
      </w:r>
    </w:p>
    <w:p w:rsidR="00E43D6E" w:rsidRPr="000A2024" w:rsidRDefault="00E43D6E" w:rsidP="00E43D6E">
      <w:pPr>
        <w:jc w:val="center"/>
        <w:rPr>
          <w:rFonts w:ascii="Arial" w:hAnsi="Arial" w:cs="Arial"/>
          <w:b/>
          <w:sz w:val="30"/>
          <w:szCs w:val="30"/>
        </w:rPr>
      </w:pPr>
      <w:r w:rsidRPr="000A2024">
        <w:rPr>
          <w:rFonts w:ascii="Arial" w:hAnsi="Arial" w:cs="Arial"/>
          <w:b/>
          <w:bCs/>
          <w:sz w:val="30"/>
          <w:szCs w:val="30"/>
        </w:rPr>
        <w:t>ESTADO DE MÉXICO</w:t>
      </w:r>
    </w:p>
    <w:p w:rsidR="00E43D6E" w:rsidRPr="000A2024" w:rsidRDefault="00E43D6E" w:rsidP="00E43D6E">
      <w:pPr>
        <w:jc w:val="center"/>
        <w:rPr>
          <w:rFonts w:ascii="Arial" w:hAnsi="Arial" w:cs="Arial"/>
          <w:b/>
          <w:bCs/>
          <w:sz w:val="28"/>
          <w:szCs w:val="28"/>
        </w:rPr>
      </w:pPr>
      <w:r w:rsidRPr="000A2024">
        <w:rPr>
          <w:rFonts w:ascii="Arial" w:hAnsi="Arial" w:cs="Arial"/>
          <w:b/>
          <w:bCs/>
          <w:noProof/>
          <w:color w:val="000000"/>
          <w:sz w:val="30"/>
          <w:szCs w:val="30"/>
          <w:lang w:eastAsia="es-MX"/>
        </w:rPr>
        <mc:AlternateContent>
          <mc:Choice Requires="wps">
            <w:drawing>
              <wp:anchor distT="0" distB="0" distL="114300" distR="114300" simplePos="0" relativeHeight="251659264" behindDoc="0" locked="0" layoutInCell="1" allowOverlap="1" wp14:anchorId="51418951" wp14:editId="5A3DCF60">
                <wp:simplePos x="0" y="0"/>
                <wp:positionH relativeFrom="column">
                  <wp:posOffset>914400</wp:posOffset>
                </wp:positionH>
                <wp:positionV relativeFrom="paragraph">
                  <wp:posOffset>28575</wp:posOffset>
                </wp:positionV>
                <wp:extent cx="4114800" cy="0"/>
                <wp:effectExtent l="19050" t="19050" r="19050" b="19050"/>
                <wp:wrapNone/>
                <wp:docPr id="17" name="Conector recto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1480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AE4FD8" id="Conector recto 1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2.25pt" to="39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" strokeweight="3pt">
                <v:stroke linestyle="thinThin"/>
              </v:line>
            </w:pict>
          </mc:Fallback>
        </mc:AlternateContent>
      </w:r>
    </w:p>
    <w:p w:rsidR="00E43D6E" w:rsidRPr="000A2024" w:rsidRDefault="00E43D6E" w:rsidP="00E43D6E">
      <w:pPr>
        <w:jc w:val="center"/>
        <w:rPr>
          <w:rFonts w:ascii="Arial" w:hAnsi="Arial" w:cs="Arial"/>
          <w:b/>
          <w:bCs/>
          <w:sz w:val="28"/>
          <w:szCs w:val="28"/>
        </w:rPr>
      </w:pPr>
      <w:r w:rsidRPr="000A2024">
        <w:rPr>
          <w:rFonts w:ascii="Arial" w:hAnsi="Arial" w:cs="Arial"/>
          <w:b/>
          <w:bCs/>
          <w:sz w:val="28"/>
          <w:szCs w:val="28"/>
        </w:rPr>
        <w:t>FACULTAD DE ECONOMÍA</w:t>
      </w:r>
    </w:p>
    <w:p w:rsidR="00E43D6E" w:rsidRPr="000A2024" w:rsidRDefault="00E43D6E" w:rsidP="00E43D6E">
      <w:pPr>
        <w:jc w:val="center"/>
        <w:rPr>
          <w:rFonts w:ascii="Arial" w:hAnsi="Arial" w:cs="Arial"/>
          <w:bCs/>
          <w:sz w:val="30"/>
          <w:szCs w:val="30"/>
        </w:rPr>
      </w:pPr>
    </w:p>
    <w:p w:rsidR="00E43D6E" w:rsidRPr="000A2024" w:rsidRDefault="00E43D6E" w:rsidP="00E43D6E">
      <w:pPr>
        <w:jc w:val="center"/>
        <w:rPr>
          <w:rFonts w:ascii="Arial" w:hAnsi="Arial" w:cs="Arial"/>
          <w:b/>
          <w:bCs/>
          <w:i/>
          <w:sz w:val="36"/>
          <w:szCs w:val="32"/>
        </w:rPr>
      </w:pPr>
      <w:r w:rsidRPr="000A2024">
        <w:rPr>
          <w:rFonts w:ascii="Arial" w:hAnsi="Arial" w:cs="Arial"/>
          <w:b/>
          <w:sz w:val="28"/>
        </w:rPr>
        <w:t>“</w:t>
      </w:r>
      <w:r w:rsidR="00D90A35" w:rsidRPr="000A2024">
        <w:rPr>
          <w:rFonts w:ascii="Arial" w:hAnsi="Arial" w:cs="Arial"/>
          <w:b/>
          <w:sz w:val="28"/>
        </w:rPr>
        <w:t>LA POBREZA; UN PROBLEMA METODOLÓGICO PARA EL DESARROLLO HUMANO.</w:t>
      </w:r>
      <w:r w:rsidRPr="000A2024">
        <w:rPr>
          <w:rFonts w:ascii="Arial" w:hAnsi="Arial" w:cs="Arial"/>
          <w:b/>
          <w:sz w:val="28"/>
        </w:rPr>
        <w:t>”</w:t>
      </w:r>
    </w:p>
    <w:p w:rsidR="00E43D6E" w:rsidRPr="000A2024" w:rsidRDefault="00E43D6E" w:rsidP="00E43D6E">
      <w:pPr>
        <w:jc w:val="center"/>
        <w:rPr>
          <w:rFonts w:ascii="Arial" w:hAnsi="Arial" w:cs="Arial"/>
          <w:b/>
          <w:bCs/>
          <w:i/>
          <w:sz w:val="32"/>
          <w:szCs w:val="32"/>
        </w:rPr>
      </w:pPr>
    </w:p>
    <w:p w:rsidR="00E43D6E" w:rsidRPr="000A2024" w:rsidRDefault="00E43D6E" w:rsidP="00E43D6E">
      <w:pPr>
        <w:jc w:val="center"/>
        <w:rPr>
          <w:rFonts w:ascii="Arial" w:hAnsi="Arial" w:cs="Arial"/>
          <w:b/>
          <w:bCs/>
          <w:sz w:val="40"/>
          <w:szCs w:val="40"/>
        </w:rPr>
      </w:pPr>
      <w:r w:rsidRPr="000A2024">
        <w:rPr>
          <w:rFonts w:ascii="Arial" w:hAnsi="Arial" w:cs="Arial"/>
          <w:b/>
          <w:bCs/>
          <w:sz w:val="40"/>
          <w:szCs w:val="40"/>
        </w:rPr>
        <w:t>TESINA</w:t>
      </w:r>
    </w:p>
    <w:p w:rsidR="00E43D6E" w:rsidRPr="000A2024" w:rsidRDefault="00E43D6E" w:rsidP="00E43D6E">
      <w:pPr>
        <w:jc w:val="center"/>
        <w:rPr>
          <w:rFonts w:ascii="Arial" w:hAnsi="Arial" w:cs="Arial"/>
          <w:b/>
          <w:bCs/>
          <w:sz w:val="40"/>
          <w:szCs w:val="40"/>
        </w:rPr>
      </w:pPr>
    </w:p>
    <w:p w:rsidR="00E43D6E" w:rsidRPr="000A2024" w:rsidRDefault="00E43D6E" w:rsidP="00E43D6E">
      <w:pPr>
        <w:spacing w:before="80" w:after="80" w:line="360" w:lineRule="auto"/>
        <w:jc w:val="center"/>
        <w:rPr>
          <w:rFonts w:ascii="Arial" w:hAnsi="Arial" w:cs="Arial"/>
          <w:b/>
          <w:bCs/>
          <w:sz w:val="18"/>
        </w:rPr>
      </w:pPr>
      <w:r w:rsidRPr="000A2024">
        <w:rPr>
          <w:rFonts w:ascii="Arial" w:hAnsi="Arial" w:cs="Arial"/>
          <w:b/>
          <w:bCs/>
          <w:sz w:val="18"/>
        </w:rPr>
        <w:t>QUE PARA OBTENER EL TÍTULO DE:</w:t>
      </w:r>
    </w:p>
    <w:p w:rsidR="00E43D6E" w:rsidRPr="000A2024" w:rsidRDefault="00E43D6E" w:rsidP="00E43D6E">
      <w:pPr>
        <w:spacing w:before="80" w:after="80" w:line="360" w:lineRule="auto"/>
        <w:jc w:val="center"/>
        <w:rPr>
          <w:rFonts w:ascii="Arial" w:hAnsi="Arial" w:cs="Arial"/>
          <w:b/>
          <w:bCs/>
        </w:rPr>
      </w:pPr>
      <w:r w:rsidRPr="000A2024">
        <w:rPr>
          <w:rFonts w:ascii="Arial" w:hAnsi="Arial" w:cs="Arial"/>
          <w:b/>
          <w:bCs/>
          <w:sz w:val="32"/>
          <w:szCs w:val="32"/>
        </w:rPr>
        <w:t>LICENCIAD</w:t>
      </w:r>
      <w:r w:rsidR="00682C89" w:rsidRPr="000A2024">
        <w:rPr>
          <w:rFonts w:ascii="Arial" w:hAnsi="Arial" w:cs="Arial"/>
          <w:b/>
          <w:bCs/>
          <w:sz w:val="32"/>
          <w:szCs w:val="32"/>
        </w:rPr>
        <w:t>O EN ACTUARÍA</w:t>
      </w:r>
    </w:p>
    <w:p w:rsidR="00E43D6E" w:rsidRPr="000A2024" w:rsidRDefault="00E43D6E" w:rsidP="00E43D6E">
      <w:pPr>
        <w:spacing w:before="80" w:after="80" w:line="360" w:lineRule="auto"/>
        <w:jc w:val="center"/>
        <w:rPr>
          <w:rFonts w:ascii="Arial" w:hAnsi="Arial" w:cs="Arial"/>
          <w:b/>
          <w:bCs/>
          <w:sz w:val="18"/>
        </w:rPr>
      </w:pPr>
      <w:r w:rsidRPr="000A2024">
        <w:rPr>
          <w:rFonts w:ascii="Arial" w:hAnsi="Arial" w:cs="Arial"/>
          <w:b/>
          <w:bCs/>
          <w:sz w:val="18"/>
        </w:rPr>
        <w:t>PRESENTA:</w:t>
      </w:r>
    </w:p>
    <w:p w:rsidR="00E43D6E" w:rsidRPr="000A2024" w:rsidRDefault="00682C89" w:rsidP="00E43D6E">
      <w:pPr>
        <w:widowControl w:val="0"/>
        <w:spacing w:before="80" w:after="80" w:line="360" w:lineRule="auto"/>
        <w:jc w:val="center"/>
        <w:rPr>
          <w:rFonts w:ascii="Arial" w:hAnsi="Arial" w:cs="Arial"/>
          <w:b/>
          <w:bCs/>
          <w:sz w:val="28"/>
          <w:szCs w:val="28"/>
        </w:rPr>
      </w:pPr>
      <w:r w:rsidRPr="000A2024">
        <w:rPr>
          <w:rFonts w:ascii="Arial" w:hAnsi="Arial" w:cs="Arial"/>
          <w:b/>
          <w:bCs/>
          <w:sz w:val="28"/>
          <w:szCs w:val="28"/>
        </w:rPr>
        <w:t>DANIEL ROSALES CASAS</w:t>
      </w:r>
      <w:bookmarkStart w:id="0" w:name="_GoBack"/>
      <w:bookmarkEnd w:id="0"/>
    </w:p>
    <w:p w:rsidR="00E43D6E" w:rsidRPr="000A2024" w:rsidRDefault="00E43D6E" w:rsidP="00E43D6E">
      <w:pPr>
        <w:spacing w:before="80" w:after="80" w:line="360" w:lineRule="auto"/>
        <w:jc w:val="center"/>
        <w:rPr>
          <w:rFonts w:ascii="Arial" w:hAnsi="Arial" w:cs="Arial"/>
          <w:b/>
          <w:bCs/>
          <w:sz w:val="18"/>
          <w:szCs w:val="18"/>
        </w:rPr>
      </w:pPr>
      <w:r w:rsidRPr="000A2024">
        <w:rPr>
          <w:rFonts w:ascii="Arial" w:hAnsi="Arial" w:cs="Arial"/>
          <w:b/>
          <w:bCs/>
          <w:sz w:val="18"/>
          <w:szCs w:val="18"/>
        </w:rPr>
        <w:t>ASESOR:</w:t>
      </w:r>
    </w:p>
    <w:p w:rsidR="00E43D6E" w:rsidRPr="000A2024" w:rsidRDefault="00E43D6E" w:rsidP="00E43D6E">
      <w:pPr>
        <w:spacing w:before="80" w:after="80" w:line="360" w:lineRule="auto"/>
        <w:ind w:left="300" w:hanging="300"/>
        <w:jc w:val="center"/>
        <w:rPr>
          <w:rFonts w:ascii="Arial" w:hAnsi="Arial" w:cs="Arial"/>
          <w:b/>
          <w:bCs/>
          <w:sz w:val="18"/>
          <w:szCs w:val="18"/>
        </w:rPr>
      </w:pPr>
      <w:r w:rsidRPr="000A2024">
        <w:rPr>
          <w:rFonts w:ascii="Arial" w:hAnsi="Arial" w:cs="Arial"/>
          <w:b/>
          <w:bCs/>
          <w:sz w:val="18"/>
          <w:szCs w:val="18"/>
        </w:rPr>
        <w:t>DR. EN H. GERARDO ENRIQUE DEL RIVERO MALDONADO</w:t>
      </w:r>
    </w:p>
    <w:p w:rsidR="00E43D6E" w:rsidRPr="000A2024" w:rsidRDefault="00E43D6E" w:rsidP="00E43D6E">
      <w:pPr>
        <w:spacing w:before="80" w:after="80" w:line="360" w:lineRule="auto"/>
        <w:jc w:val="center"/>
        <w:rPr>
          <w:rFonts w:ascii="Arial" w:hAnsi="Arial" w:cs="Arial"/>
          <w:b/>
          <w:bCs/>
          <w:sz w:val="18"/>
          <w:szCs w:val="18"/>
        </w:rPr>
      </w:pPr>
    </w:p>
    <w:p w:rsidR="00E43D6E" w:rsidRDefault="00E43D6E" w:rsidP="00E43D6E">
      <w:pPr>
        <w:spacing w:before="80" w:after="80" w:line="360" w:lineRule="auto"/>
        <w:jc w:val="center"/>
        <w:rPr>
          <w:rFonts w:ascii="Arial" w:hAnsi="Arial" w:cs="Arial"/>
          <w:b/>
          <w:bCs/>
          <w:sz w:val="18"/>
          <w:szCs w:val="18"/>
        </w:rPr>
      </w:pPr>
      <w:r w:rsidRPr="000A2024">
        <w:rPr>
          <w:rFonts w:ascii="Arial" w:hAnsi="Arial" w:cs="Arial"/>
          <w:b/>
          <w:bCs/>
          <w:sz w:val="18"/>
          <w:szCs w:val="18"/>
        </w:rPr>
        <w:t>REVISORES:</w:t>
      </w:r>
    </w:p>
    <w:p w:rsidR="00183390" w:rsidRDefault="00183390" w:rsidP="00183390">
      <w:pPr>
        <w:shd w:val="clear" w:color="auto" w:fill="FFFFFF"/>
        <w:spacing w:after="240" w:line="240" w:lineRule="auto"/>
        <w:ind w:right="465"/>
        <w:jc w:val="center"/>
        <w:rPr>
          <w:rFonts w:ascii="Arial" w:eastAsia="Times New Roman" w:hAnsi="Arial" w:cs="Arial"/>
          <w:b/>
          <w:bCs/>
          <w:color w:val="000000"/>
          <w:sz w:val="18"/>
          <w:szCs w:val="18"/>
          <w:lang w:eastAsia="es-MX"/>
        </w:rPr>
      </w:pPr>
      <w:r w:rsidRPr="00183390">
        <w:rPr>
          <w:rFonts w:ascii="Arial" w:eastAsia="Times New Roman" w:hAnsi="Arial" w:cs="Arial"/>
          <w:b/>
          <w:bCs/>
          <w:color w:val="000000"/>
          <w:sz w:val="18"/>
          <w:szCs w:val="18"/>
          <w:lang w:eastAsia="es-MX"/>
        </w:rPr>
        <w:t>DR. EN C. ED. LUIS RAMÓN LÓPEZ GUTIÉRREZ</w:t>
      </w:r>
    </w:p>
    <w:p w:rsidR="00183390" w:rsidRPr="00183390" w:rsidRDefault="00183390" w:rsidP="00183390">
      <w:pPr>
        <w:shd w:val="clear" w:color="auto" w:fill="FFFFFF"/>
        <w:spacing w:after="240" w:line="240" w:lineRule="auto"/>
        <w:ind w:right="465"/>
        <w:jc w:val="center"/>
        <w:rPr>
          <w:rFonts w:ascii="Arial" w:eastAsia="Times New Roman" w:hAnsi="Arial" w:cs="Arial"/>
          <w:b/>
          <w:bCs/>
          <w:color w:val="000000"/>
          <w:sz w:val="18"/>
          <w:szCs w:val="18"/>
          <w:lang w:eastAsia="es-MX"/>
        </w:rPr>
      </w:pPr>
      <w:r w:rsidRPr="00183390">
        <w:rPr>
          <w:rFonts w:ascii="Arial" w:eastAsia="Times New Roman" w:hAnsi="Arial" w:cs="Arial"/>
          <w:b/>
          <w:bCs/>
          <w:color w:val="000000"/>
          <w:sz w:val="18"/>
          <w:szCs w:val="18"/>
          <w:lang w:eastAsia="es-MX"/>
        </w:rPr>
        <w:t>M. EN E. OCTAVIO C. BERNAL RAMOS</w:t>
      </w:r>
    </w:p>
    <w:p w:rsidR="00E43D6E" w:rsidRPr="000A2024" w:rsidRDefault="00E43D6E" w:rsidP="00E43D6E">
      <w:pPr>
        <w:spacing w:before="80" w:after="80" w:line="360" w:lineRule="auto"/>
        <w:jc w:val="center"/>
        <w:rPr>
          <w:rFonts w:ascii="Arial" w:hAnsi="Arial" w:cs="Arial"/>
          <w:b/>
          <w:bCs/>
          <w:sz w:val="18"/>
          <w:szCs w:val="18"/>
        </w:rPr>
      </w:pPr>
    </w:p>
    <w:p w:rsidR="00E43D6E" w:rsidRPr="000A2024" w:rsidRDefault="00E43D6E" w:rsidP="00E43D6E">
      <w:pPr>
        <w:spacing w:before="80" w:after="80" w:line="360" w:lineRule="auto"/>
        <w:jc w:val="center"/>
        <w:rPr>
          <w:rFonts w:ascii="Arial" w:hAnsi="Arial" w:cs="Arial"/>
          <w:b/>
          <w:bCs/>
          <w:sz w:val="18"/>
          <w:szCs w:val="18"/>
        </w:rPr>
      </w:pPr>
    </w:p>
    <w:p w:rsidR="00E43D6E" w:rsidRPr="000A2024" w:rsidRDefault="00E43D6E" w:rsidP="00E43D6E">
      <w:pPr>
        <w:spacing w:before="80" w:after="80" w:line="360" w:lineRule="auto"/>
        <w:jc w:val="center"/>
        <w:rPr>
          <w:rFonts w:ascii="Arial" w:hAnsi="Arial" w:cs="Arial"/>
          <w:b/>
          <w:bCs/>
          <w:sz w:val="18"/>
          <w:szCs w:val="18"/>
        </w:rPr>
      </w:pPr>
    </w:p>
    <w:p w:rsidR="00E43D6E" w:rsidRPr="000A2024" w:rsidRDefault="00E43D6E" w:rsidP="00E43D6E">
      <w:pPr>
        <w:spacing w:before="80" w:after="80" w:line="360" w:lineRule="auto"/>
        <w:jc w:val="right"/>
        <w:rPr>
          <w:rFonts w:ascii="Arial" w:hAnsi="Arial" w:cs="Arial"/>
          <w:b/>
          <w:bCs/>
          <w:sz w:val="18"/>
          <w:szCs w:val="18"/>
        </w:rPr>
      </w:pPr>
      <w:r w:rsidRPr="000A2024">
        <w:rPr>
          <w:rFonts w:ascii="Arial" w:hAnsi="Arial" w:cs="Arial"/>
          <w:b/>
          <w:bCs/>
          <w:sz w:val="18"/>
          <w:szCs w:val="18"/>
        </w:rPr>
        <w:t>TOLUCA, ESTADO DE MÉ</w:t>
      </w:r>
      <w:r w:rsidR="00FA7C64">
        <w:rPr>
          <w:rFonts w:ascii="Arial" w:hAnsi="Arial" w:cs="Arial"/>
          <w:b/>
          <w:bCs/>
          <w:sz w:val="18"/>
          <w:szCs w:val="18"/>
        </w:rPr>
        <w:t>XICO, JUNIO 2018</w:t>
      </w:r>
    </w:p>
    <w:p w:rsidR="00590063" w:rsidRPr="000A2024" w:rsidRDefault="00590063" w:rsidP="00E43D6E">
      <w:pPr>
        <w:spacing w:before="80" w:after="80" w:line="360" w:lineRule="auto"/>
        <w:jc w:val="right"/>
        <w:rPr>
          <w:rFonts w:ascii="Arial" w:hAnsi="Arial" w:cs="Arial"/>
          <w:b/>
          <w:bCs/>
          <w:sz w:val="18"/>
          <w:szCs w:val="18"/>
        </w:rPr>
      </w:pPr>
    </w:p>
    <w:p w:rsidR="00590063" w:rsidRPr="000A2024" w:rsidRDefault="00590063" w:rsidP="00E43D6E">
      <w:pPr>
        <w:spacing w:before="80" w:after="80" w:line="360" w:lineRule="auto"/>
        <w:jc w:val="right"/>
        <w:rPr>
          <w:rFonts w:ascii="Arial" w:hAnsi="Arial" w:cs="Arial"/>
          <w:b/>
          <w:bCs/>
          <w:sz w:val="18"/>
          <w:szCs w:val="18"/>
        </w:rPr>
      </w:pPr>
    </w:p>
    <w:p w:rsidR="00590063" w:rsidRPr="000A2024" w:rsidRDefault="00590063" w:rsidP="00E43D6E">
      <w:pPr>
        <w:spacing w:before="80" w:after="80" w:line="360" w:lineRule="auto"/>
        <w:jc w:val="right"/>
        <w:rPr>
          <w:rFonts w:ascii="Arial" w:hAnsi="Arial" w:cs="Arial"/>
          <w:b/>
          <w:bCs/>
          <w:sz w:val="18"/>
          <w:szCs w:val="18"/>
        </w:rPr>
      </w:pPr>
    </w:p>
    <w:p w:rsidR="00590063" w:rsidRPr="000A2024" w:rsidRDefault="00590063" w:rsidP="00E43D6E">
      <w:pPr>
        <w:spacing w:before="80" w:after="80" w:line="360" w:lineRule="auto"/>
        <w:jc w:val="right"/>
        <w:rPr>
          <w:rFonts w:ascii="Arial" w:hAnsi="Arial" w:cs="Arial"/>
          <w:b/>
          <w:bCs/>
          <w:sz w:val="18"/>
          <w:szCs w:val="18"/>
        </w:rPr>
      </w:pPr>
    </w:p>
    <w:p w:rsidR="00E4609C" w:rsidRDefault="00E4609C">
      <w:pPr>
        <w:spacing w:after="200" w:line="276" w:lineRule="auto"/>
        <w:rPr>
          <w:rFonts w:ascii="Arial" w:hAnsi="Arial" w:cs="Arial"/>
          <w:bCs/>
          <w:sz w:val="24"/>
          <w:szCs w:val="24"/>
        </w:rPr>
      </w:pPr>
      <w:r>
        <w:rPr>
          <w:rFonts w:ascii="Arial" w:hAnsi="Arial" w:cs="Arial"/>
          <w:bCs/>
          <w:sz w:val="24"/>
          <w:szCs w:val="24"/>
        </w:rPr>
        <w:br w:type="page"/>
      </w:r>
    </w:p>
    <w:p w:rsidR="00590063" w:rsidRPr="000A2024" w:rsidRDefault="00590063" w:rsidP="00590063">
      <w:pPr>
        <w:spacing w:before="80" w:after="80" w:line="360" w:lineRule="auto"/>
        <w:rPr>
          <w:rFonts w:ascii="Arial" w:hAnsi="Arial" w:cs="Arial"/>
          <w:bCs/>
          <w:sz w:val="24"/>
          <w:szCs w:val="24"/>
        </w:rPr>
      </w:pPr>
      <w:r w:rsidRPr="000A2024">
        <w:rPr>
          <w:rFonts w:ascii="Arial" w:hAnsi="Arial" w:cs="Arial"/>
          <w:bCs/>
          <w:sz w:val="24"/>
          <w:szCs w:val="24"/>
        </w:rPr>
        <w:lastRenderedPageBreak/>
        <w:t>Dedicatoria.</w:t>
      </w:r>
    </w:p>
    <w:p w:rsidR="00590063" w:rsidRPr="000A2024" w:rsidRDefault="00590063" w:rsidP="00590063">
      <w:pPr>
        <w:spacing w:before="80" w:after="80" w:line="360" w:lineRule="auto"/>
        <w:rPr>
          <w:rFonts w:ascii="Arial" w:hAnsi="Arial" w:cs="Arial"/>
          <w:bCs/>
          <w:sz w:val="24"/>
          <w:szCs w:val="24"/>
        </w:rPr>
      </w:pPr>
    </w:p>
    <w:p w:rsidR="00590063" w:rsidRPr="000A2024" w:rsidRDefault="00590063" w:rsidP="000A2024">
      <w:pPr>
        <w:spacing w:before="240" w:after="200" w:line="360" w:lineRule="auto"/>
        <w:rPr>
          <w:rFonts w:ascii="Arial" w:hAnsi="Arial" w:cs="Arial"/>
          <w:bCs/>
          <w:sz w:val="24"/>
          <w:szCs w:val="24"/>
        </w:rPr>
      </w:pPr>
      <w:r w:rsidRPr="000A2024">
        <w:rPr>
          <w:rFonts w:ascii="Arial" w:hAnsi="Arial" w:cs="Arial"/>
          <w:bCs/>
          <w:sz w:val="24"/>
          <w:szCs w:val="24"/>
        </w:rPr>
        <w:t>Este</w:t>
      </w:r>
      <w:r w:rsidR="006B118E" w:rsidRPr="000A2024">
        <w:rPr>
          <w:rFonts w:ascii="Arial" w:hAnsi="Arial" w:cs="Arial"/>
          <w:bCs/>
          <w:sz w:val="24"/>
          <w:szCs w:val="24"/>
        </w:rPr>
        <w:t xml:space="preserve"> trabajo no </w:t>
      </w:r>
      <w:r w:rsidR="0012444D" w:rsidRPr="000A2024">
        <w:rPr>
          <w:rFonts w:ascii="Arial" w:hAnsi="Arial" w:cs="Arial"/>
          <w:bCs/>
          <w:sz w:val="24"/>
          <w:szCs w:val="24"/>
        </w:rPr>
        <w:t>lo hubiera acabado</w:t>
      </w:r>
      <w:r w:rsidRPr="000A2024">
        <w:rPr>
          <w:rFonts w:ascii="Arial" w:hAnsi="Arial" w:cs="Arial"/>
          <w:bCs/>
          <w:sz w:val="24"/>
          <w:szCs w:val="24"/>
        </w:rPr>
        <w:t xml:space="preserve"> de no haber sido por las siguientes personas:</w:t>
      </w:r>
    </w:p>
    <w:p w:rsidR="006B118E" w:rsidRPr="000A2024" w:rsidRDefault="00590063" w:rsidP="000A2024">
      <w:pPr>
        <w:spacing w:after="200" w:line="360" w:lineRule="auto"/>
        <w:jc w:val="both"/>
        <w:rPr>
          <w:rFonts w:ascii="Arial" w:eastAsiaTheme="minorHAnsi" w:hAnsi="Arial" w:cs="Arial"/>
          <w:sz w:val="24"/>
          <w:szCs w:val="24"/>
          <w:lang w:eastAsia="en-US"/>
        </w:rPr>
      </w:pPr>
      <w:r w:rsidRPr="000A2024">
        <w:rPr>
          <w:rFonts w:ascii="Arial" w:eastAsiaTheme="minorHAnsi" w:hAnsi="Arial" w:cs="Arial"/>
          <w:sz w:val="24"/>
          <w:szCs w:val="24"/>
          <w:lang w:eastAsia="en-US"/>
        </w:rPr>
        <w:t>A mi familia que jamás quitaron del renglón el regañó y recordatorio para que terminara la tesina. En específico</w:t>
      </w:r>
      <w:r w:rsidR="006B118E" w:rsidRPr="000A2024">
        <w:rPr>
          <w:rFonts w:ascii="Arial" w:eastAsiaTheme="minorHAnsi" w:hAnsi="Arial" w:cs="Arial"/>
          <w:sz w:val="24"/>
          <w:szCs w:val="24"/>
          <w:lang w:eastAsia="en-US"/>
        </w:rPr>
        <w:t>,</w:t>
      </w:r>
      <w:r w:rsidRPr="000A2024">
        <w:rPr>
          <w:rFonts w:ascii="Arial" w:eastAsiaTheme="minorHAnsi" w:hAnsi="Arial" w:cs="Arial"/>
          <w:sz w:val="24"/>
          <w:szCs w:val="24"/>
          <w:lang w:eastAsia="en-US"/>
        </w:rPr>
        <w:t xml:space="preserve"> a mi padre por enseñarme que nunca se debe de dar menos de lo mejor de uno mismo, a mi madre por tener fe inagotable en mí y por la moral que me inculcó. A mi hermano que es y fue un ejemplo a seguir de humildad y tenacidad</w:t>
      </w:r>
      <w:r w:rsidR="006B118E" w:rsidRPr="000A2024">
        <w:rPr>
          <w:rFonts w:ascii="Arial" w:eastAsiaTheme="minorHAnsi" w:hAnsi="Arial" w:cs="Arial"/>
          <w:sz w:val="24"/>
          <w:szCs w:val="24"/>
          <w:lang w:eastAsia="en-US"/>
        </w:rPr>
        <w:t>. Y,</w:t>
      </w:r>
      <w:r w:rsidRPr="000A2024">
        <w:rPr>
          <w:rFonts w:ascii="Arial" w:eastAsiaTheme="minorHAnsi" w:hAnsi="Arial" w:cs="Arial"/>
          <w:sz w:val="24"/>
          <w:szCs w:val="24"/>
          <w:lang w:eastAsia="en-US"/>
        </w:rPr>
        <w:t xml:space="preserve"> por </w:t>
      </w:r>
      <w:r w:rsidR="006B118E" w:rsidRPr="000A2024">
        <w:rPr>
          <w:rFonts w:ascii="Arial" w:eastAsiaTheme="minorHAnsi" w:hAnsi="Arial" w:cs="Arial"/>
          <w:sz w:val="24"/>
          <w:szCs w:val="24"/>
          <w:lang w:eastAsia="en-US"/>
        </w:rPr>
        <w:t xml:space="preserve">último, </w:t>
      </w:r>
      <w:r w:rsidRPr="000A2024">
        <w:rPr>
          <w:rFonts w:ascii="Arial" w:eastAsiaTheme="minorHAnsi" w:hAnsi="Arial" w:cs="Arial"/>
          <w:sz w:val="24"/>
          <w:szCs w:val="24"/>
          <w:lang w:eastAsia="en-US"/>
        </w:rPr>
        <w:t>pero no menos importante a mi hermana que me enseñ</w:t>
      </w:r>
      <w:r w:rsidR="006B118E" w:rsidRPr="000A2024">
        <w:rPr>
          <w:rFonts w:ascii="Arial" w:eastAsiaTheme="minorHAnsi" w:hAnsi="Arial" w:cs="Arial"/>
          <w:sz w:val="24"/>
          <w:szCs w:val="24"/>
          <w:lang w:eastAsia="en-US"/>
        </w:rPr>
        <w:t xml:space="preserve">ó que los coreanos fueron </w:t>
      </w:r>
      <w:r w:rsidRPr="000A2024">
        <w:rPr>
          <w:rFonts w:ascii="Arial" w:eastAsiaTheme="minorHAnsi" w:hAnsi="Arial" w:cs="Arial"/>
          <w:sz w:val="24"/>
          <w:szCs w:val="24"/>
          <w:lang w:eastAsia="en-US"/>
        </w:rPr>
        <w:t>también americanizados como</w:t>
      </w:r>
      <w:r w:rsidR="006B118E" w:rsidRPr="000A2024">
        <w:rPr>
          <w:rFonts w:ascii="Arial" w:eastAsiaTheme="minorHAnsi" w:hAnsi="Arial" w:cs="Arial"/>
          <w:sz w:val="24"/>
          <w:szCs w:val="24"/>
          <w:lang w:eastAsia="en-US"/>
        </w:rPr>
        <w:t xml:space="preserve"> nosotros. También</w:t>
      </w:r>
      <w:r w:rsidRPr="000A2024">
        <w:rPr>
          <w:rFonts w:ascii="Arial" w:eastAsiaTheme="minorHAnsi" w:hAnsi="Arial" w:cs="Arial"/>
          <w:sz w:val="24"/>
          <w:szCs w:val="24"/>
          <w:lang w:eastAsia="en-US"/>
        </w:rPr>
        <w:t xml:space="preserve"> quiero agradecer </w:t>
      </w:r>
      <w:r w:rsidR="006B118E" w:rsidRPr="000A2024">
        <w:rPr>
          <w:rFonts w:ascii="Arial" w:eastAsiaTheme="minorHAnsi" w:hAnsi="Arial" w:cs="Arial"/>
          <w:sz w:val="24"/>
          <w:szCs w:val="24"/>
          <w:lang w:eastAsia="en-US"/>
        </w:rPr>
        <w:t xml:space="preserve">a </w:t>
      </w:r>
      <w:r w:rsidRPr="000A2024">
        <w:rPr>
          <w:rFonts w:ascii="Arial" w:eastAsiaTheme="minorHAnsi" w:hAnsi="Arial" w:cs="Arial"/>
          <w:sz w:val="24"/>
          <w:szCs w:val="24"/>
          <w:lang w:eastAsia="en-US"/>
        </w:rPr>
        <w:t>mi novia Tania por leer el boceto de esta tesina</w:t>
      </w:r>
      <w:r w:rsidR="006B118E" w:rsidRPr="000A2024">
        <w:rPr>
          <w:rFonts w:ascii="Arial" w:eastAsiaTheme="minorHAnsi" w:hAnsi="Arial" w:cs="Arial"/>
          <w:sz w:val="24"/>
          <w:szCs w:val="24"/>
          <w:lang w:eastAsia="en-US"/>
        </w:rPr>
        <w:t>, escuchar la última versión</w:t>
      </w:r>
      <w:r w:rsidR="0012444D" w:rsidRPr="000A2024">
        <w:rPr>
          <w:rFonts w:ascii="Arial" w:eastAsiaTheme="minorHAnsi" w:hAnsi="Arial" w:cs="Arial"/>
          <w:sz w:val="24"/>
          <w:szCs w:val="24"/>
          <w:lang w:eastAsia="en-US"/>
        </w:rPr>
        <w:t xml:space="preserve"> y </w:t>
      </w:r>
      <w:r w:rsidR="006B118E" w:rsidRPr="000A2024">
        <w:rPr>
          <w:rFonts w:ascii="Arial" w:eastAsiaTheme="minorHAnsi" w:hAnsi="Arial" w:cs="Arial"/>
          <w:sz w:val="24"/>
          <w:szCs w:val="24"/>
          <w:lang w:eastAsia="en-US"/>
        </w:rPr>
        <w:t xml:space="preserve">siempre </w:t>
      </w:r>
      <w:r w:rsidR="0012444D" w:rsidRPr="000A2024">
        <w:rPr>
          <w:rFonts w:ascii="Arial" w:eastAsiaTheme="minorHAnsi" w:hAnsi="Arial" w:cs="Arial"/>
          <w:sz w:val="24"/>
          <w:szCs w:val="24"/>
          <w:lang w:eastAsia="en-US"/>
        </w:rPr>
        <w:t xml:space="preserve">hacer </w:t>
      </w:r>
      <w:r w:rsidR="006B118E" w:rsidRPr="000A2024">
        <w:rPr>
          <w:rFonts w:ascii="Arial" w:eastAsiaTheme="minorHAnsi" w:hAnsi="Arial" w:cs="Arial"/>
          <w:sz w:val="24"/>
          <w:szCs w:val="24"/>
          <w:lang w:eastAsia="en-US"/>
        </w:rPr>
        <w:t>cr</w:t>
      </w:r>
      <w:r w:rsidR="0012444D" w:rsidRPr="000A2024">
        <w:rPr>
          <w:rFonts w:ascii="Arial" w:eastAsiaTheme="minorHAnsi" w:hAnsi="Arial" w:cs="Arial"/>
          <w:sz w:val="24"/>
          <w:szCs w:val="24"/>
          <w:lang w:eastAsia="en-US"/>
        </w:rPr>
        <w:t>íticas constructivas</w:t>
      </w:r>
      <w:r w:rsidRPr="000A2024">
        <w:rPr>
          <w:rFonts w:ascii="Arial" w:eastAsiaTheme="minorHAnsi" w:hAnsi="Arial" w:cs="Arial"/>
          <w:sz w:val="24"/>
          <w:szCs w:val="24"/>
          <w:lang w:eastAsia="en-US"/>
        </w:rPr>
        <w:t>.</w:t>
      </w:r>
    </w:p>
    <w:p w:rsidR="006B118E" w:rsidRPr="000A2024" w:rsidRDefault="006B118E" w:rsidP="000A2024">
      <w:pPr>
        <w:spacing w:before="240" w:after="120" w:line="360" w:lineRule="auto"/>
        <w:rPr>
          <w:rFonts w:ascii="Arial" w:hAnsi="Arial" w:cs="Arial"/>
          <w:bCs/>
          <w:sz w:val="24"/>
          <w:szCs w:val="24"/>
        </w:rPr>
      </w:pPr>
      <w:r w:rsidRPr="000A2024">
        <w:rPr>
          <w:rFonts w:ascii="Arial" w:hAnsi="Arial" w:cs="Arial"/>
          <w:bCs/>
          <w:sz w:val="24"/>
          <w:szCs w:val="24"/>
        </w:rPr>
        <w:t>También me gustaría agradecer al Dr. Gerardo por guiar, recomendar y enseñar el rumbo de este trabajo, el cual es fruto de la labor de un año y también terapia personal.</w:t>
      </w:r>
    </w:p>
    <w:p w:rsidR="00590063" w:rsidRPr="000A2024" w:rsidRDefault="00590063" w:rsidP="00E43D6E">
      <w:pPr>
        <w:spacing w:before="80" w:after="80" w:line="360" w:lineRule="auto"/>
        <w:jc w:val="right"/>
        <w:rPr>
          <w:rFonts w:ascii="Arial" w:hAnsi="Arial" w:cs="Arial"/>
          <w:b/>
          <w:bCs/>
          <w:sz w:val="18"/>
          <w:szCs w:val="18"/>
        </w:rPr>
      </w:pPr>
    </w:p>
    <w:p w:rsidR="006B118E" w:rsidRPr="000A2024" w:rsidRDefault="006B118E">
      <w:pPr>
        <w:spacing w:after="200" w:line="276" w:lineRule="auto"/>
        <w:rPr>
          <w:rFonts w:ascii="Arial" w:hAnsi="Arial" w:cs="Arial"/>
          <w:sz w:val="18"/>
          <w:szCs w:val="18"/>
        </w:rPr>
      </w:pPr>
      <w:r w:rsidRPr="000A2024">
        <w:rPr>
          <w:rFonts w:ascii="Arial" w:hAnsi="Arial" w:cs="Arial"/>
          <w:sz w:val="18"/>
          <w:szCs w:val="18"/>
        </w:rPr>
        <w:br w:type="page"/>
      </w:r>
    </w:p>
    <w:p w:rsidR="0012444D" w:rsidRPr="000A2024" w:rsidRDefault="006B118E" w:rsidP="00DD112F">
      <w:pPr>
        <w:pStyle w:val="Primero"/>
        <w:rPr>
          <w:rFonts w:ascii="Arial" w:hAnsi="Arial" w:cs="Arial"/>
        </w:rPr>
      </w:pPr>
      <w:bookmarkStart w:id="1" w:name="_Toc450230476"/>
      <w:r w:rsidRPr="000A2024">
        <w:rPr>
          <w:rFonts w:ascii="Arial" w:hAnsi="Arial" w:cs="Arial"/>
        </w:rPr>
        <w:lastRenderedPageBreak/>
        <w:t>Índice.</w:t>
      </w:r>
      <w:bookmarkEnd w:id="1"/>
    </w:p>
    <w:sdt>
      <w:sdtPr>
        <w:rPr>
          <w:rFonts w:ascii="Arial" w:eastAsiaTheme="minorEastAsia" w:hAnsi="Arial" w:cs="Arial"/>
          <w:color w:val="auto"/>
          <w:sz w:val="17"/>
          <w:szCs w:val="17"/>
          <w:lang w:val="es-ES" w:eastAsia="ja-JP"/>
        </w:rPr>
        <w:id w:val="150420509"/>
        <w:docPartObj>
          <w:docPartGallery w:val="Table of Contents"/>
          <w:docPartUnique/>
        </w:docPartObj>
      </w:sdtPr>
      <w:sdtEndPr>
        <w:rPr>
          <w:b/>
          <w:bCs/>
        </w:rPr>
      </w:sdtEndPr>
      <w:sdtContent>
        <w:p w:rsidR="00D90A35" w:rsidRPr="000A2024" w:rsidRDefault="00D90A35">
          <w:pPr>
            <w:pStyle w:val="TtuloTDC"/>
            <w:rPr>
              <w:rFonts w:ascii="Arial" w:hAnsi="Arial" w:cs="Arial"/>
              <w:sz w:val="24"/>
              <w:szCs w:val="24"/>
            </w:rPr>
          </w:pPr>
        </w:p>
        <w:p w:rsidR="00D90A35" w:rsidRPr="000A2024" w:rsidRDefault="00D90A35">
          <w:pPr>
            <w:pStyle w:val="TDC1"/>
            <w:tabs>
              <w:tab w:val="right" w:leader="dot" w:pos="8828"/>
            </w:tabs>
            <w:rPr>
              <w:rFonts w:ascii="Arial" w:hAnsi="Arial" w:cs="Arial"/>
              <w:noProof/>
              <w:sz w:val="24"/>
              <w:szCs w:val="24"/>
            </w:rPr>
          </w:pPr>
          <w:r w:rsidRPr="000A2024">
            <w:rPr>
              <w:rFonts w:ascii="Arial" w:hAnsi="Arial" w:cs="Arial"/>
              <w:sz w:val="24"/>
              <w:szCs w:val="24"/>
            </w:rPr>
            <w:fldChar w:fldCharType="begin"/>
          </w:r>
          <w:r w:rsidRPr="000A2024">
            <w:rPr>
              <w:rFonts w:ascii="Arial" w:hAnsi="Arial" w:cs="Arial"/>
              <w:sz w:val="24"/>
              <w:szCs w:val="24"/>
            </w:rPr>
            <w:instrText xml:space="preserve"> TOC \o "1-3" \h \z \u </w:instrText>
          </w:r>
          <w:r w:rsidRPr="000A2024">
            <w:rPr>
              <w:rFonts w:ascii="Arial" w:hAnsi="Arial" w:cs="Arial"/>
              <w:sz w:val="24"/>
              <w:szCs w:val="24"/>
            </w:rPr>
            <w:fldChar w:fldCharType="separate"/>
          </w:r>
          <w:hyperlink w:anchor="_Toc450230476" w:history="1">
            <w:r w:rsidRPr="000A2024">
              <w:rPr>
                <w:rStyle w:val="Hipervnculo"/>
                <w:rFonts w:ascii="Arial" w:hAnsi="Arial" w:cs="Arial"/>
                <w:noProof/>
                <w:sz w:val="24"/>
                <w:szCs w:val="24"/>
              </w:rPr>
              <w:t>Índice.</w:t>
            </w:r>
            <w:r w:rsidRPr="000A2024">
              <w:rPr>
                <w:rFonts w:ascii="Arial" w:hAnsi="Arial" w:cs="Arial"/>
                <w:noProof/>
                <w:webHidden/>
                <w:sz w:val="24"/>
                <w:szCs w:val="24"/>
              </w:rPr>
              <w:tab/>
            </w:r>
            <w:r w:rsidRPr="000A2024">
              <w:rPr>
                <w:rFonts w:ascii="Arial" w:hAnsi="Arial" w:cs="Arial"/>
                <w:noProof/>
                <w:webHidden/>
                <w:sz w:val="24"/>
                <w:szCs w:val="24"/>
              </w:rPr>
              <w:fldChar w:fldCharType="begin"/>
            </w:r>
            <w:r w:rsidRPr="000A2024">
              <w:rPr>
                <w:rFonts w:ascii="Arial" w:hAnsi="Arial" w:cs="Arial"/>
                <w:noProof/>
                <w:webHidden/>
                <w:sz w:val="24"/>
                <w:szCs w:val="24"/>
              </w:rPr>
              <w:instrText xml:space="preserve"> PAGEREF _Toc450230476 \h </w:instrText>
            </w:r>
            <w:r w:rsidRPr="000A2024">
              <w:rPr>
                <w:rFonts w:ascii="Arial" w:hAnsi="Arial" w:cs="Arial"/>
                <w:noProof/>
                <w:webHidden/>
                <w:sz w:val="24"/>
                <w:szCs w:val="24"/>
              </w:rPr>
            </w:r>
            <w:r w:rsidRPr="000A2024">
              <w:rPr>
                <w:rFonts w:ascii="Arial" w:hAnsi="Arial" w:cs="Arial"/>
                <w:noProof/>
                <w:webHidden/>
                <w:sz w:val="24"/>
                <w:szCs w:val="24"/>
              </w:rPr>
              <w:fldChar w:fldCharType="separate"/>
            </w:r>
            <w:r w:rsidRPr="000A2024">
              <w:rPr>
                <w:rFonts w:ascii="Arial" w:hAnsi="Arial" w:cs="Arial"/>
                <w:noProof/>
                <w:webHidden/>
                <w:sz w:val="24"/>
                <w:szCs w:val="24"/>
              </w:rPr>
              <w:t>3</w:t>
            </w:r>
            <w:r w:rsidRPr="000A2024">
              <w:rPr>
                <w:rFonts w:ascii="Arial" w:hAnsi="Arial" w:cs="Arial"/>
                <w:noProof/>
                <w:webHidden/>
                <w:sz w:val="24"/>
                <w:szCs w:val="24"/>
              </w:rPr>
              <w:fldChar w:fldCharType="end"/>
            </w:r>
          </w:hyperlink>
        </w:p>
        <w:p w:rsidR="00D90A35" w:rsidRPr="000A2024" w:rsidRDefault="009D4BD6">
          <w:pPr>
            <w:pStyle w:val="TDC1"/>
            <w:tabs>
              <w:tab w:val="right" w:leader="dot" w:pos="8828"/>
            </w:tabs>
            <w:rPr>
              <w:rFonts w:ascii="Arial" w:hAnsi="Arial" w:cs="Arial"/>
              <w:noProof/>
              <w:sz w:val="24"/>
              <w:szCs w:val="24"/>
            </w:rPr>
          </w:pPr>
          <w:hyperlink w:anchor="_Toc450230477" w:history="1">
            <w:r w:rsidR="00D90A35" w:rsidRPr="000A2024">
              <w:rPr>
                <w:rStyle w:val="Hipervnculo"/>
                <w:rFonts w:ascii="Arial" w:hAnsi="Arial" w:cs="Arial"/>
                <w:noProof/>
                <w:sz w:val="24"/>
                <w:szCs w:val="24"/>
              </w:rPr>
              <w:t>Introducción.</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_Toc450230477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4</w:t>
            </w:r>
            <w:r w:rsidR="00D90A35" w:rsidRPr="000A2024">
              <w:rPr>
                <w:rFonts w:ascii="Arial" w:hAnsi="Arial" w:cs="Arial"/>
                <w:noProof/>
                <w:webHidden/>
                <w:sz w:val="24"/>
                <w:szCs w:val="24"/>
              </w:rPr>
              <w:fldChar w:fldCharType="end"/>
            </w:r>
          </w:hyperlink>
        </w:p>
        <w:p w:rsidR="00D90A35" w:rsidRPr="000A2024" w:rsidRDefault="009D4BD6">
          <w:pPr>
            <w:pStyle w:val="TDC1"/>
            <w:tabs>
              <w:tab w:val="right" w:leader="dot" w:pos="8828"/>
            </w:tabs>
            <w:rPr>
              <w:rFonts w:ascii="Arial" w:hAnsi="Arial" w:cs="Arial"/>
              <w:noProof/>
              <w:sz w:val="24"/>
              <w:szCs w:val="24"/>
            </w:rPr>
          </w:pPr>
          <w:hyperlink w:anchor="_Toc450230478" w:history="1">
            <w:r w:rsidR="00D90A35" w:rsidRPr="000A2024">
              <w:rPr>
                <w:rStyle w:val="Hipervnculo"/>
                <w:rFonts w:ascii="Arial" w:hAnsi="Arial" w:cs="Arial"/>
                <w:noProof/>
                <w:sz w:val="24"/>
                <w:szCs w:val="24"/>
              </w:rPr>
              <w:t>Capítulo I: Crecimiento y desarrollo.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_Toc450230478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6</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479" w:history="1">
            <w:r w:rsidR="00D90A35" w:rsidRPr="000A2024">
              <w:rPr>
                <w:rStyle w:val="Hipervnculo"/>
                <w:rFonts w:ascii="Arial" w:hAnsi="Arial" w:cs="Arial"/>
                <w:noProof/>
                <w:sz w:val="24"/>
                <w:szCs w:val="24"/>
              </w:rPr>
              <w:t>I.</w:t>
            </w:r>
            <w:r w:rsidR="00D90A35" w:rsidRPr="000A2024">
              <w:rPr>
                <w:rFonts w:ascii="Arial" w:hAnsi="Arial" w:cs="Arial"/>
                <w:noProof/>
                <w:sz w:val="24"/>
                <w:szCs w:val="24"/>
              </w:rPr>
              <w:tab/>
            </w:r>
            <w:r w:rsidR="00D90A35" w:rsidRPr="000A2024">
              <w:rPr>
                <w:rStyle w:val="Hipervnculo"/>
                <w:rFonts w:ascii="Arial" w:hAnsi="Arial" w:cs="Arial"/>
                <w:noProof/>
                <w:sz w:val="24"/>
                <w:szCs w:val="24"/>
              </w:rPr>
              <w:t>¿Qué es desarrollo y para qué medirlo?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_Toc450230479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6</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480" w:history="1">
            <w:r w:rsidR="00D90A35" w:rsidRPr="000A2024">
              <w:rPr>
                <w:rStyle w:val="Hipervnculo"/>
                <w:rFonts w:ascii="Arial" w:hAnsi="Arial" w:cs="Arial"/>
                <w:noProof/>
                <w:sz w:val="24"/>
                <w:szCs w:val="24"/>
              </w:rPr>
              <w:t>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Buscando la verdadera teoría de desarrollo.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_Toc450230480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11</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481" w:history="1">
            <w:r w:rsidR="00D90A35" w:rsidRPr="000A2024">
              <w:rPr>
                <w:rStyle w:val="Hipervnculo"/>
                <w:rFonts w:ascii="Arial" w:hAnsi="Arial" w:cs="Arial"/>
                <w:noProof/>
                <w:sz w:val="24"/>
                <w:szCs w:val="24"/>
              </w:rPr>
              <w:t>III.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Antecedentes teóricos del desarrollo y crecimiento.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_Toc450230481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16</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482" w:history="1">
            <w:r w:rsidR="00D90A35" w:rsidRPr="000A2024">
              <w:rPr>
                <w:rStyle w:val="Hipervnculo"/>
                <w:rFonts w:ascii="Arial" w:hAnsi="Arial" w:cs="Arial"/>
                <w:noProof/>
                <w:sz w:val="24"/>
                <w:szCs w:val="24"/>
              </w:rPr>
              <w:t>1)</w:t>
            </w:r>
            <w:r w:rsidR="00D90A35" w:rsidRPr="000A2024">
              <w:rPr>
                <w:rFonts w:ascii="Arial" w:hAnsi="Arial" w:cs="Arial"/>
                <w:noProof/>
                <w:sz w:val="24"/>
                <w:szCs w:val="24"/>
              </w:rPr>
              <w:tab/>
            </w:r>
            <w:r w:rsidR="00D90A35" w:rsidRPr="000A2024">
              <w:rPr>
                <w:rStyle w:val="Hipervnculo"/>
                <w:rFonts w:ascii="Arial" w:hAnsi="Arial" w:cs="Arial"/>
                <w:noProof/>
                <w:sz w:val="24"/>
                <w:szCs w:val="24"/>
              </w:rPr>
              <w:t>Corriente clásica. Los pensadores clásicos del desarrollo más representativos son:</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_Toc450230482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16</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483" w:history="1">
            <w:r w:rsidR="00D90A35" w:rsidRPr="000A2024">
              <w:rPr>
                <w:rStyle w:val="Hipervnculo"/>
                <w:rFonts w:ascii="Arial" w:hAnsi="Arial" w:cs="Arial"/>
                <w:noProof/>
                <w:sz w:val="24"/>
                <w:szCs w:val="24"/>
              </w:rPr>
              <w:t>2)</w:t>
            </w:r>
            <w:r w:rsidR="00D90A35" w:rsidRPr="000A2024">
              <w:rPr>
                <w:rFonts w:ascii="Arial" w:hAnsi="Arial" w:cs="Arial"/>
                <w:noProof/>
                <w:sz w:val="24"/>
                <w:szCs w:val="24"/>
              </w:rPr>
              <w:tab/>
            </w:r>
            <w:r w:rsidR="00D90A35" w:rsidRPr="000A2024">
              <w:rPr>
                <w:rStyle w:val="Hipervnculo"/>
                <w:rFonts w:ascii="Arial" w:hAnsi="Arial" w:cs="Arial"/>
                <w:noProof/>
                <w:sz w:val="24"/>
                <w:szCs w:val="24"/>
              </w:rPr>
              <w:t>Corriente neoclásica.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_Toc450230483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18</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484" w:history="1">
            <w:r w:rsidR="00D90A35" w:rsidRPr="000A2024">
              <w:rPr>
                <w:rStyle w:val="Hipervnculo"/>
                <w:rFonts w:ascii="Arial" w:hAnsi="Arial" w:cs="Arial"/>
                <w:noProof/>
                <w:sz w:val="24"/>
                <w:szCs w:val="24"/>
                <w:lang w:val="en-US"/>
              </w:rPr>
              <w:t>3)</w:t>
            </w:r>
            <w:r w:rsidR="00D90A35" w:rsidRPr="000A2024">
              <w:rPr>
                <w:rFonts w:ascii="Arial" w:hAnsi="Arial" w:cs="Arial"/>
                <w:noProof/>
                <w:sz w:val="24"/>
                <w:szCs w:val="24"/>
              </w:rPr>
              <w:tab/>
            </w:r>
            <w:r w:rsidR="00D90A35" w:rsidRPr="000A2024">
              <w:rPr>
                <w:rStyle w:val="Hipervnculo"/>
                <w:rFonts w:ascii="Arial" w:hAnsi="Arial" w:cs="Arial"/>
                <w:noProof/>
                <w:sz w:val="24"/>
                <w:szCs w:val="24"/>
                <w:lang w:val="en-US"/>
              </w:rPr>
              <w:t>Pensamiento Keynesiano. John Maynard Keynes (1936)</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_Toc450230484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19</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485" w:history="1">
            <w:r w:rsidR="00D90A35" w:rsidRPr="000A2024">
              <w:rPr>
                <w:rStyle w:val="Hipervnculo"/>
                <w:rFonts w:ascii="Arial" w:hAnsi="Arial" w:cs="Arial"/>
                <w:noProof/>
                <w:sz w:val="24"/>
                <w:szCs w:val="24"/>
              </w:rPr>
              <w:t>IV.</w:t>
            </w:r>
            <w:r w:rsidR="00D90A35" w:rsidRPr="000A2024">
              <w:rPr>
                <w:rFonts w:ascii="Arial" w:hAnsi="Arial" w:cs="Arial"/>
                <w:noProof/>
                <w:sz w:val="24"/>
                <w:szCs w:val="24"/>
              </w:rPr>
              <w:tab/>
            </w:r>
            <w:r w:rsidR="00D90A35" w:rsidRPr="000A2024">
              <w:rPr>
                <w:rStyle w:val="Hipervnculo"/>
                <w:rFonts w:ascii="Arial" w:hAnsi="Arial" w:cs="Arial"/>
                <w:noProof/>
                <w:sz w:val="24"/>
                <w:szCs w:val="24"/>
              </w:rPr>
              <w:t>Bases teóricas del desarrollo y el crecimiento.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_Toc450230485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20</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486" w:history="1">
            <w:r w:rsidR="00D90A35" w:rsidRPr="000A2024">
              <w:rPr>
                <w:rStyle w:val="Hipervnculo"/>
                <w:rFonts w:ascii="Arial" w:hAnsi="Arial" w:cs="Arial"/>
                <w:noProof/>
                <w:sz w:val="24"/>
                <w:szCs w:val="24"/>
              </w:rPr>
              <w:t></w:t>
            </w:r>
            <w:r w:rsidR="00D90A35" w:rsidRPr="000A2024">
              <w:rPr>
                <w:rFonts w:ascii="Arial" w:hAnsi="Arial" w:cs="Arial"/>
                <w:noProof/>
                <w:sz w:val="24"/>
                <w:szCs w:val="24"/>
              </w:rPr>
              <w:tab/>
            </w:r>
            <w:r w:rsidR="00D90A35" w:rsidRPr="000A2024">
              <w:rPr>
                <w:rStyle w:val="Hipervnculo"/>
                <w:rFonts w:ascii="Arial" w:hAnsi="Arial" w:cs="Arial"/>
                <w:noProof/>
                <w:sz w:val="24"/>
                <w:szCs w:val="24"/>
              </w:rPr>
              <w:t>Modernización</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_Toc450230486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20</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487" w:history="1">
            <w:r w:rsidR="00D90A35" w:rsidRPr="000A2024">
              <w:rPr>
                <w:rStyle w:val="Hipervnculo"/>
                <w:rFonts w:ascii="Arial" w:hAnsi="Arial" w:cs="Arial"/>
                <w:noProof/>
                <w:sz w:val="24"/>
                <w:szCs w:val="24"/>
              </w:rPr>
              <w:t></w:t>
            </w:r>
            <w:r w:rsidR="00D90A35" w:rsidRPr="000A2024">
              <w:rPr>
                <w:rFonts w:ascii="Arial" w:hAnsi="Arial" w:cs="Arial"/>
                <w:noProof/>
                <w:sz w:val="24"/>
                <w:szCs w:val="24"/>
              </w:rPr>
              <w:tab/>
            </w:r>
            <w:r w:rsidR="00D90A35" w:rsidRPr="000A2024">
              <w:rPr>
                <w:rStyle w:val="Hipervnculo"/>
                <w:rFonts w:ascii="Arial" w:hAnsi="Arial" w:cs="Arial"/>
                <w:noProof/>
                <w:sz w:val="24"/>
                <w:szCs w:val="24"/>
              </w:rPr>
              <w:t>Dependencia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_Toc450230487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25</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488" w:history="1">
            <w:r w:rsidR="00D90A35" w:rsidRPr="000A2024">
              <w:rPr>
                <w:rStyle w:val="Hipervnculo"/>
                <w:rFonts w:ascii="Arial" w:hAnsi="Arial" w:cs="Arial"/>
                <w:noProof/>
                <w:sz w:val="24"/>
                <w:szCs w:val="24"/>
              </w:rPr>
              <w:t></w:t>
            </w:r>
            <w:r w:rsidR="00D90A35" w:rsidRPr="000A2024">
              <w:rPr>
                <w:rFonts w:ascii="Arial" w:hAnsi="Arial" w:cs="Arial"/>
                <w:noProof/>
                <w:sz w:val="24"/>
                <w:szCs w:val="24"/>
              </w:rPr>
              <w:tab/>
            </w:r>
            <w:r w:rsidR="00D90A35" w:rsidRPr="000A2024">
              <w:rPr>
                <w:rStyle w:val="Hipervnculo"/>
                <w:rFonts w:ascii="Arial" w:hAnsi="Arial" w:cs="Arial"/>
                <w:noProof/>
                <w:sz w:val="24"/>
                <w:szCs w:val="24"/>
              </w:rPr>
              <w:t>Los sistemas mundiales.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_Toc450230488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28</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489" w:history="1">
            <w:r w:rsidR="00D90A35" w:rsidRPr="000A2024">
              <w:rPr>
                <w:rStyle w:val="Hipervnculo"/>
                <w:rFonts w:ascii="Arial" w:hAnsi="Arial" w:cs="Arial"/>
                <w:noProof/>
                <w:sz w:val="24"/>
                <w:szCs w:val="24"/>
              </w:rPr>
              <w:t></w:t>
            </w:r>
            <w:r w:rsidR="00D90A35" w:rsidRPr="000A2024">
              <w:rPr>
                <w:rFonts w:ascii="Arial" w:hAnsi="Arial" w:cs="Arial"/>
                <w:noProof/>
                <w:sz w:val="24"/>
                <w:szCs w:val="24"/>
              </w:rPr>
              <w:tab/>
            </w:r>
            <w:r w:rsidR="00D90A35" w:rsidRPr="000A2024">
              <w:rPr>
                <w:rStyle w:val="Hipervnculo"/>
                <w:rFonts w:ascii="Arial" w:hAnsi="Arial" w:cs="Arial"/>
                <w:noProof/>
                <w:sz w:val="24"/>
                <w:szCs w:val="24"/>
              </w:rPr>
              <w:t>Teoría de la Globalización.</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_Toc450230489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30</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490" w:history="1">
            <w:r w:rsidR="00D90A35" w:rsidRPr="000A2024">
              <w:rPr>
                <w:rStyle w:val="Hipervnculo"/>
                <w:rFonts w:ascii="Arial" w:hAnsi="Arial" w:cs="Arial"/>
                <w:noProof/>
                <w:sz w:val="24"/>
                <w:szCs w:val="24"/>
              </w:rPr>
              <w:t>V.</w:t>
            </w:r>
            <w:r w:rsidR="00D90A35" w:rsidRPr="000A2024">
              <w:rPr>
                <w:rFonts w:ascii="Arial" w:hAnsi="Arial" w:cs="Arial"/>
                <w:noProof/>
                <w:sz w:val="24"/>
                <w:szCs w:val="24"/>
              </w:rPr>
              <w:tab/>
            </w:r>
            <w:r w:rsidR="00D90A35" w:rsidRPr="000A2024">
              <w:rPr>
                <w:rStyle w:val="Hipervnculo"/>
                <w:rFonts w:ascii="Arial" w:hAnsi="Arial" w:cs="Arial"/>
                <w:noProof/>
                <w:sz w:val="24"/>
                <w:szCs w:val="24"/>
              </w:rPr>
              <w:t>Antecedentes históricos de América Latina del desarrollo y el crecimiento.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_Toc450230490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32</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491" w:history="1">
            <w:r w:rsidR="00D90A35" w:rsidRPr="000A2024">
              <w:rPr>
                <w:rStyle w:val="Hipervnculo"/>
                <w:rFonts w:ascii="Arial" w:hAnsi="Arial" w:cs="Arial"/>
                <w:noProof/>
                <w:sz w:val="24"/>
                <w:szCs w:val="24"/>
              </w:rPr>
              <w:t>VI.</w:t>
            </w:r>
            <w:r w:rsidR="00D90A35" w:rsidRPr="000A2024">
              <w:rPr>
                <w:rFonts w:ascii="Arial" w:hAnsi="Arial" w:cs="Arial"/>
                <w:noProof/>
                <w:sz w:val="24"/>
                <w:szCs w:val="24"/>
              </w:rPr>
              <w:tab/>
            </w:r>
            <w:r w:rsidR="00D90A35" w:rsidRPr="000A2024">
              <w:rPr>
                <w:rStyle w:val="Hipervnculo"/>
                <w:rFonts w:ascii="Arial" w:hAnsi="Arial" w:cs="Arial"/>
                <w:noProof/>
                <w:sz w:val="24"/>
                <w:szCs w:val="24"/>
              </w:rPr>
              <w:t>Desarrollo sostenible.</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_Toc450230491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34</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492" w:history="1">
            <w:r w:rsidR="00D90A35" w:rsidRPr="000A2024">
              <w:rPr>
                <w:rStyle w:val="Hipervnculo"/>
                <w:rFonts w:ascii="Arial" w:hAnsi="Arial" w:cs="Arial"/>
                <w:noProof/>
                <w:sz w:val="24"/>
                <w:szCs w:val="24"/>
              </w:rPr>
              <w:t>VII.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Desarrollo humano.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_Toc450230492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37</w:t>
            </w:r>
            <w:r w:rsidR="00D90A35" w:rsidRPr="000A2024">
              <w:rPr>
                <w:rFonts w:ascii="Arial" w:hAnsi="Arial" w:cs="Arial"/>
                <w:noProof/>
                <w:webHidden/>
                <w:sz w:val="24"/>
                <w:szCs w:val="24"/>
              </w:rPr>
              <w:fldChar w:fldCharType="end"/>
            </w:r>
          </w:hyperlink>
        </w:p>
        <w:p w:rsidR="00D90A35" w:rsidRPr="000A2024" w:rsidRDefault="009D4BD6">
          <w:pPr>
            <w:pStyle w:val="TDC3"/>
            <w:tabs>
              <w:tab w:val="right" w:leader="dot" w:pos="8828"/>
            </w:tabs>
            <w:rPr>
              <w:rFonts w:ascii="Arial" w:hAnsi="Arial" w:cs="Arial"/>
              <w:noProof/>
              <w:sz w:val="24"/>
              <w:szCs w:val="24"/>
            </w:rPr>
          </w:pPr>
          <w:hyperlink w:anchor="_Toc450230493" w:history="1">
            <w:r w:rsidR="00D90A35" w:rsidRPr="000A2024">
              <w:rPr>
                <w:rStyle w:val="Hipervnculo"/>
                <w:rFonts w:ascii="Arial" w:hAnsi="Arial" w:cs="Arial"/>
                <w:noProof/>
                <w:sz w:val="24"/>
                <w:szCs w:val="24"/>
              </w:rPr>
              <w:t>Concepto de desarrollo humano.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_Toc450230493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38</w:t>
            </w:r>
            <w:r w:rsidR="00D90A35" w:rsidRPr="000A2024">
              <w:rPr>
                <w:rFonts w:ascii="Arial" w:hAnsi="Arial" w:cs="Arial"/>
                <w:noProof/>
                <w:webHidden/>
                <w:sz w:val="24"/>
                <w:szCs w:val="24"/>
              </w:rPr>
              <w:fldChar w:fldCharType="end"/>
            </w:r>
          </w:hyperlink>
        </w:p>
        <w:p w:rsidR="00D90A35" w:rsidRPr="000A2024" w:rsidRDefault="009D4BD6">
          <w:pPr>
            <w:pStyle w:val="TDC3"/>
            <w:tabs>
              <w:tab w:val="right" w:leader="dot" w:pos="8828"/>
            </w:tabs>
            <w:rPr>
              <w:rFonts w:ascii="Arial" w:hAnsi="Arial" w:cs="Arial"/>
              <w:noProof/>
              <w:sz w:val="24"/>
              <w:szCs w:val="24"/>
            </w:rPr>
          </w:pPr>
          <w:hyperlink w:anchor="_Toc450230494" w:history="1">
            <w:r w:rsidR="00D90A35" w:rsidRPr="000A2024">
              <w:rPr>
                <w:rStyle w:val="Hipervnculo"/>
                <w:rFonts w:ascii="Arial" w:hAnsi="Arial" w:cs="Arial"/>
                <w:noProof/>
                <w:sz w:val="24"/>
                <w:szCs w:val="24"/>
              </w:rPr>
              <w:t>¿Bien-estar o bienestar humano?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_Toc450230494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40</w:t>
            </w:r>
            <w:r w:rsidR="00D90A35" w:rsidRPr="000A2024">
              <w:rPr>
                <w:rFonts w:ascii="Arial" w:hAnsi="Arial" w:cs="Arial"/>
                <w:noProof/>
                <w:webHidden/>
                <w:sz w:val="24"/>
                <w:szCs w:val="24"/>
              </w:rPr>
              <w:fldChar w:fldCharType="end"/>
            </w:r>
          </w:hyperlink>
        </w:p>
        <w:p w:rsidR="00D90A35" w:rsidRPr="000A2024" w:rsidRDefault="009D4BD6">
          <w:pPr>
            <w:pStyle w:val="TDC1"/>
            <w:tabs>
              <w:tab w:val="right" w:leader="dot" w:pos="8828"/>
            </w:tabs>
            <w:rPr>
              <w:rFonts w:ascii="Arial" w:hAnsi="Arial" w:cs="Arial"/>
              <w:noProof/>
              <w:sz w:val="24"/>
              <w:szCs w:val="24"/>
            </w:rPr>
          </w:pPr>
          <w:hyperlink w:anchor="_Toc450230495" w:history="1">
            <w:r w:rsidR="00D90A35" w:rsidRPr="000A2024">
              <w:rPr>
                <w:rStyle w:val="Hipervnculo"/>
                <w:rFonts w:ascii="Arial" w:hAnsi="Arial" w:cs="Arial"/>
                <w:noProof/>
                <w:sz w:val="24"/>
                <w:szCs w:val="24"/>
              </w:rPr>
              <w:t>Capítulo II: Pobreza.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_Toc450230495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45</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496" w:history="1">
            <w:r w:rsidR="00D90A35" w:rsidRPr="000A2024">
              <w:rPr>
                <w:rStyle w:val="Hipervnculo"/>
                <w:rFonts w:ascii="Arial" w:hAnsi="Arial" w:cs="Arial"/>
                <w:noProof/>
                <w:sz w:val="24"/>
                <w:szCs w:val="24"/>
              </w:rPr>
              <w:t>I.</w:t>
            </w:r>
            <w:r w:rsidR="00D90A35" w:rsidRPr="000A2024">
              <w:rPr>
                <w:rFonts w:ascii="Arial" w:hAnsi="Arial" w:cs="Arial"/>
                <w:noProof/>
                <w:sz w:val="24"/>
                <w:szCs w:val="24"/>
              </w:rPr>
              <w:tab/>
            </w:r>
            <w:r w:rsidR="00D90A35" w:rsidRPr="000A2024">
              <w:rPr>
                <w:rStyle w:val="Hipervnculo"/>
                <w:rFonts w:ascii="Arial" w:hAnsi="Arial" w:cs="Arial"/>
                <w:noProof/>
                <w:sz w:val="24"/>
                <w:szCs w:val="24"/>
              </w:rPr>
              <w:t>Una concepción coloquial de la Pobreza.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_Toc450230496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45</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497" w:history="1">
            <w:r w:rsidR="00D90A35" w:rsidRPr="000A2024">
              <w:rPr>
                <w:rStyle w:val="Hipervnculo"/>
                <w:rFonts w:ascii="Arial" w:hAnsi="Arial" w:cs="Arial"/>
                <w:noProof/>
                <w:sz w:val="24"/>
                <w:szCs w:val="24"/>
              </w:rPr>
              <w:t>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familia de definiciones de Pobreza de Paul Spicker.</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_Toc450230497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47</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498" w:history="1">
            <w:r w:rsidR="00D90A35" w:rsidRPr="000A2024">
              <w:rPr>
                <w:rStyle w:val="Hipervnculo"/>
                <w:rFonts w:ascii="Arial" w:hAnsi="Arial" w:cs="Arial"/>
                <w:noProof/>
                <w:sz w:val="24"/>
                <w:szCs w:val="24"/>
              </w:rPr>
              <w:t>III.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Definiciones de Pobreza.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_Toc450230498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49</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499" w:history="1">
            <w:r w:rsidR="00D90A35" w:rsidRPr="000A2024">
              <w:rPr>
                <w:rStyle w:val="Hipervnculo"/>
                <w:rFonts w:ascii="Arial" w:hAnsi="Arial" w:cs="Arial"/>
                <w:noProof/>
                <w:sz w:val="24"/>
                <w:szCs w:val="24"/>
              </w:rPr>
              <w:t>IV.</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medición de la pobreza como un fenómeno multidimensional.</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_Toc450230499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51</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500" w:history="1">
            <w:r w:rsidR="00D90A35" w:rsidRPr="000A2024">
              <w:rPr>
                <w:rStyle w:val="Hipervnculo"/>
                <w:rFonts w:ascii="Arial" w:hAnsi="Arial" w:cs="Arial"/>
                <w:noProof/>
                <w:sz w:val="24"/>
                <w:szCs w:val="24"/>
              </w:rPr>
              <w:t>V.</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recomendación de la División de Estadística de la CEPAL para realizar una mejor medición multidimensional de la pobreza.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_Toc450230500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53</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01" w:history="1">
            <w:r w:rsidR="00D90A35" w:rsidRPr="000A2024">
              <w:rPr>
                <w:rStyle w:val="Hipervnculo"/>
                <w:rFonts w:ascii="Arial" w:hAnsi="Arial" w:cs="Arial"/>
                <w:noProof/>
                <w:sz w:val="24"/>
                <w:szCs w:val="24"/>
              </w:rPr>
              <w:t>VI.</w:t>
            </w:r>
            <w:r w:rsidR="00D90A35" w:rsidRPr="000A2024">
              <w:rPr>
                <w:rFonts w:ascii="Arial" w:hAnsi="Arial" w:cs="Arial"/>
                <w:noProof/>
                <w:sz w:val="24"/>
                <w:szCs w:val="24"/>
              </w:rPr>
              <w:tab/>
            </w:r>
            <w:r w:rsidR="00D90A35" w:rsidRPr="000A2024">
              <w:rPr>
                <w:rStyle w:val="Hipervnculo"/>
                <w:rFonts w:ascii="Arial" w:hAnsi="Arial" w:cs="Arial"/>
                <w:noProof/>
                <w:sz w:val="24"/>
                <w:szCs w:val="24"/>
              </w:rPr>
              <w:t>Medición de la pobreza: métodos de identificación.</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_Toc450230501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55</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02" w:history="1">
            <w:r w:rsidR="00D90A35" w:rsidRPr="000A2024">
              <w:rPr>
                <w:rStyle w:val="Hipervnculo"/>
                <w:rFonts w:ascii="Arial" w:hAnsi="Arial" w:cs="Arial"/>
                <w:noProof/>
                <w:sz w:val="24"/>
                <w:szCs w:val="24"/>
              </w:rPr>
              <w:t>VII.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Avances metodológicos recientes.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_Toc450230502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59</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03" w:history="1">
            <w:r w:rsidR="00D90A35" w:rsidRPr="000A2024">
              <w:rPr>
                <w:rStyle w:val="Hipervnculo"/>
                <w:rFonts w:ascii="Arial" w:hAnsi="Arial" w:cs="Arial"/>
                <w:noProof/>
                <w:sz w:val="24"/>
                <w:szCs w:val="24"/>
              </w:rPr>
              <w:t>VIII.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importancia del combate a la pobreza.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_Toc450230503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62</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04" w:history="1">
            <w:r w:rsidR="00D90A35" w:rsidRPr="000A2024">
              <w:rPr>
                <w:rStyle w:val="Hipervnculo"/>
                <w:rFonts w:ascii="Arial" w:hAnsi="Arial" w:cs="Arial"/>
                <w:noProof/>
                <w:sz w:val="24"/>
                <w:szCs w:val="24"/>
              </w:rPr>
              <w:t>IX.</w:t>
            </w:r>
            <w:r w:rsidR="00D90A35" w:rsidRPr="000A2024">
              <w:rPr>
                <w:rFonts w:ascii="Arial" w:hAnsi="Arial" w:cs="Arial"/>
                <w:noProof/>
                <w:sz w:val="24"/>
                <w:szCs w:val="24"/>
              </w:rPr>
              <w:tab/>
            </w:r>
            <w:r w:rsidR="00D90A35" w:rsidRPr="000A2024">
              <w:rPr>
                <w:rStyle w:val="Hipervnculo"/>
                <w:rFonts w:ascii="Arial" w:hAnsi="Arial" w:cs="Arial"/>
                <w:noProof/>
                <w:sz w:val="24"/>
                <w:szCs w:val="24"/>
              </w:rPr>
              <w:t>Los Principios Rectores sobre la extrema pobreza y los derechos humanos de las Naciones Unidas.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_Toc450230504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64</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505" w:history="1">
            <w:r w:rsidR="00D90A35" w:rsidRPr="000A2024">
              <w:rPr>
                <w:rStyle w:val="Hipervnculo"/>
                <w:rFonts w:ascii="Arial" w:hAnsi="Arial" w:cs="Arial"/>
                <w:noProof/>
                <w:sz w:val="24"/>
                <w:szCs w:val="24"/>
              </w:rPr>
              <w:t>X.</w:t>
            </w:r>
            <w:r w:rsidR="00D90A35" w:rsidRPr="000A2024">
              <w:rPr>
                <w:rFonts w:ascii="Arial" w:hAnsi="Arial" w:cs="Arial"/>
                <w:noProof/>
                <w:sz w:val="24"/>
                <w:szCs w:val="24"/>
              </w:rPr>
              <w:tab/>
            </w:r>
            <w:r w:rsidR="00D90A35" w:rsidRPr="000A2024">
              <w:rPr>
                <w:rStyle w:val="Hipervnculo"/>
                <w:rFonts w:ascii="Arial" w:hAnsi="Arial" w:cs="Arial"/>
                <w:noProof/>
                <w:sz w:val="24"/>
                <w:szCs w:val="24"/>
              </w:rPr>
              <w:t>Principios básicos de los Principios Rectores.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_Toc450230505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65</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06" w:history="1">
            <w:r w:rsidR="00D90A35" w:rsidRPr="000A2024">
              <w:rPr>
                <w:rStyle w:val="Hipervnculo"/>
                <w:rFonts w:ascii="Arial" w:hAnsi="Arial" w:cs="Arial"/>
                <w:noProof/>
                <w:sz w:val="24"/>
                <w:szCs w:val="24"/>
              </w:rPr>
              <w:t>XI.</w:t>
            </w:r>
            <w:r w:rsidR="00D90A35" w:rsidRPr="000A2024">
              <w:rPr>
                <w:rFonts w:ascii="Arial" w:hAnsi="Arial" w:cs="Arial"/>
                <w:noProof/>
                <w:sz w:val="24"/>
                <w:szCs w:val="24"/>
              </w:rPr>
              <w:tab/>
            </w:r>
            <w:r w:rsidR="00D90A35" w:rsidRPr="000A2024">
              <w:rPr>
                <w:rStyle w:val="Hipervnculo"/>
                <w:rFonts w:ascii="Arial" w:hAnsi="Arial" w:cs="Arial"/>
                <w:noProof/>
                <w:sz w:val="24"/>
                <w:szCs w:val="24"/>
              </w:rPr>
              <w:t>Los Ocho Objetivos de desarrollo del milenio para el 2015 y el papel de las Naciones Unidas.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_Toc450230506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70</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07" w:history="1">
            <w:r w:rsidR="00D90A35" w:rsidRPr="000A2024">
              <w:rPr>
                <w:rStyle w:val="Hipervnculo"/>
                <w:rFonts w:ascii="Arial" w:hAnsi="Arial" w:cs="Arial"/>
                <w:noProof/>
                <w:sz w:val="24"/>
                <w:szCs w:val="24"/>
              </w:rPr>
              <w:t>1)</w:t>
            </w:r>
            <w:r w:rsidR="00D90A35" w:rsidRPr="000A2024">
              <w:rPr>
                <w:rFonts w:ascii="Arial" w:hAnsi="Arial" w:cs="Arial"/>
                <w:noProof/>
                <w:sz w:val="24"/>
                <w:szCs w:val="24"/>
              </w:rPr>
              <w:tab/>
            </w:r>
            <w:r w:rsidR="00D90A35" w:rsidRPr="000A2024">
              <w:rPr>
                <w:rStyle w:val="Hipervnculo"/>
                <w:rFonts w:ascii="Arial" w:hAnsi="Arial" w:cs="Arial"/>
                <w:noProof/>
                <w:sz w:val="24"/>
                <w:szCs w:val="24"/>
              </w:rPr>
              <w:t>Reducir a la mitad la pobreza extrema y el hambre.</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_Toc450230507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73</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08" w:history="1">
            <w:r w:rsidR="00D90A35" w:rsidRPr="000A2024">
              <w:rPr>
                <w:rStyle w:val="Hipervnculo"/>
                <w:rFonts w:ascii="Arial" w:hAnsi="Arial" w:cs="Arial"/>
                <w:noProof/>
                <w:sz w:val="24"/>
                <w:szCs w:val="24"/>
              </w:rPr>
              <w:t>2)</w:t>
            </w:r>
            <w:r w:rsidR="00D90A35" w:rsidRPr="000A2024">
              <w:rPr>
                <w:rFonts w:ascii="Arial" w:hAnsi="Arial" w:cs="Arial"/>
                <w:noProof/>
                <w:sz w:val="24"/>
                <w:szCs w:val="24"/>
              </w:rPr>
              <w:tab/>
            </w:r>
            <w:r w:rsidR="00D90A35" w:rsidRPr="000A2024">
              <w:rPr>
                <w:rStyle w:val="Hipervnculo"/>
                <w:rFonts w:ascii="Arial" w:hAnsi="Arial" w:cs="Arial"/>
                <w:noProof/>
                <w:sz w:val="24"/>
                <w:szCs w:val="24"/>
              </w:rPr>
              <w:t>Lograr la enseñanza primaria universal.</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_Toc450230508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75</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09" w:history="1">
            <w:r w:rsidR="00D90A35" w:rsidRPr="000A2024">
              <w:rPr>
                <w:rStyle w:val="Hipervnculo"/>
                <w:rFonts w:ascii="Arial" w:hAnsi="Arial" w:cs="Arial"/>
                <w:noProof/>
                <w:sz w:val="24"/>
                <w:szCs w:val="24"/>
              </w:rPr>
              <w:t>3)</w:t>
            </w:r>
            <w:r w:rsidR="00D90A35" w:rsidRPr="000A2024">
              <w:rPr>
                <w:rFonts w:ascii="Arial" w:hAnsi="Arial" w:cs="Arial"/>
                <w:noProof/>
                <w:sz w:val="24"/>
                <w:szCs w:val="24"/>
              </w:rPr>
              <w:tab/>
            </w:r>
            <w:r w:rsidR="00D90A35" w:rsidRPr="000A2024">
              <w:rPr>
                <w:rStyle w:val="Hipervnculo"/>
                <w:rFonts w:ascii="Arial" w:hAnsi="Arial" w:cs="Arial"/>
                <w:noProof/>
                <w:sz w:val="24"/>
                <w:szCs w:val="24"/>
              </w:rPr>
              <w:t>Proporcionar autonomía y empoderamiento a las mujeres y además, promover la equidad entre mujeres y hombres.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_Toc450230509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75</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10" w:history="1">
            <w:r w:rsidR="00D90A35" w:rsidRPr="000A2024">
              <w:rPr>
                <w:rStyle w:val="Hipervnculo"/>
                <w:rFonts w:ascii="Arial" w:hAnsi="Arial" w:cs="Arial"/>
                <w:noProof/>
                <w:sz w:val="24"/>
                <w:szCs w:val="24"/>
              </w:rPr>
              <w:t>4)</w:t>
            </w:r>
            <w:r w:rsidR="00D90A35" w:rsidRPr="000A2024">
              <w:rPr>
                <w:rFonts w:ascii="Arial" w:hAnsi="Arial" w:cs="Arial"/>
                <w:noProof/>
                <w:sz w:val="24"/>
                <w:szCs w:val="24"/>
              </w:rPr>
              <w:tab/>
            </w:r>
            <w:r w:rsidR="00D90A35" w:rsidRPr="000A2024">
              <w:rPr>
                <w:rStyle w:val="Hipervnculo"/>
                <w:rFonts w:ascii="Arial" w:hAnsi="Arial" w:cs="Arial"/>
                <w:noProof/>
                <w:sz w:val="24"/>
                <w:szCs w:val="24"/>
              </w:rPr>
              <w:t>Reducir en dos terceras partes la mortalidad de niños menores de cinco años.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_Toc450230510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76</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11" w:history="1">
            <w:r w:rsidR="00D90A35" w:rsidRPr="000A2024">
              <w:rPr>
                <w:rStyle w:val="Hipervnculo"/>
                <w:rFonts w:ascii="Arial" w:hAnsi="Arial" w:cs="Arial"/>
                <w:noProof/>
                <w:sz w:val="24"/>
                <w:szCs w:val="24"/>
              </w:rPr>
              <w:t>5)</w:t>
            </w:r>
            <w:r w:rsidR="00D90A35" w:rsidRPr="000A2024">
              <w:rPr>
                <w:rFonts w:ascii="Arial" w:hAnsi="Arial" w:cs="Arial"/>
                <w:noProof/>
                <w:sz w:val="24"/>
                <w:szCs w:val="24"/>
              </w:rPr>
              <w:tab/>
            </w:r>
            <w:r w:rsidR="00D90A35" w:rsidRPr="000A2024">
              <w:rPr>
                <w:rStyle w:val="Hipervnculo"/>
                <w:rFonts w:ascii="Arial" w:hAnsi="Arial" w:cs="Arial"/>
                <w:noProof/>
                <w:sz w:val="24"/>
                <w:szCs w:val="24"/>
              </w:rPr>
              <w:t>Reducir en tres cuartas partes la mortalidad materna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_Toc450230511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76</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12" w:history="1">
            <w:r w:rsidR="00D90A35" w:rsidRPr="000A2024">
              <w:rPr>
                <w:rStyle w:val="Hipervnculo"/>
                <w:rFonts w:ascii="Arial" w:hAnsi="Arial" w:cs="Arial"/>
                <w:noProof/>
                <w:sz w:val="24"/>
                <w:szCs w:val="24"/>
              </w:rPr>
              <w:t>6)</w:t>
            </w:r>
            <w:r w:rsidR="00D90A35" w:rsidRPr="000A2024">
              <w:rPr>
                <w:rFonts w:ascii="Arial" w:hAnsi="Arial" w:cs="Arial"/>
                <w:noProof/>
                <w:sz w:val="24"/>
                <w:szCs w:val="24"/>
              </w:rPr>
              <w:tab/>
            </w:r>
            <w:r w:rsidR="00D90A35" w:rsidRPr="000A2024">
              <w:rPr>
                <w:rStyle w:val="Hipervnculo"/>
                <w:rFonts w:ascii="Arial" w:hAnsi="Arial" w:cs="Arial"/>
                <w:noProof/>
                <w:sz w:val="24"/>
                <w:szCs w:val="24"/>
              </w:rPr>
              <w:t>Combatir la propagación de enfermedades, sobre todo el VIH/SIDA y el paludismo.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_Toc450230512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77</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13" w:history="1">
            <w:r w:rsidR="00D90A35" w:rsidRPr="000A2024">
              <w:rPr>
                <w:rStyle w:val="Hipervnculo"/>
                <w:rFonts w:ascii="Arial" w:hAnsi="Arial" w:cs="Arial"/>
                <w:noProof/>
                <w:sz w:val="24"/>
                <w:szCs w:val="24"/>
              </w:rPr>
              <w:t>7)</w:t>
            </w:r>
            <w:r w:rsidR="00D90A35" w:rsidRPr="000A2024">
              <w:rPr>
                <w:rFonts w:ascii="Arial" w:hAnsi="Arial" w:cs="Arial"/>
                <w:noProof/>
                <w:sz w:val="24"/>
                <w:szCs w:val="24"/>
              </w:rPr>
              <w:tab/>
            </w:r>
            <w:r w:rsidR="00D90A35" w:rsidRPr="000A2024">
              <w:rPr>
                <w:rStyle w:val="Hipervnculo"/>
                <w:rFonts w:ascii="Arial" w:hAnsi="Arial" w:cs="Arial"/>
                <w:noProof/>
                <w:sz w:val="24"/>
                <w:szCs w:val="24"/>
              </w:rPr>
              <w:t>Garantizar la sostenibilidad medioambiental</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_Toc450230513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78</w:t>
            </w:r>
            <w:r w:rsidR="00D90A35" w:rsidRPr="000A2024">
              <w:rPr>
                <w:rFonts w:ascii="Arial" w:hAnsi="Arial" w:cs="Arial"/>
                <w:noProof/>
                <w:webHidden/>
                <w:sz w:val="24"/>
                <w:szCs w:val="24"/>
              </w:rPr>
              <w:fldChar w:fldCharType="end"/>
            </w:r>
          </w:hyperlink>
        </w:p>
        <w:p w:rsidR="00D90A35" w:rsidRPr="000A2024" w:rsidRDefault="009D4BD6">
          <w:pPr>
            <w:pStyle w:val="TDC3"/>
            <w:tabs>
              <w:tab w:val="left" w:pos="880"/>
              <w:tab w:val="right" w:leader="dot" w:pos="8828"/>
            </w:tabs>
            <w:rPr>
              <w:rFonts w:ascii="Arial" w:hAnsi="Arial" w:cs="Arial"/>
              <w:noProof/>
              <w:sz w:val="24"/>
              <w:szCs w:val="24"/>
            </w:rPr>
          </w:pPr>
          <w:hyperlink w:anchor="_Toc450230514" w:history="1">
            <w:r w:rsidR="00D90A35" w:rsidRPr="000A2024">
              <w:rPr>
                <w:rStyle w:val="Hipervnculo"/>
                <w:rFonts w:ascii="Arial" w:hAnsi="Arial" w:cs="Arial"/>
                <w:noProof/>
                <w:sz w:val="24"/>
                <w:szCs w:val="24"/>
              </w:rPr>
              <w:t>8)</w:t>
            </w:r>
            <w:r w:rsidR="00D90A35" w:rsidRPr="000A2024">
              <w:rPr>
                <w:rFonts w:ascii="Arial" w:hAnsi="Arial" w:cs="Arial"/>
                <w:noProof/>
                <w:sz w:val="24"/>
                <w:szCs w:val="24"/>
              </w:rPr>
              <w:tab/>
            </w:r>
            <w:r w:rsidR="00D90A35" w:rsidRPr="000A2024">
              <w:rPr>
                <w:rStyle w:val="Hipervnculo"/>
                <w:rFonts w:ascii="Arial" w:hAnsi="Arial" w:cs="Arial"/>
                <w:noProof/>
                <w:sz w:val="24"/>
                <w:szCs w:val="24"/>
              </w:rPr>
              <w:t>Establecer una asociación mundial para el desarrollo, con objetivos sobre ayuda, comercio y alivio de la deuda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_Toc450230514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79</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15" w:history="1">
            <w:r w:rsidR="00D90A35" w:rsidRPr="000A2024">
              <w:rPr>
                <w:rStyle w:val="Hipervnculo"/>
                <w:rFonts w:ascii="Arial" w:hAnsi="Arial" w:cs="Arial"/>
                <w:noProof/>
                <w:sz w:val="24"/>
                <w:szCs w:val="24"/>
              </w:rPr>
              <w:t>XII.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fase final del combate contra la pobreza en los nuevos objetivos del milenio.</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_Toc450230515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80</w:t>
            </w:r>
            <w:r w:rsidR="00D90A35" w:rsidRPr="000A2024">
              <w:rPr>
                <w:rFonts w:ascii="Arial" w:hAnsi="Arial" w:cs="Arial"/>
                <w:noProof/>
                <w:webHidden/>
                <w:sz w:val="24"/>
                <w:szCs w:val="24"/>
              </w:rPr>
              <w:fldChar w:fldCharType="end"/>
            </w:r>
          </w:hyperlink>
        </w:p>
        <w:p w:rsidR="00D90A35" w:rsidRPr="000A2024" w:rsidRDefault="009D4BD6">
          <w:pPr>
            <w:pStyle w:val="TDC1"/>
            <w:tabs>
              <w:tab w:val="right" w:leader="dot" w:pos="8828"/>
            </w:tabs>
            <w:rPr>
              <w:rFonts w:ascii="Arial" w:hAnsi="Arial" w:cs="Arial"/>
              <w:noProof/>
              <w:sz w:val="24"/>
              <w:szCs w:val="24"/>
            </w:rPr>
          </w:pPr>
          <w:hyperlink w:anchor="_Toc450230516" w:history="1">
            <w:r w:rsidR="00D90A35" w:rsidRPr="000A2024">
              <w:rPr>
                <w:rStyle w:val="Hipervnculo"/>
                <w:rFonts w:ascii="Arial" w:hAnsi="Arial" w:cs="Arial"/>
                <w:noProof/>
                <w:sz w:val="24"/>
                <w:szCs w:val="24"/>
              </w:rPr>
              <w:t>Capítulo III: Uruguay.</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_Toc450230516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83</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517" w:history="1">
            <w:r w:rsidR="00D90A35" w:rsidRPr="000A2024">
              <w:rPr>
                <w:rStyle w:val="Hipervnculo"/>
                <w:rFonts w:ascii="Arial" w:hAnsi="Arial" w:cs="Arial"/>
                <w:noProof/>
                <w:sz w:val="24"/>
                <w:szCs w:val="24"/>
              </w:rPr>
              <w:t>I.</w:t>
            </w:r>
            <w:r w:rsidR="00D90A35" w:rsidRPr="000A2024">
              <w:rPr>
                <w:rFonts w:ascii="Arial" w:hAnsi="Arial" w:cs="Arial"/>
                <w:noProof/>
                <w:sz w:val="24"/>
                <w:szCs w:val="24"/>
              </w:rPr>
              <w:tab/>
            </w:r>
            <w:r w:rsidR="00D90A35" w:rsidRPr="000A2024">
              <w:rPr>
                <w:rStyle w:val="Hipervnculo"/>
                <w:rFonts w:ascii="Arial" w:hAnsi="Arial" w:cs="Arial"/>
                <w:noProof/>
                <w:sz w:val="24"/>
                <w:szCs w:val="24"/>
              </w:rPr>
              <w:t>Estructura determinante de la pobreza en Uruguay en los noventas.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_Toc450230517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83</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518" w:history="1">
            <w:r w:rsidR="00D90A35" w:rsidRPr="000A2024">
              <w:rPr>
                <w:rStyle w:val="Hipervnculo"/>
                <w:rFonts w:ascii="Arial" w:hAnsi="Arial" w:cs="Arial"/>
                <w:noProof/>
                <w:sz w:val="24"/>
                <w:szCs w:val="24"/>
              </w:rPr>
              <w:t>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Dinámica de la pobreza en Uruguay.</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_Toc450230518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86</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19" w:history="1">
            <w:r w:rsidR="00D90A35" w:rsidRPr="000A2024">
              <w:rPr>
                <w:rStyle w:val="Hipervnculo"/>
                <w:rFonts w:ascii="Arial" w:hAnsi="Arial" w:cs="Arial"/>
                <w:noProof/>
                <w:sz w:val="24"/>
                <w:szCs w:val="24"/>
              </w:rPr>
              <w:t>III.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multidimensionalidad de la pobreza y la desigualdad en Uruguay.</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_Toc450230519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87</w:t>
            </w:r>
            <w:r w:rsidR="00D90A35" w:rsidRPr="000A2024">
              <w:rPr>
                <w:rFonts w:ascii="Arial" w:hAnsi="Arial" w:cs="Arial"/>
                <w:noProof/>
                <w:webHidden/>
                <w:sz w:val="24"/>
                <w:szCs w:val="24"/>
              </w:rPr>
              <w:fldChar w:fldCharType="end"/>
            </w:r>
          </w:hyperlink>
        </w:p>
        <w:p w:rsidR="00D90A35" w:rsidRPr="000A2024" w:rsidRDefault="009D4BD6">
          <w:pPr>
            <w:pStyle w:val="TDC3"/>
            <w:tabs>
              <w:tab w:val="right" w:leader="dot" w:pos="8828"/>
            </w:tabs>
            <w:rPr>
              <w:rFonts w:ascii="Arial" w:hAnsi="Arial" w:cs="Arial"/>
              <w:noProof/>
              <w:sz w:val="24"/>
              <w:szCs w:val="24"/>
            </w:rPr>
          </w:pPr>
          <w:hyperlink w:anchor="_Toc450230520" w:history="1">
            <w:r w:rsidR="00D90A35" w:rsidRPr="000A2024">
              <w:rPr>
                <w:rStyle w:val="Hipervnculo"/>
                <w:rFonts w:ascii="Arial" w:hAnsi="Arial" w:cs="Arial"/>
                <w:noProof/>
                <w:sz w:val="24"/>
                <w:szCs w:val="24"/>
              </w:rPr>
              <w:t>Las dimensiones y los indicadores utilizados en el trabajo de Colafranceschi et al. (2013).</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_Toc450230520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87</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21" w:history="1">
            <w:r w:rsidR="00D90A35" w:rsidRPr="000A2024">
              <w:rPr>
                <w:rStyle w:val="Hipervnculo"/>
                <w:rFonts w:ascii="Arial" w:hAnsi="Arial" w:cs="Arial"/>
                <w:noProof/>
                <w:sz w:val="24"/>
                <w:szCs w:val="24"/>
              </w:rPr>
              <w:t>IV.</w:t>
            </w:r>
            <w:r w:rsidR="00D90A35" w:rsidRPr="000A2024">
              <w:rPr>
                <w:rFonts w:ascii="Arial" w:hAnsi="Arial" w:cs="Arial"/>
                <w:noProof/>
                <w:sz w:val="24"/>
                <w:szCs w:val="24"/>
              </w:rPr>
              <w:tab/>
            </w:r>
            <w:r w:rsidR="00D90A35" w:rsidRPr="000A2024">
              <w:rPr>
                <w:rStyle w:val="Hipervnculo"/>
                <w:rFonts w:ascii="Arial" w:hAnsi="Arial" w:cs="Arial"/>
                <w:noProof/>
                <w:sz w:val="24"/>
                <w:szCs w:val="24"/>
              </w:rPr>
              <w:t>Métodos empleados en el estudio de Colafranceschi et al. (2013)</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_Toc450230521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95</w:t>
            </w:r>
            <w:r w:rsidR="00D90A35" w:rsidRPr="000A2024">
              <w:rPr>
                <w:rFonts w:ascii="Arial" w:hAnsi="Arial" w:cs="Arial"/>
                <w:noProof/>
                <w:webHidden/>
                <w:sz w:val="24"/>
                <w:szCs w:val="24"/>
              </w:rPr>
              <w:fldChar w:fldCharType="end"/>
            </w:r>
          </w:hyperlink>
        </w:p>
        <w:p w:rsidR="00D90A35" w:rsidRPr="000A2024" w:rsidRDefault="009D4BD6">
          <w:pPr>
            <w:pStyle w:val="TDC3"/>
            <w:tabs>
              <w:tab w:val="right" w:leader="dot" w:pos="8828"/>
            </w:tabs>
            <w:rPr>
              <w:rFonts w:ascii="Arial" w:hAnsi="Arial" w:cs="Arial"/>
              <w:noProof/>
              <w:sz w:val="24"/>
              <w:szCs w:val="24"/>
            </w:rPr>
          </w:pPr>
          <w:hyperlink w:anchor="_Toc450230522" w:history="1">
            <w:r w:rsidR="00D90A35" w:rsidRPr="000A2024">
              <w:rPr>
                <w:rStyle w:val="Hipervnculo"/>
                <w:rFonts w:ascii="Arial" w:hAnsi="Arial" w:cs="Arial"/>
                <w:noProof/>
                <w:sz w:val="24"/>
                <w:szCs w:val="24"/>
              </w:rPr>
              <w:t>Evolución de los desempeños considerados por estrato de ingreso en el periodo 2006 – 2011 de Colafranceschi et al.</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_Toc450230522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97</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660"/>
              <w:tab w:val="right" w:leader="dot" w:pos="8828"/>
            </w:tabs>
            <w:rPr>
              <w:rFonts w:ascii="Arial" w:hAnsi="Arial" w:cs="Arial"/>
              <w:noProof/>
              <w:sz w:val="24"/>
              <w:szCs w:val="24"/>
            </w:rPr>
          </w:pPr>
          <w:hyperlink w:anchor="_Toc450230523" w:history="1">
            <w:r w:rsidR="00D90A35" w:rsidRPr="000A2024">
              <w:rPr>
                <w:rStyle w:val="Hipervnculo"/>
                <w:rFonts w:ascii="Arial" w:hAnsi="Arial" w:cs="Arial"/>
                <w:noProof/>
                <w:sz w:val="24"/>
                <w:szCs w:val="24"/>
              </w:rPr>
              <w:t>V.</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evolución de la desigualdad multidimensional en Uruguay durante el periodo 2006 – 2011 según Colafranceschi et al.</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_Toc450230523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99</w:t>
            </w:r>
            <w:r w:rsidR="00D90A35" w:rsidRPr="000A2024">
              <w:rPr>
                <w:rFonts w:ascii="Arial" w:hAnsi="Arial" w:cs="Arial"/>
                <w:noProof/>
                <w:webHidden/>
                <w:sz w:val="24"/>
                <w:szCs w:val="24"/>
              </w:rPr>
              <w:fldChar w:fldCharType="end"/>
            </w:r>
          </w:hyperlink>
        </w:p>
        <w:p w:rsidR="00D90A35" w:rsidRPr="000A2024" w:rsidRDefault="009D4BD6">
          <w:pPr>
            <w:pStyle w:val="TDC3"/>
            <w:tabs>
              <w:tab w:val="right" w:leader="dot" w:pos="8828"/>
            </w:tabs>
            <w:rPr>
              <w:rFonts w:ascii="Arial" w:hAnsi="Arial" w:cs="Arial"/>
              <w:noProof/>
              <w:sz w:val="24"/>
              <w:szCs w:val="24"/>
            </w:rPr>
          </w:pPr>
          <w:hyperlink w:anchor="_Toc450230524" w:history="1">
            <w:r w:rsidR="00D90A35" w:rsidRPr="000A2024">
              <w:rPr>
                <w:rStyle w:val="Hipervnculo"/>
                <w:rFonts w:ascii="Arial" w:hAnsi="Arial" w:cs="Arial"/>
                <w:noProof/>
                <w:sz w:val="24"/>
                <w:szCs w:val="24"/>
              </w:rPr>
              <w:t>La evolución de los índices agregados de desigualdad multidimensional</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_Toc450230524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101</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25" w:history="1">
            <w:r w:rsidR="00D90A35" w:rsidRPr="000A2024">
              <w:rPr>
                <w:rStyle w:val="Hipervnculo"/>
                <w:rFonts w:ascii="Arial" w:hAnsi="Arial" w:cs="Arial"/>
                <w:noProof/>
                <w:sz w:val="24"/>
                <w:szCs w:val="24"/>
              </w:rPr>
              <w:t>VI.</w:t>
            </w:r>
            <w:r w:rsidR="00D90A35" w:rsidRPr="000A2024">
              <w:rPr>
                <w:rFonts w:ascii="Arial" w:hAnsi="Arial" w:cs="Arial"/>
                <w:noProof/>
                <w:sz w:val="24"/>
                <w:szCs w:val="24"/>
              </w:rPr>
              <w:tab/>
            </w:r>
            <w:r w:rsidR="00D90A35" w:rsidRPr="000A2024">
              <w:rPr>
                <w:rStyle w:val="Hipervnculo"/>
                <w:rFonts w:ascii="Arial" w:hAnsi="Arial" w:cs="Arial"/>
                <w:noProof/>
                <w:sz w:val="24"/>
                <w:szCs w:val="24"/>
              </w:rPr>
              <w:t>La trayectoria de la pobreza y vulnerabilidad en el estudio de Colafranceschi et al.</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_Toc450230525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104</w:t>
            </w:r>
            <w:r w:rsidR="00D90A35" w:rsidRPr="000A2024">
              <w:rPr>
                <w:rFonts w:ascii="Arial" w:hAnsi="Arial" w:cs="Arial"/>
                <w:noProof/>
                <w:webHidden/>
                <w:sz w:val="24"/>
                <w:szCs w:val="24"/>
              </w:rPr>
              <w:fldChar w:fldCharType="end"/>
            </w:r>
          </w:hyperlink>
        </w:p>
        <w:p w:rsidR="00D90A35" w:rsidRPr="000A2024" w:rsidRDefault="009D4BD6">
          <w:pPr>
            <w:pStyle w:val="TDC2"/>
            <w:tabs>
              <w:tab w:val="left" w:pos="880"/>
              <w:tab w:val="right" w:leader="dot" w:pos="8828"/>
            </w:tabs>
            <w:rPr>
              <w:rFonts w:ascii="Arial" w:hAnsi="Arial" w:cs="Arial"/>
              <w:noProof/>
              <w:sz w:val="24"/>
              <w:szCs w:val="24"/>
            </w:rPr>
          </w:pPr>
          <w:hyperlink w:anchor="_Toc450230526" w:history="1">
            <w:r w:rsidR="00D90A35" w:rsidRPr="000A2024">
              <w:rPr>
                <w:rStyle w:val="Hipervnculo"/>
                <w:rFonts w:ascii="Arial" w:hAnsi="Arial" w:cs="Arial"/>
                <w:noProof/>
                <w:sz w:val="24"/>
                <w:szCs w:val="24"/>
              </w:rPr>
              <w:t>VII.</w:t>
            </w:r>
            <w:r w:rsidR="00D90A35" w:rsidRPr="000A2024">
              <w:rPr>
                <w:rFonts w:ascii="Arial" w:hAnsi="Arial" w:cs="Arial"/>
                <w:noProof/>
                <w:sz w:val="24"/>
                <w:szCs w:val="24"/>
              </w:rPr>
              <w:tab/>
            </w:r>
            <w:r w:rsidR="00D90A35" w:rsidRPr="000A2024">
              <w:rPr>
                <w:rStyle w:val="Hipervnculo"/>
                <w:rFonts w:ascii="Arial" w:hAnsi="Arial" w:cs="Arial"/>
                <w:noProof/>
                <w:sz w:val="24"/>
                <w:szCs w:val="24"/>
              </w:rPr>
              <w:t>Transiciones dentro y fuera de la pobreza.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_Toc450230526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106</w:t>
            </w:r>
            <w:r w:rsidR="00D90A35" w:rsidRPr="000A2024">
              <w:rPr>
                <w:rFonts w:ascii="Arial" w:hAnsi="Arial" w:cs="Arial"/>
                <w:noProof/>
                <w:webHidden/>
                <w:sz w:val="24"/>
                <w:szCs w:val="24"/>
              </w:rPr>
              <w:fldChar w:fldCharType="end"/>
            </w:r>
          </w:hyperlink>
        </w:p>
        <w:p w:rsidR="00D90A35" w:rsidRPr="000A2024" w:rsidRDefault="009D4BD6">
          <w:pPr>
            <w:pStyle w:val="TDC1"/>
            <w:tabs>
              <w:tab w:val="right" w:leader="dot" w:pos="8828"/>
            </w:tabs>
            <w:rPr>
              <w:rFonts w:ascii="Arial" w:hAnsi="Arial" w:cs="Arial"/>
              <w:noProof/>
              <w:sz w:val="24"/>
              <w:szCs w:val="24"/>
            </w:rPr>
          </w:pPr>
          <w:hyperlink w:anchor="_Toc450230527" w:history="1">
            <w:r w:rsidR="00D90A35" w:rsidRPr="000A2024">
              <w:rPr>
                <w:rStyle w:val="Hipervnculo"/>
                <w:rFonts w:ascii="Arial" w:hAnsi="Arial" w:cs="Arial"/>
                <w:noProof/>
                <w:sz w:val="24"/>
                <w:szCs w:val="24"/>
              </w:rPr>
              <w:t>Conclusiones.</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_Toc450230527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112</w:t>
            </w:r>
            <w:r w:rsidR="00D90A35" w:rsidRPr="000A2024">
              <w:rPr>
                <w:rFonts w:ascii="Arial" w:hAnsi="Arial" w:cs="Arial"/>
                <w:noProof/>
                <w:webHidden/>
                <w:sz w:val="24"/>
                <w:szCs w:val="24"/>
              </w:rPr>
              <w:fldChar w:fldCharType="end"/>
            </w:r>
          </w:hyperlink>
        </w:p>
        <w:p w:rsidR="00D90A35" w:rsidRPr="000A2024" w:rsidRDefault="009D4BD6">
          <w:pPr>
            <w:pStyle w:val="TDC1"/>
            <w:tabs>
              <w:tab w:val="right" w:leader="dot" w:pos="8828"/>
            </w:tabs>
            <w:rPr>
              <w:rFonts w:ascii="Arial" w:hAnsi="Arial" w:cs="Arial"/>
              <w:noProof/>
              <w:sz w:val="24"/>
              <w:szCs w:val="24"/>
            </w:rPr>
          </w:pPr>
          <w:hyperlink w:anchor="_Toc450230528" w:history="1">
            <w:r w:rsidR="003E7613" w:rsidRPr="000A2024">
              <w:rPr>
                <w:rStyle w:val="Hipervnculo"/>
                <w:rFonts w:ascii="Arial" w:hAnsi="Arial" w:cs="Arial"/>
                <w:noProof/>
                <w:sz w:val="24"/>
                <w:szCs w:val="24"/>
              </w:rPr>
              <w:t>Bibliografía</w:t>
            </w:r>
            <w:r w:rsidR="00D90A35" w:rsidRPr="000A2024">
              <w:rPr>
                <w:rFonts w:ascii="Arial" w:hAnsi="Arial" w:cs="Arial"/>
                <w:noProof/>
                <w:webHidden/>
                <w:sz w:val="24"/>
                <w:szCs w:val="24"/>
              </w:rPr>
              <w:tab/>
            </w:r>
            <w:r w:rsidR="00D90A35" w:rsidRPr="000A2024">
              <w:rPr>
                <w:rFonts w:ascii="Arial" w:hAnsi="Arial" w:cs="Arial"/>
                <w:noProof/>
                <w:webHidden/>
                <w:sz w:val="24"/>
                <w:szCs w:val="24"/>
              </w:rPr>
              <w:fldChar w:fldCharType="begin"/>
            </w:r>
            <w:r w:rsidR="00D90A35" w:rsidRPr="000A2024">
              <w:rPr>
                <w:rFonts w:ascii="Arial" w:hAnsi="Arial" w:cs="Arial"/>
                <w:noProof/>
                <w:webHidden/>
                <w:sz w:val="24"/>
                <w:szCs w:val="24"/>
              </w:rPr>
              <w:instrText xml:space="preserve"> PAGEREF _Toc450230528 \h </w:instrText>
            </w:r>
            <w:r w:rsidR="00D90A35" w:rsidRPr="000A2024">
              <w:rPr>
                <w:rFonts w:ascii="Arial" w:hAnsi="Arial" w:cs="Arial"/>
                <w:noProof/>
                <w:webHidden/>
                <w:sz w:val="24"/>
                <w:szCs w:val="24"/>
              </w:rPr>
            </w:r>
            <w:r w:rsidR="00D90A35" w:rsidRPr="000A2024">
              <w:rPr>
                <w:rFonts w:ascii="Arial" w:hAnsi="Arial" w:cs="Arial"/>
                <w:noProof/>
                <w:webHidden/>
                <w:sz w:val="24"/>
                <w:szCs w:val="24"/>
              </w:rPr>
              <w:fldChar w:fldCharType="separate"/>
            </w:r>
            <w:r w:rsidR="00D90A35" w:rsidRPr="000A2024">
              <w:rPr>
                <w:rFonts w:ascii="Arial" w:hAnsi="Arial" w:cs="Arial"/>
                <w:noProof/>
                <w:webHidden/>
                <w:sz w:val="24"/>
                <w:szCs w:val="24"/>
              </w:rPr>
              <w:t>120</w:t>
            </w:r>
            <w:r w:rsidR="00D90A35" w:rsidRPr="000A2024">
              <w:rPr>
                <w:rFonts w:ascii="Arial" w:hAnsi="Arial" w:cs="Arial"/>
                <w:noProof/>
                <w:webHidden/>
                <w:sz w:val="24"/>
                <w:szCs w:val="24"/>
              </w:rPr>
              <w:fldChar w:fldCharType="end"/>
            </w:r>
          </w:hyperlink>
        </w:p>
        <w:p w:rsidR="00D90A35" w:rsidRPr="000A2024" w:rsidRDefault="00D90A35">
          <w:pPr>
            <w:rPr>
              <w:rFonts w:ascii="Arial" w:hAnsi="Arial" w:cs="Arial"/>
            </w:rPr>
          </w:pPr>
          <w:r w:rsidRPr="000A2024">
            <w:rPr>
              <w:rFonts w:ascii="Arial" w:hAnsi="Arial" w:cs="Arial"/>
              <w:b/>
              <w:bCs/>
              <w:sz w:val="24"/>
              <w:szCs w:val="24"/>
              <w:lang w:val="es-ES"/>
            </w:rPr>
            <w:fldChar w:fldCharType="end"/>
          </w:r>
        </w:p>
      </w:sdtContent>
    </w:sdt>
    <w:p w:rsidR="006B118E" w:rsidRPr="000A2024" w:rsidRDefault="006B118E" w:rsidP="0012444D">
      <w:pPr>
        <w:spacing w:after="200" w:line="276" w:lineRule="auto"/>
        <w:rPr>
          <w:rFonts w:ascii="Arial" w:hAnsi="Arial" w:cs="Arial"/>
          <w:sz w:val="18"/>
          <w:szCs w:val="18"/>
        </w:rPr>
      </w:pPr>
    </w:p>
    <w:p w:rsidR="0012444D" w:rsidRPr="000A2024" w:rsidRDefault="0012444D">
      <w:pPr>
        <w:spacing w:after="200" w:line="276" w:lineRule="auto"/>
        <w:rPr>
          <w:rFonts w:ascii="Arial" w:hAnsi="Arial" w:cs="Arial"/>
          <w:sz w:val="24"/>
          <w:szCs w:val="24"/>
        </w:rPr>
      </w:pPr>
      <w:r w:rsidRPr="000A2024">
        <w:rPr>
          <w:rFonts w:ascii="Arial" w:hAnsi="Arial" w:cs="Arial"/>
          <w:sz w:val="24"/>
          <w:szCs w:val="24"/>
        </w:rPr>
        <w:br w:type="page"/>
      </w:r>
    </w:p>
    <w:p w:rsidR="006B118E" w:rsidRPr="000A2024" w:rsidRDefault="0012444D" w:rsidP="00DD112F">
      <w:pPr>
        <w:pStyle w:val="Primero"/>
        <w:rPr>
          <w:rFonts w:ascii="Arial" w:hAnsi="Arial" w:cs="Arial"/>
        </w:rPr>
      </w:pPr>
      <w:bookmarkStart w:id="2" w:name="_Toc450230477"/>
      <w:r w:rsidRPr="000A2024">
        <w:rPr>
          <w:rFonts w:ascii="Arial" w:hAnsi="Arial" w:cs="Arial"/>
          <w:sz w:val="44"/>
          <w:szCs w:val="44"/>
        </w:rPr>
        <w:lastRenderedPageBreak/>
        <w:t>I</w:t>
      </w:r>
      <w:r w:rsidRPr="000A2024">
        <w:rPr>
          <w:rFonts w:ascii="Arial" w:hAnsi="Arial" w:cs="Arial"/>
        </w:rPr>
        <w:t>ntro</w:t>
      </w:r>
      <w:r w:rsidR="006B118E" w:rsidRPr="000A2024">
        <w:rPr>
          <w:rFonts w:ascii="Arial" w:hAnsi="Arial" w:cs="Arial"/>
        </w:rPr>
        <w:t>ducci</w:t>
      </w:r>
      <w:r w:rsidR="00080599" w:rsidRPr="000A2024">
        <w:rPr>
          <w:rFonts w:ascii="Arial" w:hAnsi="Arial" w:cs="Arial"/>
        </w:rPr>
        <w:t>ón</w:t>
      </w:r>
      <w:r w:rsidRPr="000A2024">
        <w:rPr>
          <w:rFonts w:ascii="Arial" w:hAnsi="Arial" w:cs="Arial"/>
        </w:rPr>
        <w:t>.</w:t>
      </w:r>
      <w:bookmarkEnd w:id="2"/>
    </w:p>
    <w:p w:rsidR="00431E9B" w:rsidRPr="000A2024" w:rsidRDefault="00431E9B" w:rsidP="009A4FEB">
      <w:pPr>
        <w:jc w:val="both"/>
        <w:rPr>
          <w:rFonts w:ascii="Arial" w:hAnsi="Arial" w:cs="Arial"/>
          <w:sz w:val="18"/>
          <w:szCs w:val="18"/>
        </w:rPr>
      </w:pP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Tal y como siempre ha sido, el ser humano es primero. A lo largo del siglo pasado se han confundido prioridades entre sujetos y objetos como factores que influencian en el planteamiento de la teoría del desarrollo en todos sus ámbitos posibles; económicos, sociales y tanto más importante, los humanos. </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Este planteamiento es nuestro intento como seres intelectuales de medir el grado de evolución o progreso de todos nosotros como un solo organismo social. Pero al final, el objetivo es encontrar el estado en el que todo ser humano encuentre su bienestar y tenga una capacidad completa de compartirlo e incorporarse con el bienestar social. </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Es importante para mí incorporar a la concepción del desarrollo que este es variable con respecto al tiempo. Lo que hoy se cree el día de mañana será anticuado, obsoleto o incluso una concepción incomoda debido a su ignorancia. Puedo atreverme a decir esto ya que así ha ocurrido en el pasado. Y lo mismo puede pasar con la pobreza.</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Las diversas certezas sobre casi todos los ámbitos de hoy en día son verdaderos saberes convencionales tal y como Krugman lo define: certezas pactadas por personas importantes, propagadas y practicadas por los demás. Concuerdo con esto. </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Pretendo abordar el tema procurando no caer en la abstracción de las ideas, destacando los puntos de ciertos autores a quienes se hace referencia en esta bibliografía y que en su momento consideré prudente mencionar. Más adelante presento el contexto del desarrollo de la década de los noventas mediante una interpretación de cómo estas cambian conforme a perspectivas y conveniencias para así entrar al cuadro teórico formal del desarrollo tratando de interpretar las condiciones en las que se presenta y los factores que lo determinan.</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Entraré en el contexto del desarrollo humano, pero esto como otra fase del desarrollo como tal. Con sus diversas variables, factores y determinante. Y mediante </w:t>
      </w:r>
      <w:r w:rsidRPr="000A2024">
        <w:rPr>
          <w:rFonts w:ascii="Arial" w:hAnsi="Arial" w:cs="Arial"/>
          <w:sz w:val="24"/>
          <w:szCs w:val="24"/>
        </w:rPr>
        <w:lastRenderedPageBreak/>
        <w:t>estos últimos pretendo profundizar en el problema del paradigma de la pobreza y sus formas de medición.</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El trabajo se organiza de la siguiente forma:</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El capítulo 1 aborda el marco teórico del desarrollo económico que fue evolucionando a lo largo de todo el siglo pasado, desde que el enfoque utilizado era a través de índices basados en el producto interno bruto, hasta llegar al desarrollo humano como un factor importante para el crecimiento económico. </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Pretendo mostrar cómo el enfoque cambia de teoría a teoría y como los objetos de estudio fueron transformándose hasta llegar al desarrollo sostenible del ser humano. Comienzo con Paul Krugman quien critica a sus contemporáneos quienes por conceptos erróneos siguen metodologías cuyas bases se encuentran – según Krugman – en conocimientos casi pactados, en saberes convencionales. Y con esto pretendo motivar al lector de tomar una postura de crítica hacia lo ya establecido en esta área de estudio.</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Durante todo este capítulo pretendo mostrar cómo el flujo de estos saberes convencionales y de la situación sociopolítica y económica del mundo a lo largo del siglo XX forjaba la senda hacia el desarrollo humano para así preparar el camino para adentrarnos a la pobreza y las diversas formas de medirla o estudiarla. </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Será hasta el segundo capítulo donde se mencionarán los conceptos de pobreza, cómo son definidos y las diferencias notables entre cada enfoque de medición. No pretendo hacer una revisión exhaustiva del tema, debido a su complejidad y a su magnitud, pero sí abarco lo relevante del mismo.</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Este capítulo pretende mostrar cuales son los saberes convencionales actuales de la pobreza y cómo el esfuerzo de las Naciones Unidas por la homologación de un método de combate mundial es necesario. </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 xml:space="preserve">Finalmente, en el capítulo 3 tomo como referencia el estudio realizado durante el 2013 por Colafranceschi et al. en Uruguay. Cabe mencionar que Uruguay es unos de los países que más rápido han elevado el índice de desarrollo humano y que </w:t>
      </w:r>
      <w:r w:rsidRPr="000A2024">
        <w:rPr>
          <w:rFonts w:ascii="Arial" w:hAnsi="Arial" w:cs="Arial"/>
          <w:sz w:val="24"/>
          <w:szCs w:val="24"/>
        </w:rPr>
        <w:lastRenderedPageBreak/>
        <w:t>mejor caso a referenciar que un país latinoamericano que ya se encuentra en vías del desarrollo sostenible.</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Menciono la metodología utilizada y algunos datos que recopiló el estudio. De igual forma, menciono también a otros autores que también realizaron estudios de pobreza en Uruguay desde los noventas. Pretendo que el lector interesado conozca los enfoques de cada uno de estos autores y al final comparen el estudio de Colafranceschi y los enfoques que utilizó.</w:t>
      </w:r>
    </w:p>
    <w:p w:rsidR="000A2024"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Propongo al análisis multidimensional como el enfoque dinámico a elegir en nuestra búsqueda para un desarrollo humano que es sostenible y amigable con su medio ambiente. Creo que es menester buscar distintas posturas a las ya dichas para así romper con los paradigmas que acarreamos en el marco teórico del desarrollo del siglo pasado.</w:t>
      </w:r>
    </w:p>
    <w:p w:rsidR="004E7402" w:rsidRPr="000A2024" w:rsidRDefault="000A2024" w:rsidP="000A2024">
      <w:pPr>
        <w:spacing w:after="120" w:line="360" w:lineRule="auto"/>
        <w:jc w:val="both"/>
        <w:rPr>
          <w:rFonts w:ascii="Arial" w:hAnsi="Arial" w:cs="Arial"/>
          <w:sz w:val="24"/>
          <w:szCs w:val="24"/>
        </w:rPr>
      </w:pPr>
      <w:r w:rsidRPr="000A2024">
        <w:rPr>
          <w:rFonts w:ascii="Arial" w:hAnsi="Arial" w:cs="Arial"/>
          <w:sz w:val="24"/>
          <w:szCs w:val="24"/>
        </w:rPr>
        <w:t>Finalmente, presento las conclusiones y la bilbiografía.</w:t>
      </w:r>
    </w:p>
    <w:p w:rsidR="001A0F84" w:rsidRPr="000A2024" w:rsidRDefault="001A0F84">
      <w:pPr>
        <w:spacing w:after="200" w:line="276" w:lineRule="auto"/>
        <w:rPr>
          <w:rFonts w:ascii="Arial" w:hAnsi="Arial" w:cs="Arial"/>
        </w:rPr>
      </w:pPr>
      <w:r w:rsidRPr="000A2024">
        <w:rPr>
          <w:rFonts w:ascii="Arial" w:hAnsi="Arial" w:cs="Arial"/>
        </w:rPr>
        <w:br w:type="page"/>
      </w:r>
    </w:p>
    <w:p w:rsidR="00080599" w:rsidRPr="005A0500" w:rsidRDefault="00995B01" w:rsidP="005A0500">
      <w:pPr>
        <w:pStyle w:val="Capitulos"/>
        <w:spacing w:before="0" w:after="120"/>
        <w:rPr>
          <w:rFonts w:ascii="Arial" w:hAnsi="Arial" w:cs="Arial"/>
          <w:sz w:val="24"/>
        </w:rPr>
      </w:pPr>
      <w:bookmarkStart w:id="3" w:name="_Toc450230478"/>
      <w:r w:rsidRPr="005A0500">
        <w:rPr>
          <w:rFonts w:ascii="Arial" w:hAnsi="Arial" w:cs="Arial"/>
          <w:sz w:val="24"/>
        </w:rPr>
        <w:lastRenderedPageBreak/>
        <w:t>CAPÍTULO I: CRECIMIENTO Y DESARROLLO.</w:t>
      </w:r>
      <w:bookmarkEnd w:id="3"/>
    </w:p>
    <w:p w:rsidR="00995B01" w:rsidRPr="00995B01" w:rsidRDefault="00080599" w:rsidP="00995B01">
      <w:pPr>
        <w:pStyle w:val="SubTema"/>
        <w:rPr>
          <w:rFonts w:ascii="Arial" w:hAnsi="Arial" w:cs="Arial"/>
        </w:rPr>
      </w:pPr>
      <w:bookmarkStart w:id="4" w:name="_Toc450230479"/>
      <w:r w:rsidRPr="00995B01">
        <w:rPr>
          <w:rFonts w:ascii="Arial" w:hAnsi="Arial" w:cs="Arial"/>
        </w:rPr>
        <w:t>¿Qué es desarrollo y para qué medirlo?</w:t>
      </w:r>
      <w:bookmarkEnd w:id="4"/>
    </w:p>
    <w:p w:rsidR="00080599" w:rsidRDefault="00080599" w:rsidP="00080599">
      <w:pPr>
        <w:spacing w:after="120" w:line="360" w:lineRule="auto"/>
        <w:jc w:val="both"/>
        <w:rPr>
          <w:rFonts w:ascii="Arial" w:hAnsi="Arial" w:cs="Arial"/>
          <w:sz w:val="24"/>
          <w:szCs w:val="24"/>
        </w:rPr>
      </w:pPr>
      <w:r w:rsidRPr="000A2024">
        <w:rPr>
          <w:rFonts w:ascii="Arial" w:hAnsi="Arial" w:cs="Arial"/>
          <w:sz w:val="24"/>
          <w:szCs w:val="24"/>
        </w:rPr>
        <w:t>El diccionario de la Lengua Española define el término desarrollo como un desenvolvimiento, un despliegue de lo que está arrollado. A</w:t>
      </w:r>
      <w:r w:rsidR="00DD112F" w:rsidRPr="000A2024">
        <w:rPr>
          <w:rFonts w:ascii="Arial" w:hAnsi="Arial" w:cs="Arial"/>
          <w:sz w:val="24"/>
          <w:szCs w:val="24"/>
        </w:rPr>
        <w:t>rriola Quan Gustavo (2007</w:t>
      </w:r>
      <w:r w:rsidRPr="000A2024">
        <w:rPr>
          <w:rFonts w:ascii="Arial" w:hAnsi="Arial" w:cs="Arial"/>
          <w:sz w:val="24"/>
          <w:szCs w:val="24"/>
        </w:rPr>
        <w:t>) buscando también plantear la definición del término hace referencia al pensamiento antiguo para apoyarse, el cual se aboca al concepto de movimiento: “… el filósofo griego Aristóteles (s. IV a. C.) entendía en forma general movimiento como la entelequia (o realización) de lo que es en potencia”.</w:t>
      </w:r>
    </w:p>
    <w:p w:rsidR="00995B01" w:rsidRPr="000A2024" w:rsidRDefault="00995B01" w:rsidP="00080599">
      <w:pPr>
        <w:spacing w:after="120" w:line="360" w:lineRule="auto"/>
        <w:jc w:val="both"/>
        <w:rPr>
          <w:rFonts w:ascii="Arial" w:hAnsi="Arial" w:cs="Arial"/>
          <w:sz w:val="24"/>
          <w:szCs w:val="24"/>
        </w:rPr>
      </w:pPr>
      <w:r w:rsidRPr="000A2024">
        <w:rPr>
          <w:rFonts w:ascii="Arial" w:hAnsi="Arial" w:cs="Arial"/>
          <w:sz w:val="24"/>
          <w:szCs w:val="24"/>
        </w:rPr>
        <w:t>André Gunder Frank (citado en Heinz, 1978) define al desarrollo en América latina como un producto necesario de la integración a la historia universal del continente americano bajo el contexto de dominación de un capitalismo mercantil que se formó a mediados del siglo XVI.</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El desarrollo constituye un proceso creado por la expansión del capitalismo alrededor del globo el cual involucra a millones de personas y que a pesar de tener un gran impacto dentro de cualquier sociedad es un tema regulado únicamente por los intelectuales e influyentes, como jefes de estado o anglosajones que se dedican a la banca. </w:t>
      </w:r>
    </w:p>
    <w:p w:rsidR="00080599" w:rsidRPr="000A2024" w:rsidRDefault="0088775D" w:rsidP="00080599">
      <w:pPr>
        <w:spacing w:after="120" w:line="360" w:lineRule="auto"/>
        <w:jc w:val="both"/>
        <w:rPr>
          <w:rFonts w:ascii="Arial" w:hAnsi="Arial" w:cs="Arial"/>
          <w:sz w:val="24"/>
          <w:szCs w:val="24"/>
        </w:rPr>
      </w:pPr>
      <w:r>
        <w:rPr>
          <w:rFonts w:ascii="Arial" w:hAnsi="Arial" w:cs="Arial"/>
          <w:sz w:val="24"/>
          <w:szCs w:val="24"/>
        </w:rPr>
        <w:t>De estos, Paul Krugman (1996</w:t>
      </w:r>
      <w:r w:rsidR="00080599" w:rsidRPr="000A2024">
        <w:rPr>
          <w:rFonts w:ascii="Arial" w:hAnsi="Arial" w:cs="Arial"/>
          <w:sz w:val="24"/>
          <w:szCs w:val="24"/>
        </w:rPr>
        <w:t xml:space="preserve">) afirma que los que no son economistas incurren a anécdotas de su selección para poder hacer inferencias e inclusive llegar a conclusiones acerca del desarrollo económico y de la creación de una receta para alcanzarlo. Argumenta </w:t>
      </w:r>
      <w:r>
        <w:rPr>
          <w:rFonts w:ascii="Arial" w:hAnsi="Arial" w:cs="Arial"/>
          <w:sz w:val="24"/>
          <w:szCs w:val="24"/>
        </w:rPr>
        <w:t xml:space="preserve">que </w:t>
      </w:r>
      <w:r w:rsidR="00080599" w:rsidRPr="000A2024">
        <w:rPr>
          <w:rFonts w:ascii="Arial" w:hAnsi="Arial" w:cs="Arial"/>
          <w:sz w:val="24"/>
          <w:szCs w:val="24"/>
        </w:rPr>
        <w:t xml:space="preserve">el fundamento de sus teorías se basa en saberes convencionales.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Por otro lado, los economistas cuentan con un método para poder explicar algún evento o fenómeno – si es que es de su interés el cual radica en la capacidad de ser explicado por dicho método – que implica demostrar dicho fenómeno a gran escala, es decir, que su ocurrencia se presente en un conglomerado de sujetos con mismas características.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Sin embargo, no toda teoría económica logra derivar los macrocomportamientos de las micromotivaciones, así lo afirma Krugman.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E</w:t>
      </w:r>
      <w:r w:rsidR="0088775D">
        <w:rPr>
          <w:rFonts w:ascii="Arial" w:hAnsi="Arial" w:cs="Arial"/>
          <w:sz w:val="24"/>
          <w:szCs w:val="24"/>
        </w:rPr>
        <w:t>s una verdad que e</w:t>
      </w:r>
      <w:r w:rsidRPr="000A2024">
        <w:rPr>
          <w:rFonts w:ascii="Arial" w:hAnsi="Arial" w:cs="Arial"/>
          <w:sz w:val="24"/>
          <w:szCs w:val="24"/>
        </w:rPr>
        <w:t>l ámbito económico fu</w:t>
      </w:r>
      <w:r w:rsidR="0088775D">
        <w:rPr>
          <w:rFonts w:ascii="Arial" w:hAnsi="Arial" w:cs="Arial"/>
          <w:sz w:val="24"/>
          <w:szCs w:val="24"/>
        </w:rPr>
        <w:t xml:space="preserve">e el que tuvo la mayor </w:t>
      </w:r>
      <w:r w:rsidRPr="000A2024">
        <w:rPr>
          <w:rFonts w:ascii="Arial" w:hAnsi="Arial" w:cs="Arial"/>
          <w:sz w:val="24"/>
          <w:szCs w:val="24"/>
        </w:rPr>
        <w:t>aportación y regulación a la teoría del desarrollo en el siglo pasado. Este ámbito tiene por objeto de estudio la evolución de los indicadores económicos y sus repercusiones en las relaciones sociales de producción, es decir, en la forma en que se produce, la explicación de esta producción, la formulación de la distribución y en cómo se emplea el resultado del trabajo.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Jorge Katz (2008) en su documento de proyecto titulado Una nueva visita a la teoría del desarrollo económico para la CEPAL</w:t>
      </w:r>
      <w:r w:rsidR="00843CD6">
        <w:rPr>
          <w:rFonts w:ascii="Arial" w:hAnsi="Arial" w:cs="Arial"/>
          <w:sz w:val="24"/>
          <w:szCs w:val="24"/>
        </w:rPr>
        <w:t>,</w:t>
      </w:r>
      <w:r w:rsidRPr="000A2024">
        <w:rPr>
          <w:rFonts w:ascii="Arial" w:hAnsi="Arial" w:cs="Arial"/>
          <w:sz w:val="24"/>
          <w:szCs w:val="24"/>
        </w:rPr>
        <w:t xml:space="preserve"> menciona a Paul Krugman (1992) al indicar que la teoría del desarrollo ha sido sustituida por un formalismo matemático y en </w:t>
      </w:r>
      <w:r w:rsidR="00843CD6">
        <w:rPr>
          <w:rFonts w:ascii="Arial" w:hAnsi="Arial" w:cs="Arial"/>
          <w:sz w:val="24"/>
          <w:szCs w:val="24"/>
        </w:rPr>
        <w:t>la</w:t>
      </w:r>
      <w:r w:rsidRPr="000A2024">
        <w:rPr>
          <w:rFonts w:ascii="Arial" w:hAnsi="Arial" w:cs="Arial"/>
          <w:sz w:val="24"/>
          <w:szCs w:val="24"/>
        </w:rPr>
        <w:t xml:space="preserve"> búsqueda de un equilibrio general llamado </w:t>
      </w:r>
      <w:r w:rsidR="0088775D">
        <w:rPr>
          <w:rFonts w:ascii="Arial" w:hAnsi="Arial" w:cs="Arial"/>
          <w:sz w:val="24"/>
          <w:szCs w:val="24"/>
        </w:rPr>
        <w:t>“</w:t>
      </w:r>
      <w:r w:rsidRPr="000A2024">
        <w:rPr>
          <w:rFonts w:ascii="Arial" w:hAnsi="Arial" w:cs="Arial"/>
          <w:sz w:val="24"/>
          <w:szCs w:val="24"/>
        </w:rPr>
        <w:t>La teoría moderna del crecimiento</w:t>
      </w:r>
      <w:r w:rsidR="0088775D">
        <w:rPr>
          <w:rFonts w:ascii="Arial" w:hAnsi="Arial" w:cs="Arial"/>
          <w:sz w:val="24"/>
          <w:szCs w:val="24"/>
        </w:rPr>
        <w:t>”</w:t>
      </w:r>
      <w:r w:rsidRPr="000A2024">
        <w:rPr>
          <w:rFonts w:ascii="Arial" w:hAnsi="Arial" w:cs="Arial"/>
          <w:sz w:val="24"/>
          <w:szCs w:val="24"/>
        </w:rPr>
        <w:t xml:space="preserve">. Afirma que este formalismo está dirigido a establecer una sola cifra que permite medir el desarrollo de un país por medio del producto per cápita.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Esta es la óptica de un desarrollo que se aboca al ámbito económico donde se busca medir las repercusiones y efectos entre la sociedad y la producción, desde la perspectiva macroeconómica. En forma micro, la perspectiva se posa en cómo se produce, cómo se distribuye la riqueza y en cómo se emplea el resultado del trabajo. </w:t>
      </w:r>
    </w:p>
    <w:p w:rsidR="00080599" w:rsidRPr="000A2024" w:rsidRDefault="00843CD6" w:rsidP="00080599">
      <w:pPr>
        <w:pStyle w:val="Prrafodelista"/>
        <w:spacing w:after="120" w:line="360" w:lineRule="auto"/>
        <w:ind w:left="0"/>
        <w:contextualSpacing w:val="0"/>
        <w:jc w:val="both"/>
        <w:rPr>
          <w:rFonts w:ascii="Arial" w:hAnsi="Arial" w:cs="Arial"/>
          <w:sz w:val="24"/>
          <w:szCs w:val="24"/>
        </w:rPr>
      </w:pPr>
      <w:r>
        <w:rPr>
          <w:rFonts w:ascii="Arial" w:hAnsi="Arial" w:cs="Arial"/>
          <w:sz w:val="24"/>
          <w:szCs w:val="24"/>
        </w:rPr>
        <w:t>¿</w:t>
      </w:r>
      <w:r w:rsidR="00080599" w:rsidRPr="000A2024">
        <w:rPr>
          <w:rFonts w:ascii="Arial" w:hAnsi="Arial" w:cs="Arial"/>
          <w:sz w:val="24"/>
          <w:szCs w:val="24"/>
        </w:rPr>
        <w:t>Realmente es posible describir un proceso tan complejo como el desarrollo, que involucra a millones de personas en sus correspondientes sociedades, simplificándolo a una sola cifra o índice</w:t>
      </w:r>
      <w:r>
        <w:rPr>
          <w:rFonts w:ascii="Arial" w:hAnsi="Arial" w:cs="Arial"/>
          <w:sz w:val="24"/>
          <w:szCs w:val="24"/>
        </w:rPr>
        <w:t>?</w:t>
      </w:r>
      <w:r w:rsidR="00080599" w:rsidRPr="000A2024">
        <w:rPr>
          <w:rFonts w:ascii="Arial" w:hAnsi="Arial" w:cs="Arial"/>
          <w:sz w:val="24"/>
          <w:szCs w:val="24"/>
        </w:rPr>
        <w:t xml:space="preserve"> </w:t>
      </w:r>
      <w:r w:rsidR="00145B42" w:rsidRPr="000A2024">
        <w:rPr>
          <w:rFonts w:ascii="Arial" w:hAnsi="Arial" w:cs="Arial"/>
          <w:sz w:val="24"/>
          <w:szCs w:val="24"/>
        </w:rPr>
        <w:t>Este</w:t>
      </w:r>
      <w:r w:rsidR="00080599" w:rsidRPr="000A2024">
        <w:rPr>
          <w:rFonts w:ascii="Arial" w:hAnsi="Arial" w:cs="Arial"/>
          <w:sz w:val="24"/>
          <w:szCs w:val="24"/>
        </w:rPr>
        <w:t xml:space="preserve"> realmente no es el problema para los economistas de las últimas décadas ya que la misma información sugiere que es razonable, así lo afirma Krugman (1996). </w:t>
      </w:r>
    </w:p>
    <w:p w:rsidR="00080599" w:rsidRPr="000A2024" w:rsidRDefault="00080599" w:rsidP="00080599">
      <w:pPr>
        <w:pStyle w:val="Prrafodelista"/>
        <w:spacing w:after="120" w:line="360" w:lineRule="auto"/>
        <w:ind w:left="708"/>
        <w:contextualSpacing w:val="0"/>
        <w:jc w:val="both"/>
        <w:rPr>
          <w:rFonts w:ascii="Arial" w:hAnsi="Arial" w:cs="Arial"/>
          <w:sz w:val="24"/>
          <w:szCs w:val="24"/>
        </w:rPr>
      </w:pPr>
      <w:r w:rsidRPr="000A2024">
        <w:rPr>
          <w:rFonts w:ascii="Arial" w:hAnsi="Arial" w:cs="Arial"/>
          <w:sz w:val="24"/>
          <w:szCs w:val="24"/>
        </w:rPr>
        <w:t>“Nunca encontraremos un país de bajo PBI al que deberíamos llamar desarrollado, ni uno con un lento índice de crecimiento al que deberíamos llamar un país de desarrollo exitoso. “(p.717)</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problema según Krugman es cómo construir un índice que realmente lo describa y que además permita realizar un diagnóstico del proceso que ayude a analizar la economía. Según Krugman el método vigente (en el año de 1996) para la construcción del índice que permitía medir el desarrollo económico de un país era por medio de la medición del volumen de producción a precios constantes, es decir:</w:t>
      </w:r>
    </w:p>
    <w:p w:rsidR="00080599" w:rsidRPr="000A2024" w:rsidRDefault="00080599" w:rsidP="00080599">
      <w:pPr>
        <w:jc w:val="both"/>
        <w:rPr>
          <w:rFonts w:ascii="Arial" w:hAnsi="Arial" w:cs="Arial"/>
          <w:sz w:val="24"/>
          <w:szCs w:val="24"/>
        </w:rPr>
      </w:pPr>
      <m:oMathPara>
        <m:oMathParaPr>
          <m:jc m:val="center"/>
        </m:oMathParaPr>
        <m:oMath>
          <m:r>
            <m:rPr>
              <m:sty m:val="p"/>
            </m:rPr>
            <w:rPr>
              <w:rFonts w:ascii="Cambria Math" w:hAnsi="Cambria Math" w:cs="Arial"/>
              <w:sz w:val="24"/>
              <w:szCs w:val="24"/>
            </w:rPr>
            <w:lastRenderedPageBreak/>
            <m:t xml:space="preserve">Indice= </m:t>
          </m:r>
          <m:nary>
            <m:naryPr>
              <m:chr m:val="∑"/>
              <m:limLoc m:val="undOvr"/>
              <m:ctrlPr>
                <w:rPr>
                  <w:rFonts w:ascii="Cambria Math" w:hAnsi="Cambria Math" w:cs="Arial"/>
                  <w:sz w:val="24"/>
                  <w:szCs w:val="24"/>
                </w:rPr>
              </m:ctrlPr>
            </m:naryPr>
            <m:sub>
              <m:r>
                <m:rPr>
                  <m:sty m:val="p"/>
                </m:rPr>
                <w:rPr>
                  <w:rFonts w:ascii="Cambria Math" w:hAnsi="Cambria Math" w:cs="Arial"/>
                  <w:sz w:val="24"/>
                  <w:szCs w:val="24"/>
                </w:rPr>
                <m:t>i=1</m:t>
              </m:r>
            </m:sub>
            <m:sup>
              <m:r>
                <m:rPr>
                  <m:sty m:val="p"/>
                </m:rPr>
                <w:rPr>
                  <w:rFonts w:ascii="Cambria Math" w:hAnsi="Cambria Math" w:cs="Arial"/>
                  <w:sz w:val="24"/>
                  <w:szCs w:val="24"/>
                </w:rPr>
                <m:t>n</m:t>
              </m:r>
            </m:sup>
            <m:e>
              <m:d>
                <m:dPr>
                  <m:ctrlPr>
                    <w:rPr>
                      <w:rFonts w:ascii="Cambria Math" w:hAnsi="Cambria Math" w:cs="Arial"/>
                      <w:sz w:val="24"/>
                      <w:szCs w:val="24"/>
                    </w:rPr>
                  </m:ctrlPr>
                </m:dPr>
                <m:e>
                  <m:r>
                    <m:rPr>
                      <m:sty m:val="p"/>
                    </m:rPr>
                    <w:rPr>
                      <w:rFonts w:ascii="Cambria Math" w:hAnsi="Cambria Math" w:cs="Arial"/>
                      <w:sz w:val="24"/>
                      <w:szCs w:val="24"/>
                    </w:rPr>
                    <m:t>∆</m:t>
                  </m:r>
                  <m:sSub>
                    <m:sSubPr>
                      <m:ctrlPr>
                        <w:rPr>
                          <w:rFonts w:ascii="Cambria Math" w:hAnsi="Cambria Math" w:cs="Arial"/>
                          <w:sz w:val="24"/>
                          <w:szCs w:val="24"/>
                        </w:rPr>
                      </m:ctrlPr>
                    </m:sSubPr>
                    <m:e>
                      <m:r>
                        <m:rPr>
                          <m:sty m:val="p"/>
                        </m:rPr>
                        <w:rPr>
                          <w:rFonts w:ascii="Cambria Math" w:hAnsi="Cambria Math" w:cs="Arial"/>
                          <w:sz w:val="24"/>
                          <w:szCs w:val="24"/>
                        </w:rPr>
                        <m:t>K</m:t>
                      </m:r>
                    </m:e>
                    <m:sub>
                      <m:r>
                        <m:rPr>
                          <m:sty m:val="p"/>
                        </m:rPr>
                        <w:rPr>
                          <w:rFonts w:ascii="Cambria Math" w:hAnsi="Cambria Math" w:cs="Arial"/>
                          <w:sz w:val="24"/>
                          <w:szCs w:val="24"/>
                        </w:rPr>
                        <m:t>i</m:t>
                      </m:r>
                    </m:sub>
                  </m:sSub>
                </m:e>
              </m:d>
              <m:sSub>
                <m:sSubPr>
                  <m:ctrlPr>
                    <w:rPr>
                      <w:rFonts w:ascii="Cambria Math" w:hAnsi="Cambria Math" w:cs="Arial"/>
                      <w:sz w:val="24"/>
                      <w:szCs w:val="24"/>
                    </w:rPr>
                  </m:ctrlPr>
                </m:sSubPr>
                <m:e>
                  <m:r>
                    <m:rPr>
                      <m:sty m:val="p"/>
                    </m:rPr>
                    <w:rPr>
                      <w:rFonts w:ascii="Cambria Math" w:hAnsi="Cambria Math" w:cs="Arial"/>
                      <w:sz w:val="24"/>
                      <w:szCs w:val="24"/>
                    </w:rPr>
                    <m:t>R</m:t>
                  </m:r>
                </m:e>
                <m:sub>
                  <m:r>
                    <m:rPr>
                      <m:sty m:val="p"/>
                    </m:rPr>
                    <w:rPr>
                      <w:rFonts w:ascii="Cambria Math" w:hAnsi="Cambria Math" w:cs="Arial"/>
                      <w:sz w:val="24"/>
                      <w:szCs w:val="24"/>
                    </w:rPr>
                    <m:t>i</m:t>
                  </m:r>
                </m:sub>
              </m:sSub>
            </m:e>
          </m:nary>
        </m:oMath>
      </m:oMathPara>
    </w:p>
    <w:p w:rsidR="00080599" w:rsidRPr="000A2024" w:rsidRDefault="00080599" w:rsidP="00080599">
      <w:pPr>
        <w:pStyle w:val="Prrafodelista"/>
        <w:spacing w:after="120" w:line="360" w:lineRule="auto"/>
        <w:ind w:left="708"/>
        <w:contextualSpacing w:val="0"/>
        <w:jc w:val="both"/>
        <w:rPr>
          <w:rFonts w:ascii="Arial" w:hAnsi="Arial" w:cs="Arial"/>
          <w:sz w:val="24"/>
          <w:szCs w:val="24"/>
        </w:rPr>
      </w:pPr>
      <w:r w:rsidRPr="000A2024">
        <w:rPr>
          <w:rFonts w:ascii="Arial" w:hAnsi="Arial" w:cs="Arial"/>
          <w:sz w:val="24"/>
          <w:szCs w:val="24"/>
        </w:rPr>
        <w:t xml:space="preserve">En una economía donde se tiene una línea de producción de n artículos sea Ki el volumen de producción del i – ésimo artículo, entonces </w:t>
      </w:r>
      <m:oMath>
        <m:sSub>
          <m:sSubPr>
            <m:ctrlPr>
              <w:rPr>
                <w:rFonts w:ascii="Cambria Math" w:hAnsi="Cambria Math" w:cs="Arial"/>
                <w:sz w:val="24"/>
                <w:szCs w:val="24"/>
              </w:rPr>
            </m:ctrlPr>
          </m:sSubPr>
          <m:e>
            <m:r>
              <m:rPr>
                <m:sty m:val="p"/>
              </m:rPr>
              <w:rPr>
                <w:rFonts w:ascii="Cambria Math" w:hAnsi="Cambria Math" w:cs="Arial"/>
                <w:sz w:val="24"/>
                <w:szCs w:val="24"/>
              </w:rPr>
              <m:t>∆</m:t>
            </m:r>
            <m:r>
              <m:rPr>
                <m:sty m:val="b"/>
              </m:rPr>
              <w:rPr>
                <w:rFonts w:ascii="Cambria Math" w:hAnsi="Cambria Math" w:cs="Arial"/>
                <w:sz w:val="24"/>
                <w:szCs w:val="24"/>
              </w:rPr>
              <m:t>K</m:t>
            </m:r>
          </m:e>
          <m:sub>
            <m:r>
              <m:rPr>
                <m:sty m:val="b"/>
              </m:rPr>
              <w:rPr>
                <w:rFonts w:ascii="Cambria Math" w:hAnsi="Cambria Math" w:cs="Arial"/>
                <w:sz w:val="24"/>
                <w:szCs w:val="24"/>
              </w:rPr>
              <m:t>i</m:t>
            </m:r>
          </m:sub>
        </m:sSub>
      </m:oMath>
      <w:r w:rsidRPr="000A2024">
        <w:rPr>
          <w:rFonts w:ascii="Arial" w:hAnsi="Arial" w:cs="Arial"/>
          <w:sz w:val="24"/>
          <w:szCs w:val="24"/>
        </w:rPr>
        <w:t xml:space="preserve"> es el incremento de la producción y </w:t>
      </w:r>
      <m:oMath>
        <m:sSub>
          <m:sSubPr>
            <m:ctrlPr>
              <w:rPr>
                <w:rFonts w:ascii="Cambria Math" w:hAnsi="Cambria Math" w:cs="Arial"/>
                <w:sz w:val="24"/>
                <w:szCs w:val="24"/>
              </w:rPr>
            </m:ctrlPr>
          </m:sSubPr>
          <m:e>
            <m:r>
              <m:rPr>
                <m:sty m:val="b"/>
              </m:rPr>
              <w:rPr>
                <w:rFonts w:ascii="Cambria Math" w:hAnsi="Cambria Math" w:cs="Arial"/>
                <w:sz w:val="24"/>
                <w:szCs w:val="24"/>
              </w:rPr>
              <m:t>R</m:t>
            </m:r>
          </m:e>
          <m:sub>
            <m:r>
              <m:rPr>
                <m:sty m:val="b"/>
              </m:rPr>
              <w:rPr>
                <w:rFonts w:ascii="Cambria Math" w:hAnsi="Cambria Math" w:cs="Arial"/>
                <w:sz w:val="24"/>
                <w:szCs w:val="24"/>
              </w:rPr>
              <m:t>i</m:t>
            </m:r>
          </m:sub>
        </m:sSub>
      </m:oMath>
      <w:r w:rsidRPr="000A2024">
        <w:rPr>
          <w:rFonts w:ascii="Arial" w:hAnsi="Arial" w:cs="Arial"/>
          <w:sz w:val="24"/>
          <w:szCs w:val="24"/>
        </w:rPr>
        <w:t xml:space="preserve">  el precio de cierto año base del i – ésimo artículo. Donde </w:t>
      </w:r>
      <m:oMath>
        <m:r>
          <m:rPr>
            <m:sty m:val="p"/>
          </m:rPr>
          <w:rPr>
            <w:rFonts w:ascii="Cambria Math" w:hAnsi="Cambria Math" w:cs="Arial"/>
            <w:sz w:val="24"/>
            <w:szCs w:val="24"/>
          </w:rPr>
          <m:t>0&lt;i&lt;n&lt;∞ ;i, n</m:t>
        </m:r>
      </m:oMath>
      <w:r w:rsidRPr="000A2024">
        <w:rPr>
          <w:rFonts w:ascii="Arial" w:hAnsi="Arial" w:cs="Arial"/>
          <w:sz w:val="24"/>
          <w:szCs w:val="24"/>
        </w:rPr>
        <w:t xml:space="preserve"> son enteros positivos.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procedimiento se justifica por medio de la teoría económica neoclásica indicando que el parámetro R describe a la utilidad marginal, con tal suerte que el aumento de la producción afecta al vector de los precios constantes (R) por lo tanto mediría la capacidad económica para obtener utilidades (Utilidad Marginal).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Así es como la gran mayoría de los autores </w:t>
      </w:r>
      <w:r w:rsidR="00843CD6">
        <w:rPr>
          <w:rFonts w:ascii="Arial" w:hAnsi="Arial" w:cs="Arial"/>
          <w:sz w:val="24"/>
          <w:szCs w:val="24"/>
        </w:rPr>
        <w:t>pretendían</w:t>
      </w:r>
      <w:r w:rsidRPr="000A2024">
        <w:rPr>
          <w:rFonts w:ascii="Arial" w:hAnsi="Arial" w:cs="Arial"/>
          <w:sz w:val="24"/>
          <w:szCs w:val="24"/>
        </w:rPr>
        <w:t xml:space="preserve"> explicar la realidad de todo el proceso del desarrollo económico</w:t>
      </w:r>
      <w:r w:rsidR="00843CD6">
        <w:rPr>
          <w:rFonts w:ascii="Arial" w:hAnsi="Arial" w:cs="Arial"/>
          <w:sz w:val="24"/>
          <w:szCs w:val="24"/>
        </w:rPr>
        <w:t>. C</w:t>
      </w:r>
      <w:r w:rsidRPr="000A2024">
        <w:rPr>
          <w:rFonts w:ascii="Arial" w:hAnsi="Arial" w:cs="Arial"/>
          <w:sz w:val="24"/>
          <w:szCs w:val="24"/>
        </w:rPr>
        <w:t>on implicaciones dirigidas al modelo formal de equilibrio y a la teoría moderna del crecimiento</w:t>
      </w:r>
      <w:r w:rsidR="00843CD6">
        <w:rPr>
          <w:rFonts w:ascii="Arial" w:hAnsi="Arial" w:cs="Arial"/>
          <w:sz w:val="24"/>
          <w:szCs w:val="24"/>
        </w:rPr>
        <w:t>,</w:t>
      </w:r>
      <w:r w:rsidRPr="000A2024">
        <w:rPr>
          <w:rFonts w:ascii="Arial" w:hAnsi="Arial" w:cs="Arial"/>
          <w:sz w:val="24"/>
          <w:szCs w:val="24"/>
        </w:rPr>
        <w:t xml:space="preserve"> la cual hace básicamente una abstracción científica, recrea escenarios perfectos y pretende una total certidumbre.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8F40EB">
        <w:rPr>
          <w:rFonts w:ascii="Arial" w:hAnsi="Arial" w:cs="Arial"/>
          <w:sz w:val="24"/>
          <w:szCs w:val="24"/>
        </w:rPr>
        <w:t>En este modelo formal de equilibrio los beneficios de una economía en cualquier país son maximizados con datos exógenos, afirma Jorge Katz (2008) en su documento proyecto de la CEPAL, y dice que dicho equilibrio se basa en los siguientes supuestos:</w:t>
      </w:r>
      <w:r w:rsidRPr="000A2024">
        <w:rPr>
          <w:rFonts w:ascii="Arial" w:hAnsi="Arial" w:cs="Arial"/>
          <w:sz w:val="24"/>
          <w:szCs w:val="24"/>
        </w:rPr>
        <w:t xml:space="preserve"> </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t>El mercado posee un comportamiento perfecto, es decir, un trabajo constante y óptimo a lo largo del tiempo.</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t>Los agentes económicos poseen la certeza absoluta, que en palabras coloquiales significa que tienen conocimiento del futuro.</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t>Las empresas conocen todos los gustos de los consumidores.</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t>Las empresas poseen un acceso ilimitado de las funciones de producción que los abastecen para generar producción.</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t>El marco teórico no contempla a las instituciones ni a la incertidumbre.</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t>Sigue un algoritmo matemático de equilibrio en donde el desarrollo es igualado al crecimiento del producto per cápita.</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Todo el conjunto de la economía utiliza óptimamente la dotación de capital físico y humano con el que cuenta.</w:t>
      </w:r>
    </w:p>
    <w:p w:rsidR="00080599" w:rsidRPr="000A2024" w:rsidRDefault="00080599" w:rsidP="00080599">
      <w:pPr>
        <w:pStyle w:val="Prrafodelista"/>
        <w:numPr>
          <w:ilvl w:val="0"/>
          <w:numId w:val="7"/>
        </w:numPr>
        <w:spacing w:after="120" w:line="360" w:lineRule="auto"/>
        <w:contextualSpacing w:val="0"/>
        <w:jc w:val="both"/>
        <w:rPr>
          <w:rFonts w:ascii="Arial" w:hAnsi="Arial" w:cs="Arial"/>
          <w:sz w:val="24"/>
          <w:szCs w:val="24"/>
        </w:rPr>
      </w:pPr>
      <w:r w:rsidRPr="000A2024">
        <w:rPr>
          <w:rFonts w:ascii="Arial" w:hAnsi="Arial" w:cs="Arial"/>
          <w:sz w:val="24"/>
          <w:szCs w:val="24"/>
        </w:rPr>
        <w:t>No toma en cuenta los rendimientos crecientes ni las externalidades entre el ahorro y la inversión.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Pero contemplar al producto interno bruto como única variable ocasionaría un sesgo en la información, es decir, la información se vuelve tendenciosa a favor de algunos sectores como los exportadores o importadores que son aquellos que tienen mayor impacto sobre el mismo producto interno bruto.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Paul Krugman (1996) dice que existe algo cierto acerca de los indicadores basados en la producción y es que la dirección del efecto entre el ingreso real interno y el crecimiento externo es ambigua – ya que este último puede beneficiar en un momento y al siguiente lo opuesto –  y es aquí donde recae la importancia de contemplar diversas variables si se busca argumentar algo útil.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creación de un modelo que describa el funcionamiento del proceso del desarrollo requiere que este último sea desagregado dentro de cada una de las variables que se consideran relevantes. El desarrollo debe ser desagregado y las variables deben ser ponderadas de acuerdo a su relevancia y su nivel de explicación. Además, se requiere considerar dentro del modelo que el desarrollo, dentro de su proceso, existe un cambio o transformación estructural del país. </w:t>
      </w:r>
    </w:p>
    <w:p w:rsidR="00DD112F"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Krugman afirma que en la creación de un índice no es necesario utilizar únicamente un análisis sobre el rendimiento del producto interno bruto de dicho país para así poder confirmar su evolución o crecimiento económico.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desarrollo debe ser visto como un proceso que es afectado por diversas variables, cada una en diferente magnitud. Tomando el ejemplo propuesto por Krugman, una variable que no es tomada en cuenta y que podría ser de bastante utilidad en la construcción de dicho índice podría ser el efecto del crecimiento externo sobre el ingreso real interno de cierta economía, o viceversa.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alcance del desarrollo debería de ser también una variable a considerar para la medición del desarrollo. La segmentación de la sociedad simplemente desde el </w:t>
      </w:r>
      <w:r w:rsidRPr="000A2024">
        <w:rPr>
          <w:rFonts w:ascii="Arial" w:hAnsi="Arial" w:cs="Arial"/>
          <w:sz w:val="24"/>
          <w:szCs w:val="24"/>
        </w:rPr>
        <w:lastRenderedPageBreak/>
        <w:t xml:space="preserve">ámbito económico – sin mencionar por ahora los tipos de intereses, la cultura, la religión, la educación y todos aquellos ámbitos que distinguen a los grupos o esferas de una sociedad – genera que el desarrollo tenga distinto impacto e incluso es posible que a algunos grupos no lo perciban.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desarrollo y crecimiento de una economía no sólo le corresponde ni solamente se puede medir mediante el aumento del producto per cápita si no que debe involucrar también cambios estructurales de la economía, se deben crear instituciones, mercados y nuevas capacidades tecnológicas. Además de que un índice elaborado a partir del PIB no tiene la capacidad descriptiva suficiente para recrear la realidad abstracta.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Jorge Katz (2008) dice que se necesita estudiar y comprender las economías por sí mismas si se busca alcanzar una verdadera teoría del desarrollo económico y para esto debemos observar al desarrollo como un proceso multidimensional, es decir, que posee diversas variables y en distintas magnitudes que deben ser consideradas.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intento de formular una verdadera teoría de desarrollo que describa la r</w:t>
      </w:r>
      <w:r w:rsidR="00536CD1" w:rsidRPr="000A2024">
        <w:rPr>
          <w:rFonts w:ascii="Arial" w:hAnsi="Arial" w:cs="Arial"/>
          <w:sz w:val="24"/>
          <w:szCs w:val="24"/>
        </w:rPr>
        <w:t xml:space="preserve">ealidad del proceso </w:t>
      </w:r>
      <w:r w:rsidRPr="000A2024">
        <w:rPr>
          <w:rFonts w:ascii="Arial" w:hAnsi="Arial" w:cs="Arial"/>
          <w:sz w:val="24"/>
          <w:szCs w:val="24"/>
        </w:rPr>
        <w:t>no pretende escribir una receta a base de la descripción de un país que ha logrado el desarrollo y que los demás países que lo bus</w:t>
      </w:r>
      <w:r w:rsidR="00536CD1" w:rsidRPr="000A2024">
        <w:rPr>
          <w:rFonts w:ascii="Arial" w:hAnsi="Arial" w:cs="Arial"/>
          <w:sz w:val="24"/>
          <w:szCs w:val="24"/>
        </w:rPr>
        <w:t>can se desplacen a través de la misma s</w:t>
      </w:r>
      <w:r w:rsidRPr="000A2024">
        <w:rPr>
          <w:rFonts w:ascii="Arial" w:hAnsi="Arial" w:cs="Arial"/>
          <w:sz w:val="24"/>
          <w:szCs w:val="24"/>
        </w:rPr>
        <w:t xml:space="preserve">erie de pasos para alcanzar también el desarrollo.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imperativo contemplar que cada economía cuenta con su manera de ser distintiva y propia en cuanto a sus capacidades, tecnologías, cuadro institucional y reglas de maduración de las fuerzas productivas.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bastante certero decir también que cada economía posee una evolución distinta de las demás y es por esto que no puede existir una teoría de desarrollo que suponga que toda economía debe comportarse como lo dice el modelo para alcanzar el desarrollo, y el modelo debe adaptarse a cada economía porque lo opuesto sería pura ingenuidad. </w:t>
      </w:r>
    </w:p>
    <w:p w:rsidR="00080599" w:rsidRPr="000A2024" w:rsidRDefault="00080599" w:rsidP="007C6375">
      <w:pPr>
        <w:pStyle w:val="Prrafodelista"/>
        <w:spacing w:after="240" w:line="360" w:lineRule="auto"/>
        <w:ind w:left="0"/>
        <w:contextualSpacing w:val="0"/>
        <w:jc w:val="both"/>
        <w:rPr>
          <w:rFonts w:ascii="Arial" w:hAnsi="Arial" w:cs="Arial"/>
          <w:b/>
          <w:sz w:val="24"/>
          <w:szCs w:val="24"/>
        </w:rPr>
      </w:pPr>
      <w:r w:rsidRPr="000A2024">
        <w:rPr>
          <w:rFonts w:ascii="Arial" w:hAnsi="Arial" w:cs="Arial"/>
          <w:sz w:val="24"/>
          <w:szCs w:val="24"/>
        </w:rPr>
        <w:t xml:space="preserve">Dicho modelo debe contemplar los vínculos y hábitos que existen en la relación entre las empresas, sus consumidores, el estado conformado por agencias gubernamentales y una vasta gama de otras organizaciones como universidades, </w:t>
      </w:r>
      <w:r w:rsidRPr="000A2024">
        <w:rPr>
          <w:rFonts w:ascii="Arial" w:hAnsi="Arial" w:cs="Arial"/>
          <w:sz w:val="24"/>
          <w:szCs w:val="24"/>
        </w:rPr>
        <w:lastRenderedPageBreak/>
        <w:t>sindicatos, autoridades a nivel municipal, asociaciones profesionales, etcétera, por lo que no se podría generalizar en un modelo único y universal de descripción del proceso de desarrollo.</w:t>
      </w:r>
    </w:p>
    <w:p w:rsidR="00080599" w:rsidRPr="000A2024" w:rsidRDefault="00080599" w:rsidP="00536CD1">
      <w:pPr>
        <w:pStyle w:val="SubTema"/>
        <w:rPr>
          <w:rFonts w:ascii="Arial" w:hAnsi="Arial" w:cs="Arial"/>
        </w:rPr>
      </w:pPr>
      <w:bookmarkStart w:id="5" w:name="_Toc450230480"/>
      <w:r w:rsidRPr="000A2024">
        <w:rPr>
          <w:rFonts w:ascii="Arial" w:hAnsi="Arial" w:cs="Arial"/>
        </w:rPr>
        <w:t>Buscando la verdadera teoría de desarrollo.</w:t>
      </w:r>
      <w:bookmarkEnd w:id="5"/>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Para Jorge Katz (2008) las ideas clásicas originales de la teoría del desarrollo eran que el desarrollo debe ser visto como un proceso de construcción de capacidades sociales (productivas, tecnológicas e institucionales) bajo un contexto de incertidumbre e información imperfecta.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doctor en economía Giovanni E. Reyes (2009) en su trabajo titulado Principales teorías sobre desarrollo económico y social y su aplicación en América Latina y el Caribe contempla al desarrollo como la existencia de oportunidades de empleo, una tasa positiva de distribución y redistribución de la riqueza, y concuerda con la satisfacción de las necesidades básicas.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desarrollo económico sería un efecto causado por las oportunidades generadas desde la creación de empleos y cómo estos en conjunto con los sectores productivos mejorados por la tecnología y el sano desempeño de las instituciones provocarían un desarrollo en el país. Además, encontrar el bienestar de los individuos es crucial para un verdadero desarrollo.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Así, se requiere formular un postulado</w:t>
      </w:r>
      <w:r w:rsidR="00536CD1" w:rsidRPr="000A2024">
        <w:rPr>
          <w:rFonts w:ascii="Arial" w:hAnsi="Arial" w:cs="Arial"/>
          <w:sz w:val="24"/>
          <w:szCs w:val="24"/>
        </w:rPr>
        <w:t xml:space="preserve"> de</w:t>
      </w:r>
      <w:r w:rsidRPr="000A2024">
        <w:rPr>
          <w:rFonts w:ascii="Arial" w:hAnsi="Arial" w:cs="Arial"/>
          <w:sz w:val="24"/>
          <w:szCs w:val="24"/>
        </w:rPr>
        <w:t>l desarrollo de un país</w:t>
      </w:r>
      <w:r w:rsidR="00536CD1" w:rsidRPr="000A2024">
        <w:rPr>
          <w:rFonts w:ascii="Arial" w:hAnsi="Arial" w:cs="Arial"/>
          <w:sz w:val="24"/>
          <w:szCs w:val="24"/>
        </w:rPr>
        <w:t xml:space="preserve"> orientado a contemplar todas las variables importantes</w:t>
      </w:r>
      <w:r w:rsidRPr="000A2024">
        <w:rPr>
          <w:rFonts w:ascii="Arial" w:hAnsi="Arial" w:cs="Arial"/>
          <w:sz w:val="24"/>
          <w:szCs w:val="24"/>
        </w:rPr>
        <w:t xml:space="preserve"> que son las dimensiones políticas, sociales, económicas, culturales y ecológicas. Ahora bien, desde la perspectiva política, el doctor Reyes enfatiza a la legitimidad legal y concreta que surge, afirma, de proporcionar oportunidades y beneficios sociales.</w:t>
      </w:r>
    </w:p>
    <w:p w:rsidR="00536CD1"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desarrollo de un país debe presentarse cuando cada uno de los individuos que componen las diversas esferas de una so</w:t>
      </w:r>
      <w:r w:rsidR="00D9168E">
        <w:rPr>
          <w:rFonts w:ascii="Arial" w:hAnsi="Arial" w:cs="Arial"/>
          <w:sz w:val="24"/>
          <w:szCs w:val="24"/>
        </w:rPr>
        <w:t>ciedad dentro sea</w:t>
      </w:r>
      <w:r w:rsidRPr="000A2024">
        <w:rPr>
          <w:rFonts w:ascii="Arial" w:hAnsi="Arial" w:cs="Arial"/>
          <w:sz w:val="24"/>
          <w:szCs w:val="24"/>
        </w:rPr>
        <w:t xml:space="preserve">n capaces por sí mismos de satisfacer sus necesidades. Principio fundamental del desarrollo humano.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Dichas necesidades pueden ser satisfechas mediante las oportunidades que posee cada individuo a su alcance y estas oportunidades son vislumbradas y posibles por medio de las capacidades sociales, como el acceso a organizaciones e instituciones </w:t>
      </w:r>
      <w:r w:rsidRPr="000A2024">
        <w:rPr>
          <w:rFonts w:ascii="Arial" w:hAnsi="Arial" w:cs="Arial"/>
          <w:sz w:val="24"/>
          <w:szCs w:val="24"/>
        </w:rPr>
        <w:lastRenderedPageBreak/>
        <w:t xml:space="preserve">y el uso de servicios o bienes públicos básicos orientados a la productividad del individuo.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Los servicios o bienes públicos básicos, sintetizados de varios postulados, que requiere el individuo deben ser cada uno de los siguientes:</w:t>
      </w:r>
    </w:p>
    <w:p w:rsidR="00080599" w:rsidRPr="000A2024" w:rsidRDefault="00080599" w:rsidP="00080599">
      <w:pPr>
        <w:pStyle w:val="Prrafodelista"/>
        <w:numPr>
          <w:ilvl w:val="0"/>
          <w:numId w:val="6"/>
        </w:numPr>
        <w:spacing w:after="120" w:line="360" w:lineRule="auto"/>
        <w:contextualSpacing w:val="0"/>
        <w:jc w:val="both"/>
        <w:rPr>
          <w:rFonts w:ascii="Arial" w:hAnsi="Arial" w:cs="Arial"/>
          <w:sz w:val="24"/>
          <w:szCs w:val="24"/>
        </w:rPr>
      </w:pPr>
      <w:r w:rsidRPr="000A2024">
        <w:rPr>
          <w:rFonts w:ascii="Arial" w:hAnsi="Arial" w:cs="Arial"/>
          <w:sz w:val="24"/>
          <w:szCs w:val="24"/>
        </w:rPr>
        <w:t>Una educación que permita alcanzar el profesionalismo.</w:t>
      </w:r>
    </w:p>
    <w:p w:rsidR="00080599" w:rsidRPr="000A2024" w:rsidRDefault="00080599" w:rsidP="00080599">
      <w:pPr>
        <w:pStyle w:val="Prrafodelista"/>
        <w:numPr>
          <w:ilvl w:val="0"/>
          <w:numId w:val="6"/>
        </w:numPr>
        <w:spacing w:after="120" w:line="360" w:lineRule="auto"/>
        <w:contextualSpacing w:val="0"/>
        <w:jc w:val="both"/>
        <w:rPr>
          <w:rFonts w:ascii="Arial" w:hAnsi="Arial" w:cs="Arial"/>
          <w:sz w:val="24"/>
          <w:szCs w:val="24"/>
        </w:rPr>
      </w:pPr>
      <w:r w:rsidRPr="000A2024">
        <w:rPr>
          <w:rFonts w:ascii="Arial" w:hAnsi="Arial" w:cs="Arial"/>
          <w:sz w:val="24"/>
          <w:szCs w:val="24"/>
        </w:rPr>
        <w:t>Una vivienda que permita obtener un verdadero descanso y sea un punto de acceso directo y estable a la seguridad personal del individuo.</w:t>
      </w:r>
    </w:p>
    <w:p w:rsidR="00080599" w:rsidRPr="000A2024" w:rsidRDefault="00080599" w:rsidP="00080599">
      <w:pPr>
        <w:pStyle w:val="Prrafodelista"/>
        <w:numPr>
          <w:ilvl w:val="0"/>
          <w:numId w:val="6"/>
        </w:numPr>
        <w:spacing w:after="120" w:line="360" w:lineRule="auto"/>
        <w:contextualSpacing w:val="0"/>
        <w:jc w:val="both"/>
        <w:rPr>
          <w:rFonts w:ascii="Arial" w:hAnsi="Arial" w:cs="Arial"/>
          <w:sz w:val="24"/>
          <w:szCs w:val="24"/>
        </w:rPr>
      </w:pPr>
      <w:r w:rsidRPr="000A2024">
        <w:rPr>
          <w:rFonts w:ascii="Arial" w:hAnsi="Arial" w:cs="Arial"/>
          <w:sz w:val="24"/>
          <w:szCs w:val="24"/>
        </w:rPr>
        <w:t>Una nutrición que proporcione un desarrollo físico completo y con esto energía suficiente para desempeñar las distintas actividades.</w:t>
      </w:r>
    </w:p>
    <w:p w:rsidR="00080599" w:rsidRPr="000A2024" w:rsidRDefault="00080599" w:rsidP="00080599">
      <w:pPr>
        <w:pStyle w:val="Prrafodelista"/>
        <w:numPr>
          <w:ilvl w:val="0"/>
          <w:numId w:val="6"/>
        </w:numPr>
        <w:spacing w:after="120" w:line="360" w:lineRule="auto"/>
        <w:contextualSpacing w:val="0"/>
        <w:jc w:val="both"/>
        <w:rPr>
          <w:rFonts w:ascii="Arial" w:hAnsi="Arial" w:cs="Arial"/>
          <w:sz w:val="24"/>
          <w:szCs w:val="24"/>
        </w:rPr>
      </w:pPr>
      <w:r w:rsidRPr="000A2024">
        <w:rPr>
          <w:rFonts w:ascii="Arial" w:hAnsi="Arial" w:cs="Arial"/>
          <w:sz w:val="24"/>
          <w:szCs w:val="24"/>
        </w:rPr>
        <w:t>Una salud que permita tener una longevidad lo suficientemente larga para que los objetivos sean completados.</w:t>
      </w:r>
    </w:p>
    <w:p w:rsidR="00080599" w:rsidRPr="000A2024" w:rsidRDefault="00080599" w:rsidP="00080599">
      <w:pPr>
        <w:pStyle w:val="Prrafodelista"/>
        <w:numPr>
          <w:ilvl w:val="0"/>
          <w:numId w:val="6"/>
        </w:numPr>
        <w:spacing w:after="120" w:line="360" w:lineRule="auto"/>
        <w:contextualSpacing w:val="0"/>
        <w:jc w:val="both"/>
        <w:rPr>
          <w:rFonts w:ascii="Arial" w:hAnsi="Arial" w:cs="Arial"/>
          <w:sz w:val="24"/>
          <w:szCs w:val="24"/>
        </w:rPr>
      </w:pPr>
      <w:r w:rsidRPr="000A2024">
        <w:rPr>
          <w:rFonts w:ascii="Arial" w:hAnsi="Arial" w:cs="Arial"/>
          <w:sz w:val="24"/>
          <w:szCs w:val="24"/>
        </w:rPr>
        <w:t>El respeto entre los grupos sociales dentro de un marco social del estado que permita al individuo presentarse y no temer al rechazo.</w:t>
      </w:r>
    </w:p>
    <w:p w:rsidR="00080599" w:rsidRPr="000A2024" w:rsidRDefault="00080599" w:rsidP="00080599">
      <w:pPr>
        <w:pStyle w:val="Prrafodelista"/>
        <w:ind w:left="1440"/>
        <w:jc w:val="both"/>
        <w:rPr>
          <w:rFonts w:ascii="Arial" w:hAnsi="Arial" w:cs="Arial"/>
          <w:sz w:val="24"/>
          <w:szCs w:val="24"/>
        </w:rPr>
      </w:pPr>
    </w:p>
    <w:p w:rsidR="00536CD1"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Jorge Katz (2008) menciona a la tecnología, dice que es la manera en la que se utilizan los recursos respetando los aspectos cul</w:t>
      </w:r>
      <w:r w:rsidR="00536CD1" w:rsidRPr="000A2024">
        <w:rPr>
          <w:rFonts w:ascii="Arial" w:hAnsi="Arial" w:cs="Arial"/>
          <w:sz w:val="24"/>
          <w:szCs w:val="24"/>
        </w:rPr>
        <w:t>turales y los derechos humanos, esta</w:t>
      </w:r>
      <w:r w:rsidRPr="000A2024">
        <w:rPr>
          <w:rFonts w:ascii="Arial" w:hAnsi="Arial" w:cs="Arial"/>
          <w:sz w:val="24"/>
          <w:szCs w:val="24"/>
        </w:rPr>
        <w:t xml:space="preserve"> permitirá al individuo fomentar la apertura de sus capacidades y de las oportunidades.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ausencia de la tecnología a pesar de los servicios o bienes públicos ocasiona rezago tanto en la sociedad como en la competitividad en el mercado laboral. </w:t>
      </w:r>
    </w:p>
    <w:p w:rsidR="00536CD1"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por esto que una política de mercado libre en una economía que busca el desarrollo puede ser benigna ya que estas economías por lo general no cuentan con el acceso equitativo de los servicios o bienes públicos básicos que apoyen el desar</w:t>
      </w:r>
      <w:r w:rsidR="00536CD1" w:rsidRPr="000A2024">
        <w:rPr>
          <w:rFonts w:ascii="Arial" w:hAnsi="Arial" w:cs="Arial"/>
          <w:sz w:val="24"/>
          <w:szCs w:val="24"/>
        </w:rPr>
        <w:t>rollo del aparato productivo.</w:t>
      </w:r>
    </w:p>
    <w:p w:rsidR="00080599" w:rsidRPr="000A2024" w:rsidRDefault="00536CD1"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w:t>
      </w:r>
      <w:r w:rsidR="00080599" w:rsidRPr="000A2024">
        <w:rPr>
          <w:rFonts w:ascii="Arial" w:hAnsi="Arial" w:cs="Arial"/>
          <w:sz w:val="24"/>
          <w:szCs w:val="24"/>
        </w:rPr>
        <w:t xml:space="preserve">l contacto con el mercado extranjero permitiría dotar al país de tecnología y además propiciar un aumento en la demanda que por lo tanto en la producción. </w:t>
      </w:r>
    </w:p>
    <w:p w:rsidR="006F4874"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En economías subdesarrolladas</w:t>
      </w:r>
      <w:r w:rsidR="00536CD1" w:rsidRPr="000A2024">
        <w:rPr>
          <w:rStyle w:val="Refdenotaalpie"/>
          <w:rFonts w:ascii="Arial" w:hAnsi="Arial" w:cs="Arial"/>
          <w:sz w:val="24"/>
          <w:szCs w:val="24"/>
        </w:rPr>
        <w:footnoteReference w:id="1"/>
      </w:r>
      <w:r w:rsidRPr="000A2024">
        <w:rPr>
          <w:rFonts w:ascii="Arial" w:hAnsi="Arial" w:cs="Arial"/>
          <w:sz w:val="24"/>
          <w:szCs w:val="24"/>
        </w:rPr>
        <w:t xml:space="preserve"> las empresas operan bajo rezago tecnológico en comparación con las desarrolladas y además cuentan con una carencia de información o capacidad gerencial para poder trabajar a nivel internacional.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Por lo que las políticas de mercado libre permitirán que la capacitación de los empleados reduzca este rezago y a las gerencias mejorar la información y el manejo de las empresas. </w:t>
      </w:r>
    </w:p>
    <w:p w:rsidR="006F4874"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por algo parecido a esto que en los noventas existió un saber convencional basado en los programas de implementación del muy respetado Consenso de Washington, el cual se creía con fervorosa certeza que con la implementación de políticas de libre mercado con restricciones mínimas en las importaciones en conjunto con la privatización de la actividad productiva llevaría a cualquier economía al desarrollo exitoso.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No sólo estaban seguros del éxito después de la implementación sino también de que toda economía que siguiese el modelo presentaría comportamientos similares, que al final lo opuesto fue la conclusión.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Consenso de Washington surge a finales de la década de los ochentas, John Williamson (citado por Krugman, 1996) señaló que para este entonces un nuevo saber convencional se estaba formando entre las personas a cargo de la implementación de las políticas económicas.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Krugman (1996), la razón de la denominación de este nuevo saber convencional se debía a que dichas personas radicaban en Washington o que por lo menos viajaban bastante seguido y consistía en una receta bastante simple: una moneda sólida, respaldada por oro y una libertad bien marcada en los mercados, liberalización del comercio y la privatización de empresas del Estado.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implementación de estos programas en América Latina propició que el umbral de indiferencia e inequidad social aumentara, lo cual era de cierta manera de esperarse; los mercados locales medianos y pequeños no pudieron soportar la entrada de la inversión extranjera y solamente aquellos que poseían monopolio o </w:t>
      </w:r>
      <w:r w:rsidRPr="000A2024">
        <w:rPr>
          <w:rFonts w:ascii="Arial" w:hAnsi="Arial" w:cs="Arial"/>
          <w:sz w:val="24"/>
          <w:szCs w:val="24"/>
        </w:rPr>
        <w:lastRenderedPageBreak/>
        <w:t>un gran impacto se fortalecerían a la entrada de la competencia extranjera. Y como si no fuese poco los países latinos debieron enfrentar efectos sorpresivos de disminución de eficiencia en los años venideros.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Jorge Katz (2008) afirma que los países latinos que han intentado seguir los programas recomendados por el Consenso de Washington han tenido que acceder a incentivos para poder alcanzar el proceso de desarrollo. Reacción negativa, ya que propició la desaparición de miles de empresas y un aumento dramático del desempleo en la economía.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creciente diferencia e inequidad de las capacidades y niveles educativos de los segmentos bajos de la población ha ocasionado que éstos pierdan cierta parte de la distribución del ingreso y de empleabilidad ya que es difícil incorporarse adecuadamente al aparato productivo cotidiano de la comunidad moderna.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problema con la apertura del mercado al exterior radica en que los sectores productivos tradicionales no podrán con la competencia extranjera y estos acabarán inevitablemente absorbidos o fuera debido a la vertiginosidad de mercado. Krugman (1996) cree que las creencias del desarrollo económico de un país durante los noventas son convencionales y viscerales.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Al igual que el saber convencional de los años treinta, el cual afirmaba que la libertad de mercado y la moneda fuerte generan el crecimiento económico. Krugman asevera que basta con una lectura selectiva de casos como los de Argentina y Hong Kong para desmentir que la libertad de mercado y la moneda fuerte no siempre o simplemente no generan el crecimiento económico.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Existen dos casos comparativos en los que el comercio libre y la libertad a los inversionistas no es favorable: el primero es el de Tailandia, quien presenta un auge económico, comparado con las Filipinas en estado de estancamiento. Krugman (1996) considera que ambos son igualmente proteccionistas en cuanto a la libertad de mercado y a la inversión extranjera.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segundo caso es el de Puerto Rico, quien abre totalmente las puertas de su mercado a inversores extranjeros y el libre acceso al mercado norteamericano, quien después de un tiempo no logra sustentar un rápido aumento de ingreso.</w:t>
      </w:r>
    </w:p>
    <w:p w:rsidR="006F4874"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Una apertura de importaciones sin restricciones propiciaría los mismos problemas que en los cuarentas afirma Krugman (1996) y es por esto que debe existir una política que permita la apertura del mercado a la inversión extranjera y que al mismo tiempo proteja al mercado local.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verdad que los sectores más modernos son de alta productividad y que por esto mismo son mejor remunerados a comparación de los sectores tradicionales como la agricultura que es de baja productividad y de salarios bajos. No obstante, los sectores modernos requieren de economías de escala, es decir, que el tamaño de los mercados generados por los sectores modernos describirá la rentabilidad de la inversión.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Para que exista un buen tamaño del mercado es necesario que exista demanda, pero la demanda es insuficiente porque en economías de desarrollo el mismo sector moderno es pequeño y para las empresas privadas esto es un riesgo a contemplar antes de invertir lo cual complementa a las limitantes en el crecimiento de la demanda y por ende del tamaño del mercado.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aquí donde el Estado podría trabajar en alguna política, programa o ley fiscal que permita el desplazamiento de la sociedad hacia los sectores productivos y la creación de la demanda para atraer inversión lo cual permitiría obtener mayores oportunidades para los individuos y así encaminarse hacia el camino del desarrollo.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No obstante, también para Krugman (1996), realizar una estrategia de desarrollo basada en centrar el papel del Estado como actor principal implica crear un modelo especulativo por lo que sería prudente decir que par</w:t>
      </w:r>
      <w:r w:rsidR="0004471C" w:rsidRPr="000A2024">
        <w:rPr>
          <w:rFonts w:ascii="Arial" w:hAnsi="Arial" w:cs="Arial"/>
          <w:sz w:val="24"/>
          <w:szCs w:val="24"/>
        </w:rPr>
        <w:t xml:space="preserve">a formalizar </w:t>
      </w:r>
      <w:r w:rsidRPr="000A2024">
        <w:rPr>
          <w:rFonts w:ascii="Arial" w:hAnsi="Arial" w:cs="Arial"/>
          <w:sz w:val="24"/>
          <w:szCs w:val="24"/>
        </w:rPr>
        <w:t>e</w:t>
      </w:r>
      <w:r w:rsidR="0004471C" w:rsidRPr="000A2024">
        <w:rPr>
          <w:rFonts w:ascii="Arial" w:hAnsi="Arial" w:cs="Arial"/>
          <w:sz w:val="24"/>
          <w:szCs w:val="24"/>
        </w:rPr>
        <w:t>l</w:t>
      </w:r>
      <w:r w:rsidRPr="000A2024">
        <w:rPr>
          <w:rFonts w:ascii="Arial" w:hAnsi="Arial" w:cs="Arial"/>
          <w:sz w:val="24"/>
          <w:szCs w:val="24"/>
        </w:rPr>
        <w:t xml:space="preserve"> modelo si</w:t>
      </w:r>
      <w:r w:rsidR="0004471C" w:rsidRPr="000A2024">
        <w:rPr>
          <w:rFonts w:ascii="Arial" w:hAnsi="Arial" w:cs="Arial"/>
          <w:sz w:val="24"/>
          <w:szCs w:val="24"/>
        </w:rPr>
        <w:t>mplemente se necesita</w:t>
      </w:r>
      <w:r w:rsidRPr="000A2024">
        <w:rPr>
          <w:rFonts w:ascii="Arial" w:hAnsi="Arial" w:cs="Arial"/>
          <w:sz w:val="24"/>
          <w:szCs w:val="24"/>
        </w:rPr>
        <w:t>, es decir, en cifras absolutas, el porcentaje de participación que desempeña el Estado y del tamaño del mercado que es generado por la demanda.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Pero no sólo esto es un reto para los economistas, también se deben contemplar el porcentaje de relevancia de cada variable que determina la manera distintiva de cada sociedad. Esto es lo que se ha estado definiendo a lo largo de 80 años de estudiar el desarrollo y sus múltiples facetas.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Y si bien es necesario entender cada variable, es igual de importante comprender cómo es que el desarrollo ha sido considerado a lo largo del siglo XX que es cua</w:t>
      </w:r>
      <w:r w:rsidR="0004471C" w:rsidRPr="000A2024">
        <w:rPr>
          <w:rFonts w:ascii="Arial" w:hAnsi="Arial" w:cs="Arial"/>
          <w:sz w:val="24"/>
          <w:szCs w:val="24"/>
        </w:rPr>
        <w:t xml:space="preserve">ndo más ha presentado cambios en </w:t>
      </w:r>
      <w:r w:rsidRPr="000A2024">
        <w:rPr>
          <w:rFonts w:ascii="Arial" w:hAnsi="Arial" w:cs="Arial"/>
          <w:sz w:val="24"/>
          <w:szCs w:val="24"/>
        </w:rPr>
        <w:t xml:space="preserve">estas teorías que en su momento podían describir a un proceso tan abstracto. </w:t>
      </w:r>
    </w:p>
    <w:p w:rsidR="00080599" w:rsidRPr="000A2024" w:rsidRDefault="00080599" w:rsidP="00D9168E">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He de mencionar ahora los antecedentes teóricos del desarrollo para así entender cómo es que para fines del siglo XX se ha llegado a la prioridad del ser humano.</w:t>
      </w:r>
    </w:p>
    <w:p w:rsidR="00080599" w:rsidRPr="000A2024" w:rsidRDefault="00080599" w:rsidP="00D9168E">
      <w:pPr>
        <w:pStyle w:val="SubTema"/>
        <w:spacing w:before="0" w:after="120"/>
        <w:rPr>
          <w:rFonts w:ascii="Arial" w:hAnsi="Arial" w:cs="Arial"/>
        </w:rPr>
      </w:pPr>
      <w:bookmarkStart w:id="6" w:name="_Toc450230481"/>
      <w:r w:rsidRPr="000A2024">
        <w:rPr>
          <w:rFonts w:ascii="Arial" w:hAnsi="Arial" w:cs="Arial"/>
        </w:rPr>
        <w:t>Antecedentes teóricos del desarrollo y crecimiento.</w:t>
      </w:r>
      <w:bookmarkEnd w:id="6"/>
    </w:p>
    <w:p w:rsidR="00080599" w:rsidRPr="000A2024" w:rsidRDefault="00080599" w:rsidP="002716C3">
      <w:pPr>
        <w:pStyle w:val="Sub3"/>
        <w:rPr>
          <w:rFonts w:ascii="Arial" w:hAnsi="Arial" w:cs="Arial"/>
        </w:rPr>
      </w:pPr>
      <w:bookmarkStart w:id="7" w:name="_Toc450230482"/>
      <w:r w:rsidRPr="000A2024">
        <w:rPr>
          <w:rFonts w:ascii="Arial" w:hAnsi="Arial" w:cs="Arial"/>
        </w:rPr>
        <w:t>Corriente clásica. Los pensadores clásicos del desarrollo más representativos son:</w:t>
      </w:r>
      <w:bookmarkEnd w:id="7"/>
      <w:r w:rsidRPr="000A2024">
        <w:rPr>
          <w:rFonts w:ascii="Arial" w:hAnsi="Arial" w:cs="Arial"/>
        </w:rPr>
        <w:t xml:space="preserve"> </w:t>
      </w:r>
    </w:p>
    <w:p w:rsidR="00080599" w:rsidRPr="000A2024" w:rsidRDefault="00080599" w:rsidP="00080599">
      <w:pPr>
        <w:pStyle w:val="Prrafodelista"/>
        <w:ind w:left="360"/>
        <w:jc w:val="both"/>
        <w:rPr>
          <w:rFonts w:ascii="Arial" w:hAnsi="Arial" w:cs="Arial"/>
          <w:sz w:val="24"/>
          <w:szCs w:val="24"/>
        </w:rPr>
      </w:pPr>
    </w:p>
    <w:p w:rsidR="00080599" w:rsidRPr="000A2024" w:rsidRDefault="00080599" w:rsidP="00080599">
      <w:pPr>
        <w:pStyle w:val="Prrafodelista"/>
        <w:numPr>
          <w:ilvl w:val="0"/>
          <w:numId w:val="8"/>
        </w:numPr>
        <w:spacing w:after="120" w:line="360" w:lineRule="auto"/>
        <w:contextualSpacing w:val="0"/>
        <w:jc w:val="both"/>
        <w:rPr>
          <w:rFonts w:ascii="Arial" w:hAnsi="Arial" w:cs="Arial"/>
          <w:sz w:val="24"/>
          <w:szCs w:val="24"/>
        </w:rPr>
      </w:pPr>
      <w:r w:rsidRPr="000A2024">
        <w:rPr>
          <w:rFonts w:ascii="Arial" w:hAnsi="Arial" w:cs="Arial"/>
          <w:sz w:val="24"/>
          <w:szCs w:val="24"/>
        </w:rPr>
        <w:t>Adam Smith (1776)</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Fue quien observó que la productividad contribuye al crecimiento de la riqueza en la relación a la proporción del tamaño del mercado con la división del trabajo.</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Define que el grado de acumulación de la riqueza se encuentra en función del tamaño del mercado y cómo este posee la capacidad de estimular su crecimiento.</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Observó que dentro de las empresas capitalistas los niveles de especialización de cualquier trabajo o actividad eran determinantes en su productividad.</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El crecimiento del capital depende de la productividad del trabajo.</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Reconoce a la relevancia de la nación y como una prioridad ante los intereses económicos.</w:t>
      </w:r>
    </w:p>
    <w:p w:rsidR="00080599" w:rsidRPr="000A2024" w:rsidRDefault="00080599" w:rsidP="00080599">
      <w:pPr>
        <w:pStyle w:val="Prrafodelista"/>
        <w:ind w:left="1800"/>
        <w:jc w:val="both"/>
        <w:rPr>
          <w:rFonts w:ascii="Arial" w:hAnsi="Arial" w:cs="Arial"/>
          <w:sz w:val="24"/>
          <w:szCs w:val="24"/>
        </w:rPr>
      </w:pPr>
    </w:p>
    <w:p w:rsidR="00080599" w:rsidRPr="000A2024" w:rsidRDefault="00080599" w:rsidP="00080599">
      <w:pPr>
        <w:pStyle w:val="Prrafodelista"/>
        <w:numPr>
          <w:ilvl w:val="0"/>
          <w:numId w:val="8"/>
        </w:numPr>
        <w:spacing w:after="120" w:line="360" w:lineRule="auto"/>
        <w:contextualSpacing w:val="0"/>
        <w:jc w:val="both"/>
        <w:rPr>
          <w:rFonts w:ascii="Arial" w:hAnsi="Arial" w:cs="Arial"/>
          <w:sz w:val="24"/>
          <w:szCs w:val="24"/>
        </w:rPr>
      </w:pPr>
      <w:r w:rsidRPr="000A2024">
        <w:rPr>
          <w:rFonts w:ascii="Arial" w:hAnsi="Arial" w:cs="Arial"/>
          <w:sz w:val="24"/>
          <w:szCs w:val="24"/>
        </w:rPr>
        <w:t>Thomas Malthus (1798)</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Una de sus obras más relevante fue el Ensayo sobre el Principio de la Población. </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Dicho ensayo se aboca a la explicación de los “principios de población” y de la “ley de los rendimientos decrecientes”.</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Malthus es reconocido por sus teorías de los salarios y de la renta de la tierra.</w:t>
      </w:r>
    </w:p>
    <w:p w:rsidR="00080599" w:rsidRPr="000A2024" w:rsidRDefault="00080599" w:rsidP="00080599">
      <w:pPr>
        <w:pStyle w:val="Prrafodelista"/>
        <w:ind w:left="1800"/>
        <w:jc w:val="both"/>
        <w:rPr>
          <w:rFonts w:ascii="Arial" w:hAnsi="Arial" w:cs="Arial"/>
          <w:sz w:val="24"/>
          <w:szCs w:val="24"/>
        </w:rPr>
      </w:pPr>
    </w:p>
    <w:p w:rsidR="00080599" w:rsidRPr="000A2024" w:rsidRDefault="00080599" w:rsidP="00080599">
      <w:pPr>
        <w:pStyle w:val="Prrafodelista"/>
        <w:numPr>
          <w:ilvl w:val="0"/>
          <w:numId w:val="8"/>
        </w:numPr>
        <w:spacing w:after="120" w:line="360" w:lineRule="auto"/>
        <w:contextualSpacing w:val="0"/>
        <w:jc w:val="both"/>
        <w:rPr>
          <w:rFonts w:ascii="Arial" w:hAnsi="Arial" w:cs="Arial"/>
          <w:sz w:val="24"/>
          <w:szCs w:val="24"/>
        </w:rPr>
      </w:pPr>
      <w:r w:rsidRPr="000A2024">
        <w:rPr>
          <w:rFonts w:ascii="Arial" w:hAnsi="Arial" w:cs="Arial"/>
          <w:sz w:val="24"/>
          <w:szCs w:val="24"/>
        </w:rPr>
        <w:t>David Ricardo (1817)</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Su obra más reconocida son los Principios de economía política y tributación.</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La creación de la riqueza depende de la maximización de los recursos de una nación con relación al resto del mundo.</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Supone que la especialización del trabajo proviene de participar con aquellas producciones que ofrecen menores costos y mayores ventajas relativas.</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Análisis de la distribución de la producción en las distintas esferas o clases de una sociedad.</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La determinación de las leyes que rigen la distribución es el principal problema de la Economía Política.</w:t>
      </w:r>
    </w:p>
    <w:p w:rsidR="00080599" w:rsidRPr="000A2024" w:rsidRDefault="00080599" w:rsidP="00080599">
      <w:pPr>
        <w:pStyle w:val="Prrafodelista"/>
        <w:ind w:left="1800"/>
        <w:jc w:val="both"/>
        <w:rPr>
          <w:rFonts w:ascii="Arial" w:hAnsi="Arial" w:cs="Arial"/>
          <w:sz w:val="24"/>
          <w:szCs w:val="24"/>
        </w:rPr>
      </w:pPr>
    </w:p>
    <w:p w:rsidR="00080599" w:rsidRPr="000A2024" w:rsidRDefault="00080599" w:rsidP="00080599">
      <w:pPr>
        <w:pStyle w:val="Prrafodelista"/>
        <w:numPr>
          <w:ilvl w:val="0"/>
          <w:numId w:val="8"/>
        </w:numPr>
        <w:spacing w:after="120" w:line="360" w:lineRule="auto"/>
        <w:contextualSpacing w:val="0"/>
        <w:jc w:val="both"/>
        <w:rPr>
          <w:rFonts w:ascii="Arial" w:hAnsi="Arial" w:cs="Arial"/>
          <w:sz w:val="24"/>
          <w:szCs w:val="24"/>
        </w:rPr>
      </w:pPr>
      <w:r w:rsidRPr="000A2024">
        <w:rPr>
          <w:rFonts w:ascii="Arial" w:hAnsi="Arial" w:cs="Arial"/>
          <w:sz w:val="24"/>
          <w:szCs w:val="24"/>
        </w:rPr>
        <w:t>John Stuart Mill (1895)</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Su obra más representativa son los Principios de economía política.</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Formula la teoría general del progreso económico. ¿Qué papel desempeña el progreso técnico dentro del proceso económico?</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Aparece el concepto de progreso económico, antecedente de la idea de desarrollo.</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El progreso está sujeto a la introducción de nuevas tecnologías y proporciona un retraso en la llegada del estado estacionario.</w:t>
      </w:r>
    </w:p>
    <w:p w:rsidR="00080599" w:rsidRPr="000A2024" w:rsidRDefault="00080599" w:rsidP="00080599">
      <w:pPr>
        <w:pStyle w:val="Prrafodelista"/>
        <w:ind w:left="1800"/>
        <w:jc w:val="both"/>
        <w:rPr>
          <w:rFonts w:ascii="Arial" w:hAnsi="Arial" w:cs="Arial"/>
          <w:sz w:val="24"/>
          <w:szCs w:val="24"/>
        </w:rPr>
      </w:pPr>
    </w:p>
    <w:p w:rsidR="00080599" w:rsidRPr="000A2024" w:rsidRDefault="00080599" w:rsidP="00080599">
      <w:pPr>
        <w:pStyle w:val="Prrafodelista"/>
        <w:numPr>
          <w:ilvl w:val="0"/>
          <w:numId w:val="8"/>
        </w:numPr>
        <w:spacing w:after="120" w:line="360" w:lineRule="auto"/>
        <w:contextualSpacing w:val="0"/>
        <w:jc w:val="both"/>
        <w:rPr>
          <w:rFonts w:ascii="Arial" w:hAnsi="Arial" w:cs="Arial"/>
          <w:sz w:val="24"/>
          <w:szCs w:val="24"/>
        </w:rPr>
      </w:pPr>
      <w:r w:rsidRPr="000A2024">
        <w:rPr>
          <w:rFonts w:ascii="Arial" w:hAnsi="Arial" w:cs="Arial"/>
          <w:sz w:val="24"/>
          <w:szCs w:val="24"/>
        </w:rPr>
        <w:t>Carlos Marx (1848-1871)</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Conceptualiza la teoría del desarrollo.</w:t>
      </w:r>
    </w:p>
    <w:p w:rsidR="00080599" w:rsidRPr="000A2024" w:rsidRDefault="002716C3"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El enfoque principal de los estudios de Marx se abocó</w:t>
      </w:r>
      <w:r w:rsidR="00080599" w:rsidRPr="000A2024">
        <w:rPr>
          <w:rFonts w:ascii="Arial" w:hAnsi="Arial" w:cs="Arial"/>
          <w:sz w:val="24"/>
          <w:szCs w:val="24"/>
        </w:rPr>
        <w:t xml:space="preserve"> al análisis del proceso de producción.</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El proceso de producción lo interpreta demostrando el nexo que existe entre las relaciones sociales dentro de la producción y las mismas fuerzas productivas.</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Demuestra que un efecto causado por los cambios en la base de la economía de una sociedad se debe a la variación en la superestructura.</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Recalca la necesidad de promover la división del trabajo dirigido hacia el interior de las naciones para así generar recursos.</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Define la estructura económica de la sociedad y el modo de producción.</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Marx declara que las épocas históricas a lo largo del tiempo se diferencian con la tecnología que posee cada nación para producir, y no con el producto en sí.</w:t>
      </w:r>
    </w:p>
    <w:p w:rsidR="00080599" w:rsidRPr="000A2024" w:rsidRDefault="00080599" w:rsidP="00080599">
      <w:pPr>
        <w:pStyle w:val="Prrafodelista"/>
        <w:ind w:left="1080"/>
        <w:jc w:val="both"/>
        <w:rPr>
          <w:rFonts w:ascii="Arial" w:hAnsi="Arial" w:cs="Arial"/>
          <w:sz w:val="24"/>
          <w:szCs w:val="24"/>
        </w:rPr>
      </w:pPr>
    </w:p>
    <w:p w:rsidR="00080599" w:rsidRPr="000A2024" w:rsidRDefault="00080599" w:rsidP="00080599">
      <w:pPr>
        <w:pStyle w:val="Prrafodelista"/>
        <w:numPr>
          <w:ilvl w:val="0"/>
          <w:numId w:val="8"/>
        </w:numPr>
        <w:spacing w:after="120" w:line="360" w:lineRule="auto"/>
        <w:contextualSpacing w:val="0"/>
        <w:jc w:val="both"/>
        <w:rPr>
          <w:rFonts w:ascii="Arial" w:hAnsi="Arial" w:cs="Arial"/>
          <w:sz w:val="24"/>
          <w:szCs w:val="24"/>
        </w:rPr>
      </w:pPr>
      <w:r w:rsidRPr="000A2024">
        <w:rPr>
          <w:rFonts w:ascii="Arial" w:hAnsi="Arial" w:cs="Arial"/>
          <w:sz w:val="24"/>
          <w:szCs w:val="24"/>
        </w:rPr>
        <w:t>Lenin quien comparte ideas de Marx (1896-1899)</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Su obra más sobresaliente es El desarrollo del capitalismo en Rusia.</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Lenin asocia a la socialización de las fuerzas productivas de trabajo social con la progresión del capitalismo.</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Su trabajo se aboca a mostrar el grado de desarrollo del capitalismo que tiene Rusia.</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Encuentra que el desarrollo del capitalismo posee un cierto grado de desigualdad en la distribución de la riqueza en todas las economías y regiones rusas.</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Implementa en Rusia la Ley del desarrollo económico y político desigual.</w:t>
      </w:r>
    </w:p>
    <w:p w:rsidR="00080599" w:rsidRPr="000A2024" w:rsidRDefault="00080599" w:rsidP="00080599">
      <w:pPr>
        <w:pStyle w:val="Prrafodelista"/>
        <w:ind w:left="360"/>
        <w:jc w:val="both"/>
        <w:rPr>
          <w:rFonts w:ascii="Arial" w:hAnsi="Arial" w:cs="Arial"/>
          <w:sz w:val="24"/>
          <w:szCs w:val="24"/>
        </w:rPr>
      </w:pPr>
    </w:p>
    <w:p w:rsidR="00080599" w:rsidRPr="000A2024" w:rsidRDefault="00080599" w:rsidP="002716C3">
      <w:pPr>
        <w:pStyle w:val="Sub3"/>
        <w:rPr>
          <w:rFonts w:ascii="Arial" w:hAnsi="Arial" w:cs="Arial"/>
        </w:rPr>
      </w:pPr>
      <w:bookmarkStart w:id="8" w:name="_Toc450230483"/>
      <w:r w:rsidRPr="000A2024">
        <w:rPr>
          <w:rFonts w:ascii="Arial" w:hAnsi="Arial" w:cs="Arial"/>
        </w:rPr>
        <w:t>Corriente neoclásica.</w:t>
      </w:r>
      <w:bookmarkEnd w:id="8"/>
    </w:p>
    <w:p w:rsidR="00080599" w:rsidRPr="000A2024" w:rsidRDefault="00080599" w:rsidP="00080599">
      <w:pPr>
        <w:pStyle w:val="Prrafodelista"/>
        <w:ind w:left="360"/>
        <w:jc w:val="both"/>
        <w:rPr>
          <w:rFonts w:ascii="Arial" w:hAnsi="Arial" w:cs="Arial"/>
          <w:sz w:val="24"/>
          <w:szCs w:val="24"/>
        </w:rPr>
      </w:pP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Las relaciones estáticas y microeconómicas como objeto de estudio principal.</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La forma de optimizar la asignación de los recursos por parte del mercado es tomada como la preocupación fundamental.</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Política neoliberal:</w:t>
      </w:r>
    </w:p>
    <w:p w:rsidR="00080599" w:rsidRPr="000A2024" w:rsidRDefault="00080599" w:rsidP="00080599">
      <w:pPr>
        <w:pStyle w:val="Prrafodelista"/>
        <w:numPr>
          <w:ilvl w:val="1"/>
          <w:numId w:val="9"/>
        </w:numPr>
        <w:spacing w:after="120" w:line="360" w:lineRule="auto"/>
        <w:contextualSpacing w:val="0"/>
        <w:jc w:val="both"/>
        <w:rPr>
          <w:rFonts w:ascii="Arial" w:hAnsi="Arial" w:cs="Arial"/>
          <w:sz w:val="24"/>
          <w:szCs w:val="24"/>
        </w:rPr>
      </w:pPr>
      <w:r w:rsidRPr="000A2024">
        <w:rPr>
          <w:rFonts w:ascii="Arial" w:hAnsi="Arial" w:cs="Arial"/>
          <w:sz w:val="24"/>
          <w:szCs w:val="24"/>
        </w:rPr>
        <w:t>Se considera al mercado exterior elemento clave o incluso primordial para el crecimiento.</w:t>
      </w:r>
    </w:p>
    <w:p w:rsidR="00080599" w:rsidRPr="000A2024" w:rsidRDefault="00080599" w:rsidP="00080599">
      <w:pPr>
        <w:pStyle w:val="Prrafodelista"/>
        <w:numPr>
          <w:ilvl w:val="1"/>
          <w:numId w:val="9"/>
        </w:numPr>
        <w:spacing w:after="120" w:line="360" w:lineRule="auto"/>
        <w:contextualSpacing w:val="0"/>
        <w:jc w:val="both"/>
        <w:rPr>
          <w:rFonts w:ascii="Arial" w:hAnsi="Arial" w:cs="Arial"/>
          <w:sz w:val="24"/>
          <w:szCs w:val="24"/>
        </w:rPr>
      </w:pPr>
      <w:r w:rsidRPr="000A2024">
        <w:rPr>
          <w:rFonts w:ascii="Arial" w:hAnsi="Arial" w:cs="Arial"/>
          <w:sz w:val="24"/>
          <w:szCs w:val="24"/>
        </w:rPr>
        <w:t>Promueve el libre cambio entre mercados, es decir, posee preferencia en las exportaciones.</w:t>
      </w:r>
    </w:p>
    <w:p w:rsidR="00080599" w:rsidRPr="000A2024" w:rsidRDefault="00080599" w:rsidP="00080599">
      <w:pPr>
        <w:pStyle w:val="Prrafodelista"/>
        <w:numPr>
          <w:ilvl w:val="1"/>
          <w:numId w:val="9"/>
        </w:numPr>
        <w:spacing w:after="120" w:line="360" w:lineRule="auto"/>
        <w:contextualSpacing w:val="0"/>
        <w:jc w:val="both"/>
        <w:rPr>
          <w:rFonts w:ascii="Arial" w:hAnsi="Arial" w:cs="Arial"/>
          <w:sz w:val="24"/>
          <w:szCs w:val="24"/>
        </w:rPr>
      </w:pPr>
      <w:r w:rsidRPr="000A2024">
        <w:rPr>
          <w:rFonts w:ascii="Arial" w:hAnsi="Arial" w:cs="Arial"/>
          <w:sz w:val="24"/>
          <w:szCs w:val="24"/>
        </w:rPr>
        <w:t>La teoría de los costos comparados es su argumento principal.</w:t>
      </w:r>
    </w:p>
    <w:p w:rsidR="00080599" w:rsidRPr="000A2024" w:rsidRDefault="00080599" w:rsidP="00080599">
      <w:pPr>
        <w:pStyle w:val="Prrafodelista"/>
        <w:numPr>
          <w:ilvl w:val="1"/>
          <w:numId w:val="9"/>
        </w:numPr>
        <w:spacing w:after="120" w:line="360" w:lineRule="auto"/>
        <w:contextualSpacing w:val="0"/>
        <w:jc w:val="both"/>
        <w:rPr>
          <w:rFonts w:ascii="Arial" w:hAnsi="Arial" w:cs="Arial"/>
          <w:sz w:val="24"/>
          <w:szCs w:val="24"/>
        </w:rPr>
      </w:pPr>
      <w:r w:rsidRPr="000A2024">
        <w:rPr>
          <w:rFonts w:ascii="Arial" w:hAnsi="Arial" w:cs="Arial"/>
          <w:sz w:val="24"/>
          <w:szCs w:val="24"/>
        </w:rPr>
        <w:t>Supone que un país puede aumentar su demanda por medio de la especialización de la producción.</w:t>
      </w:r>
    </w:p>
    <w:p w:rsidR="00080599" w:rsidRPr="000A2024" w:rsidRDefault="00080599" w:rsidP="00080599">
      <w:pPr>
        <w:pStyle w:val="Prrafodelista"/>
        <w:numPr>
          <w:ilvl w:val="1"/>
          <w:numId w:val="9"/>
        </w:numPr>
        <w:spacing w:after="120" w:line="360" w:lineRule="auto"/>
        <w:contextualSpacing w:val="0"/>
        <w:jc w:val="both"/>
        <w:rPr>
          <w:rFonts w:ascii="Arial" w:hAnsi="Arial" w:cs="Arial"/>
          <w:sz w:val="24"/>
          <w:szCs w:val="24"/>
        </w:rPr>
      </w:pPr>
      <w:r w:rsidRPr="000A2024">
        <w:rPr>
          <w:rFonts w:ascii="Arial" w:hAnsi="Arial" w:cs="Arial"/>
          <w:sz w:val="24"/>
          <w:szCs w:val="24"/>
        </w:rPr>
        <w:t>Recomiendo que en el ámbito de las exportaciones la venta al exterior de cualquier artículo sean aquellos que poseen relativa o comparativamente costos más bajos de producción.</w:t>
      </w:r>
    </w:p>
    <w:p w:rsidR="00080599" w:rsidRPr="000A2024" w:rsidRDefault="00080599" w:rsidP="00080599">
      <w:pPr>
        <w:pStyle w:val="Prrafodelista"/>
        <w:numPr>
          <w:ilvl w:val="1"/>
          <w:numId w:val="9"/>
        </w:numPr>
        <w:spacing w:after="120" w:line="360" w:lineRule="auto"/>
        <w:contextualSpacing w:val="0"/>
        <w:jc w:val="both"/>
        <w:rPr>
          <w:rFonts w:ascii="Arial" w:hAnsi="Arial" w:cs="Arial"/>
          <w:sz w:val="24"/>
          <w:szCs w:val="24"/>
        </w:rPr>
      </w:pPr>
      <w:r w:rsidRPr="000A2024">
        <w:rPr>
          <w:rFonts w:ascii="Arial" w:hAnsi="Arial" w:cs="Arial"/>
          <w:sz w:val="24"/>
          <w:szCs w:val="24"/>
        </w:rPr>
        <w:t>Esta corriente supone que el desarrollo de algún país propiciaría el desarrollo de los demás como un efecto domino y a este efecto se le denomina “difusión”.</w:t>
      </w: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En el ámbito de las exportaciones Eli Heckscher (1919) y Bertil Ohlin (1933) (citados por González Arencibia, 2008) explican cómo algunos países pueden producir mercancías más baratas en comparación con otros países.</w:t>
      </w:r>
    </w:p>
    <w:p w:rsidR="00080599" w:rsidRPr="000A2024" w:rsidRDefault="00080599" w:rsidP="00080599">
      <w:pPr>
        <w:pStyle w:val="Prrafodelista"/>
        <w:ind w:left="1776"/>
        <w:jc w:val="both"/>
        <w:rPr>
          <w:rFonts w:ascii="Arial" w:hAnsi="Arial" w:cs="Arial"/>
          <w:sz w:val="24"/>
          <w:szCs w:val="24"/>
        </w:rPr>
      </w:pPr>
    </w:p>
    <w:p w:rsidR="00080599" w:rsidRPr="000A2024" w:rsidRDefault="00080599" w:rsidP="002716C3">
      <w:pPr>
        <w:pStyle w:val="Sub3"/>
        <w:rPr>
          <w:rFonts w:ascii="Arial" w:hAnsi="Arial" w:cs="Arial"/>
          <w:lang w:val="en-US"/>
        </w:rPr>
      </w:pPr>
      <w:bookmarkStart w:id="9" w:name="_Toc450230484"/>
      <w:r w:rsidRPr="000A2024">
        <w:rPr>
          <w:rFonts w:ascii="Arial" w:hAnsi="Arial" w:cs="Arial"/>
          <w:lang w:val="en-US"/>
        </w:rPr>
        <w:t>Pensamiento Keynesiano. John Maynard Keynes (1936)</w:t>
      </w:r>
      <w:bookmarkEnd w:id="9"/>
    </w:p>
    <w:p w:rsidR="00080599" w:rsidRPr="000A2024" w:rsidRDefault="00080599" w:rsidP="00080599">
      <w:pPr>
        <w:pStyle w:val="Prrafodelista"/>
        <w:ind w:left="360"/>
        <w:jc w:val="both"/>
        <w:rPr>
          <w:rFonts w:ascii="Arial" w:hAnsi="Arial" w:cs="Arial"/>
          <w:sz w:val="24"/>
          <w:szCs w:val="24"/>
          <w:lang w:val="en-US"/>
        </w:rPr>
      </w:pPr>
    </w:p>
    <w:p w:rsidR="00080599" w:rsidRPr="000A2024" w:rsidRDefault="00080599" w:rsidP="00080599">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Su obra más representativa es la Teoría general de la ocupación, el interés y el dinero.</w:t>
      </w:r>
    </w:p>
    <w:p w:rsidR="00080599" w:rsidRPr="000A2024" w:rsidRDefault="00080599" w:rsidP="00D9168E">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La estabilización a corto plazo.</w:t>
      </w:r>
    </w:p>
    <w:p w:rsidR="00080599" w:rsidRPr="000A2024" w:rsidRDefault="00080599" w:rsidP="00D9168E">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Quizá un dato bibliográfico relevante es que Keynes realiza su estudio bajo la influencia de la crisis económica mundial de 1929.</w:t>
      </w:r>
    </w:p>
    <w:p w:rsidR="00080599" w:rsidRPr="000A2024" w:rsidRDefault="00080599" w:rsidP="00D9168E">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La clave principal de la economía, gracias a su contribución, fue que se volviera a considerar los problemas económicos desde una perspectiva de escala macroeconómica.</w:t>
      </w:r>
    </w:p>
    <w:p w:rsidR="00080599" w:rsidRPr="000A2024" w:rsidRDefault="00080599" w:rsidP="00D9168E">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Los problemas económicos de una economía es el método de implementación de los factores de producción en países industrializados durante depresión económica y alto empleo.</w:t>
      </w:r>
    </w:p>
    <w:p w:rsidR="00080599" w:rsidRPr="000A2024" w:rsidRDefault="00080599" w:rsidP="00D9168E">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Coloca al consumo y a la inversión como factores </w:t>
      </w:r>
      <w:r w:rsidR="002716C3" w:rsidRPr="000A2024">
        <w:rPr>
          <w:rFonts w:ascii="Arial" w:hAnsi="Arial" w:cs="Arial"/>
          <w:sz w:val="24"/>
          <w:szCs w:val="24"/>
        </w:rPr>
        <w:t>estratégicos importantes</w:t>
      </w:r>
      <w:r w:rsidRPr="000A2024">
        <w:rPr>
          <w:rFonts w:ascii="Arial" w:hAnsi="Arial" w:cs="Arial"/>
          <w:sz w:val="24"/>
          <w:szCs w:val="24"/>
        </w:rPr>
        <w:t>.</w:t>
      </w:r>
    </w:p>
    <w:p w:rsidR="00080599" w:rsidRPr="000A2024" w:rsidRDefault="00080599" w:rsidP="00D9168E">
      <w:pPr>
        <w:pStyle w:val="Prrafodelista"/>
        <w:numPr>
          <w:ilvl w:val="0"/>
          <w:numId w:val="9"/>
        </w:numPr>
        <w:spacing w:after="120" w:line="360" w:lineRule="auto"/>
        <w:contextualSpacing w:val="0"/>
        <w:jc w:val="both"/>
        <w:rPr>
          <w:rFonts w:ascii="Arial" w:hAnsi="Arial" w:cs="Arial"/>
          <w:sz w:val="24"/>
          <w:szCs w:val="24"/>
        </w:rPr>
      </w:pPr>
      <w:r w:rsidRPr="000A2024">
        <w:rPr>
          <w:rFonts w:ascii="Arial" w:hAnsi="Arial" w:cs="Arial"/>
          <w:sz w:val="24"/>
          <w:szCs w:val="24"/>
        </w:rPr>
        <w:t>El incremento de la actividad económica propicia descenso en los niveles de desempleo.</w:t>
      </w:r>
    </w:p>
    <w:p w:rsidR="002716C3" w:rsidRPr="00D9168E" w:rsidRDefault="00080599" w:rsidP="00D9168E">
      <w:pPr>
        <w:pStyle w:val="Prrafodelista"/>
        <w:numPr>
          <w:ilvl w:val="0"/>
          <w:numId w:val="9"/>
        </w:numPr>
        <w:spacing w:after="240" w:line="360" w:lineRule="auto"/>
        <w:contextualSpacing w:val="0"/>
        <w:jc w:val="both"/>
        <w:rPr>
          <w:rFonts w:ascii="Arial" w:hAnsi="Arial" w:cs="Arial"/>
          <w:sz w:val="24"/>
          <w:szCs w:val="24"/>
        </w:rPr>
      </w:pPr>
      <w:r w:rsidRPr="00D9168E">
        <w:rPr>
          <w:rFonts w:ascii="Arial" w:hAnsi="Arial" w:cs="Arial"/>
          <w:sz w:val="24"/>
          <w:szCs w:val="24"/>
        </w:rPr>
        <w:t>La actividad económica presenta incrementos cuando la inversión (gasto) se incremente y a su vez este al consumo (demanda).</w:t>
      </w:r>
    </w:p>
    <w:p w:rsidR="00080599" w:rsidRPr="000A2024" w:rsidRDefault="00080599" w:rsidP="00D9168E">
      <w:pPr>
        <w:pStyle w:val="SubTema"/>
        <w:spacing w:before="0" w:after="120"/>
        <w:rPr>
          <w:rFonts w:ascii="Arial" w:hAnsi="Arial" w:cs="Arial"/>
        </w:rPr>
      </w:pPr>
      <w:bookmarkStart w:id="10" w:name="_Toc450230485"/>
      <w:r w:rsidRPr="000A2024">
        <w:rPr>
          <w:rFonts w:ascii="Arial" w:hAnsi="Arial" w:cs="Arial"/>
        </w:rPr>
        <w:t>Bases teóricas del desarrollo y el crecimiento.</w:t>
      </w:r>
      <w:bookmarkEnd w:id="10"/>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concepto de desarrollo y la realidad que lo ha identificado ha estado sujeto a una permanente evolución histórica. </w:t>
      </w:r>
      <w:r w:rsidR="002716C3" w:rsidRPr="000A2024">
        <w:rPr>
          <w:rFonts w:ascii="Arial" w:hAnsi="Arial" w:cs="Arial"/>
          <w:sz w:val="24"/>
          <w:szCs w:val="24"/>
        </w:rPr>
        <w:t xml:space="preserve">El desarrollo posee cuatro teorías: de </w:t>
      </w:r>
      <w:r w:rsidRPr="000A2024">
        <w:rPr>
          <w:rFonts w:ascii="Arial" w:hAnsi="Arial" w:cs="Arial"/>
          <w:sz w:val="24"/>
          <w:szCs w:val="24"/>
        </w:rPr>
        <w:t>modernización, teoría de la dependencia, sistemas mundiales y teoría de la globalización</w:t>
      </w:r>
      <w:r w:rsidR="002716C3" w:rsidRPr="000A2024">
        <w:rPr>
          <w:rFonts w:ascii="Arial" w:hAnsi="Arial" w:cs="Arial"/>
          <w:sz w:val="24"/>
          <w:szCs w:val="24"/>
        </w:rPr>
        <w:t>.</w:t>
      </w:r>
      <w:r w:rsidRPr="000A2024">
        <w:rPr>
          <w:rFonts w:ascii="Arial" w:hAnsi="Arial" w:cs="Arial"/>
          <w:sz w:val="24"/>
          <w:szCs w:val="24"/>
        </w:rPr>
        <w:t xml:space="preserve"> </w:t>
      </w:r>
    </w:p>
    <w:p w:rsidR="00080599" w:rsidRPr="000A2024" w:rsidRDefault="00080599" w:rsidP="002716C3">
      <w:pPr>
        <w:pStyle w:val="SubTema1"/>
        <w:rPr>
          <w:rFonts w:ascii="Arial" w:hAnsi="Arial" w:cs="Arial"/>
        </w:rPr>
      </w:pPr>
      <w:bookmarkStart w:id="11" w:name="_Toc450230486"/>
      <w:r w:rsidRPr="000A2024">
        <w:rPr>
          <w:rFonts w:ascii="Arial" w:hAnsi="Arial" w:cs="Arial"/>
        </w:rPr>
        <w:t>Modernización</w:t>
      </w:r>
      <w:bookmarkEnd w:id="11"/>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teoría de la modernización como tal, pretende explicar el desarrollo como un proceso en fases que se deben contemplar para alcanzarlo. </w:t>
      </w:r>
    </w:p>
    <w:p w:rsidR="00080599" w:rsidRPr="000A2024" w:rsidRDefault="00080599" w:rsidP="00D9168E">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un enfoque que indica la necesidad de alternativas para el desenvolvimiento de las relaciones sociales y de las fuerzas productivas que se puede considerar como discriminativo en un comienzo ya que este contempla a las sociedades modernas como una convergencia de rasgos culturales, económicos y sociales por lo que cualquier sociedad que se autoproclame como moderna debe cumplir con el proceso en conjunto con sus determinantes.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Esta teoría tiene sus comienzos de formulación d</w:t>
      </w:r>
      <w:r w:rsidR="00CE1FCA" w:rsidRPr="000A2024">
        <w:rPr>
          <w:rFonts w:ascii="Arial" w:hAnsi="Arial" w:cs="Arial"/>
          <w:sz w:val="24"/>
          <w:szCs w:val="24"/>
        </w:rPr>
        <w:t xml:space="preserve">esde la crisis de 1929, </w:t>
      </w:r>
      <w:r w:rsidRPr="000A2024">
        <w:rPr>
          <w:rFonts w:ascii="Arial" w:hAnsi="Arial" w:cs="Arial"/>
          <w:sz w:val="24"/>
          <w:szCs w:val="24"/>
        </w:rPr>
        <w:t xml:space="preserve">Krugman (1996) </w:t>
      </w:r>
      <w:r w:rsidR="00CE1FCA" w:rsidRPr="000A2024">
        <w:rPr>
          <w:rFonts w:ascii="Arial" w:hAnsi="Arial" w:cs="Arial"/>
          <w:sz w:val="24"/>
          <w:szCs w:val="24"/>
        </w:rPr>
        <w:t xml:space="preserve">es </w:t>
      </w:r>
      <w:r w:rsidRPr="000A2024">
        <w:rPr>
          <w:rFonts w:ascii="Arial" w:hAnsi="Arial" w:cs="Arial"/>
          <w:sz w:val="24"/>
          <w:szCs w:val="24"/>
        </w:rPr>
        <w:t>quien hace referencia a un ejemplo</w:t>
      </w:r>
      <w:r w:rsidR="00CE1FCA" w:rsidRPr="000A2024">
        <w:rPr>
          <w:rFonts w:ascii="Arial" w:hAnsi="Arial" w:cs="Arial"/>
          <w:sz w:val="24"/>
          <w:szCs w:val="24"/>
        </w:rPr>
        <w:t>. Dice que</w:t>
      </w:r>
      <w:r w:rsidRPr="000A2024">
        <w:rPr>
          <w:rFonts w:ascii="Arial" w:hAnsi="Arial" w:cs="Arial"/>
          <w:sz w:val="24"/>
          <w:szCs w:val="24"/>
        </w:rPr>
        <w:t xml:space="preserve"> la relación entre el proteccionismo y </w:t>
      </w:r>
      <w:r w:rsidR="00CE1FCA" w:rsidRPr="000A2024">
        <w:rPr>
          <w:rFonts w:ascii="Arial" w:hAnsi="Arial" w:cs="Arial"/>
          <w:sz w:val="24"/>
          <w:szCs w:val="24"/>
        </w:rPr>
        <w:t xml:space="preserve">el ciclo económico proviene de una </w:t>
      </w:r>
      <w:r w:rsidRPr="000A2024">
        <w:rPr>
          <w:rFonts w:ascii="Arial" w:hAnsi="Arial" w:cs="Arial"/>
          <w:sz w:val="24"/>
          <w:szCs w:val="24"/>
        </w:rPr>
        <w:t>creencia generalizada</w:t>
      </w:r>
      <w:r w:rsidR="00CE1FCA" w:rsidRPr="000A2024">
        <w:rPr>
          <w:rFonts w:ascii="Arial" w:hAnsi="Arial" w:cs="Arial"/>
          <w:sz w:val="24"/>
          <w:szCs w:val="24"/>
        </w:rPr>
        <w:t xml:space="preserve"> de</w:t>
      </w:r>
      <w:r w:rsidRPr="000A2024">
        <w:rPr>
          <w:rFonts w:ascii="Arial" w:hAnsi="Arial" w:cs="Arial"/>
          <w:sz w:val="24"/>
          <w:szCs w:val="24"/>
        </w:rPr>
        <w:t xml:space="preserve"> la </w:t>
      </w:r>
      <w:r w:rsidRPr="000A2024">
        <w:rPr>
          <w:rFonts w:ascii="Arial" w:hAnsi="Arial" w:cs="Arial"/>
          <w:sz w:val="24"/>
          <w:szCs w:val="24"/>
        </w:rPr>
        <w:lastRenderedPageBreak/>
        <w:t>década de los treintas</w:t>
      </w:r>
      <w:r w:rsidR="00CE1FCA" w:rsidRPr="000A2024">
        <w:rPr>
          <w:rFonts w:ascii="Arial" w:hAnsi="Arial" w:cs="Arial"/>
          <w:sz w:val="24"/>
          <w:szCs w:val="24"/>
        </w:rPr>
        <w:t xml:space="preserve"> y que posee</w:t>
      </w:r>
      <w:r w:rsidRPr="000A2024">
        <w:rPr>
          <w:rFonts w:ascii="Arial" w:hAnsi="Arial" w:cs="Arial"/>
          <w:sz w:val="24"/>
          <w:szCs w:val="24"/>
        </w:rPr>
        <w:t xml:space="preserve"> la </w:t>
      </w:r>
      <w:r w:rsidR="00CE1FCA" w:rsidRPr="000A2024">
        <w:rPr>
          <w:rFonts w:ascii="Arial" w:hAnsi="Arial" w:cs="Arial"/>
          <w:sz w:val="24"/>
          <w:szCs w:val="24"/>
        </w:rPr>
        <w:t>postura</w:t>
      </w:r>
      <w:r w:rsidRPr="000A2024">
        <w:rPr>
          <w:rFonts w:ascii="Arial" w:hAnsi="Arial" w:cs="Arial"/>
          <w:sz w:val="24"/>
          <w:szCs w:val="24"/>
        </w:rPr>
        <w:t xml:space="preserve"> de que el proteccionismo causó la depresión económica y cuya explicación de la lógica económica de esta relación en el mejor de los casos era débil.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Krugman afirma que las justificaciones de las personas influyentes de aquel entonces que creían dicha relación provenía de una “suerte de sentido visceral de los vínculos”, un análisis maniqueísta de las casualidades relacionadas entre el proteccionismo que existía en las restricciones a las importaciones y la recesión que se presentó. La lógica era más o menos de la siguiente manera, afirma Krugman (1996): el proteccionismo es malo, las recesiones son malas, las cosas malas deben ir juntas. </w:t>
      </w:r>
    </w:p>
    <w:p w:rsidR="00080599" w:rsidRPr="000A2024" w:rsidRDefault="00821AD1"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aquí donde se forja </w:t>
      </w:r>
      <w:r w:rsidR="00080599" w:rsidRPr="000A2024">
        <w:rPr>
          <w:rFonts w:ascii="Arial" w:hAnsi="Arial" w:cs="Arial"/>
          <w:sz w:val="24"/>
          <w:szCs w:val="24"/>
        </w:rPr>
        <w:t>un</w:t>
      </w:r>
      <w:r w:rsidRPr="000A2024">
        <w:rPr>
          <w:rFonts w:ascii="Arial" w:hAnsi="Arial" w:cs="Arial"/>
          <w:sz w:val="24"/>
          <w:szCs w:val="24"/>
        </w:rPr>
        <w:t xml:space="preserve"> nuevo</w:t>
      </w:r>
      <w:r w:rsidR="00080599" w:rsidRPr="000A2024">
        <w:rPr>
          <w:rFonts w:ascii="Arial" w:hAnsi="Arial" w:cs="Arial"/>
          <w:sz w:val="24"/>
          <w:szCs w:val="24"/>
        </w:rPr>
        <w:t xml:space="preserve"> factor que determina</w:t>
      </w:r>
      <w:r w:rsidRPr="000A2024">
        <w:rPr>
          <w:rFonts w:ascii="Arial" w:hAnsi="Arial" w:cs="Arial"/>
          <w:sz w:val="24"/>
          <w:szCs w:val="24"/>
        </w:rPr>
        <w:t xml:space="preserve">ría </w:t>
      </w:r>
      <w:r w:rsidR="00080599" w:rsidRPr="000A2024">
        <w:rPr>
          <w:rFonts w:ascii="Arial" w:hAnsi="Arial" w:cs="Arial"/>
          <w:sz w:val="24"/>
          <w:szCs w:val="24"/>
        </w:rPr>
        <w:t>la búsqueda de u</w:t>
      </w:r>
      <w:r w:rsidRPr="000A2024">
        <w:rPr>
          <w:rFonts w:ascii="Arial" w:hAnsi="Arial" w:cs="Arial"/>
          <w:sz w:val="24"/>
          <w:szCs w:val="24"/>
        </w:rPr>
        <w:t>n nuevo camino hacia el</w:t>
      </w:r>
      <w:r w:rsidR="00080599" w:rsidRPr="000A2024">
        <w:rPr>
          <w:rFonts w:ascii="Arial" w:hAnsi="Arial" w:cs="Arial"/>
          <w:sz w:val="24"/>
          <w:szCs w:val="24"/>
        </w:rPr>
        <w:t xml:space="preserve"> desarrollo</w:t>
      </w:r>
      <w:r w:rsidR="00CE1FCA" w:rsidRPr="000A2024">
        <w:rPr>
          <w:rFonts w:ascii="Arial" w:hAnsi="Arial" w:cs="Arial"/>
          <w:sz w:val="24"/>
          <w:szCs w:val="24"/>
        </w:rPr>
        <w:t>,</w:t>
      </w:r>
      <w:r w:rsidR="00080599" w:rsidRPr="000A2024">
        <w:rPr>
          <w:rFonts w:ascii="Arial" w:hAnsi="Arial" w:cs="Arial"/>
          <w:sz w:val="24"/>
          <w:szCs w:val="24"/>
        </w:rPr>
        <w:t xml:space="preserve"> el cual es la radical idea de modificar el modelo</w:t>
      </w:r>
      <w:r w:rsidRPr="000A2024">
        <w:rPr>
          <w:rFonts w:ascii="Arial" w:hAnsi="Arial" w:cs="Arial"/>
          <w:sz w:val="24"/>
          <w:szCs w:val="24"/>
        </w:rPr>
        <w:t xml:space="preserve"> económico proteccionista</w:t>
      </w:r>
      <w:r w:rsidR="00080599" w:rsidRPr="000A2024">
        <w:rPr>
          <w:rFonts w:ascii="Arial" w:hAnsi="Arial" w:cs="Arial"/>
          <w:sz w:val="24"/>
          <w:szCs w:val="24"/>
        </w:rPr>
        <w:t xml:space="preserve"> con una dirección más moderna encaminada hacia un mercado libre. Concepción que proviene de la c</w:t>
      </w:r>
      <w:r w:rsidR="00CE1FCA" w:rsidRPr="000A2024">
        <w:rPr>
          <w:rFonts w:ascii="Arial" w:hAnsi="Arial" w:cs="Arial"/>
          <w:sz w:val="24"/>
          <w:szCs w:val="24"/>
        </w:rPr>
        <w:t>onceptualización de aquellos</w:t>
      </w:r>
      <w:r w:rsidR="00080599" w:rsidRPr="000A2024">
        <w:rPr>
          <w:rFonts w:ascii="Arial" w:hAnsi="Arial" w:cs="Arial"/>
          <w:sz w:val="24"/>
          <w:szCs w:val="24"/>
        </w:rPr>
        <w:t xml:space="preserve"> países que lograron sobrepasar la crisis y la depresión.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estudios modernos contemporáneos de la teoría de la modernización sostienen mucha semejanza con los clásicos en cuanto a las variables de estudio que se contemplan. Dichas variables a medir son los valores culturales de la sociedad, los factores internos y las instituciones sociales.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Otra semejanza con la vieja escuela modernista es que el objeto de estudio son los países del tercer mundo y como última semejanza la implicación de que, en una nación modernizada, el beneficio abarca por completo a la sociedad en su totalidad. Nadie queda excluido.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divergencia entre escuelas es el problema que representan los valores tradicionales o el tradicionalismo en la teoría clásica ya que estos son contemplados como un factor de anclaje o como un obstáculo para el desarrollo. En los nuevos estudios la tradición es un complemento y factor de adición para completar el proceso de modernización.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nueva teoría contempla los distintos caminos que existen para alcanza</w:t>
      </w:r>
      <w:r w:rsidR="00821AD1" w:rsidRPr="000A2024">
        <w:rPr>
          <w:rFonts w:ascii="Arial" w:hAnsi="Arial" w:cs="Arial"/>
          <w:sz w:val="24"/>
          <w:szCs w:val="24"/>
        </w:rPr>
        <w:t xml:space="preserve">r el desarrollo como </w:t>
      </w:r>
      <w:r w:rsidRPr="000A2024">
        <w:rPr>
          <w:rFonts w:ascii="Arial" w:hAnsi="Arial" w:cs="Arial"/>
          <w:sz w:val="24"/>
          <w:szCs w:val="24"/>
        </w:rPr>
        <w:t xml:space="preserve">un proceso multifacético. En cuanto a su metodología los nuevos </w:t>
      </w:r>
      <w:r w:rsidRPr="000A2024">
        <w:rPr>
          <w:rFonts w:ascii="Arial" w:hAnsi="Arial" w:cs="Arial"/>
          <w:sz w:val="24"/>
          <w:szCs w:val="24"/>
        </w:rPr>
        <w:lastRenderedPageBreak/>
        <w:t xml:space="preserve">estudios utilizan evidencia empírica como marco teórico dentro de un contexto histórico específico.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razonable que el enfoque clásico tenía que abocarse a conceptos más abstractos debido a la falta de experiencia o evidencia histórica.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teoría de la modernización establece que los países modernos son aquellos en los que los sectores más rezagados y necesitados de la sociedad reciben más beneficios, existe una educación continua hasta la profesionalización y las sociedades presentan mayor productividad.</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Rostow (citado por Reyes, 2009) decía que una posible forma de promover la modernización era a través de la ayuda en forma de capital, tecnología y experiencia a los países del tercer mundo quienes son los que sufren de falta de inversiones productivas que impiden comenzar la segunda etapa de precondición para el despegue.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teoría del desarrollo económico de Rostow supone en concebir a la modernización como un proceso en fases las cuales para una sociedad en particular son:</w:t>
      </w:r>
    </w:p>
    <w:p w:rsidR="00080599" w:rsidRPr="000A2024" w:rsidRDefault="00080599" w:rsidP="00080599">
      <w:pPr>
        <w:pStyle w:val="Prrafodelista"/>
        <w:numPr>
          <w:ilvl w:val="0"/>
          <w:numId w:val="10"/>
        </w:numPr>
        <w:spacing w:after="120" w:line="360" w:lineRule="auto"/>
        <w:contextualSpacing w:val="0"/>
        <w:jc w:val="both"/>
        <w:rPr>
          <w:rFonts w:ascii="Arial" w:hAnsi="Arial" w:cs="Arial"/>
          <w:sz w:val="24"/>
          <w:szCs w:val="24"/>
        </w:rPr>
      </w:pPr>
      <w:r w:rsidRPr="000A2024">
        <w:rPr>
          <w:rFonts w:ascii="Arial" w:hAnsi="Arial" w:cs="Arial"/>
          <w:sz w:val="24"/>
          <w:szCs w:val="24"/>
        </w:rPr>
        <w:t>La sociedad tradicional.</w:t>
      </w:r>
    </w:p>
    <w:p w:rsidR="00080599" w:rsidRPr="000A2024" w:rsidRDefault="00080599" w:rsidP="00080599">
      <w:pPr>
        <w:pStyle w:val="Prrafodelista"/>
        <w:numPr>
          <w:ilvl w:val="0"/>
          <w:numId w:val="10"/>
        </w:numPr>
        <w:spacing w:after="120" w:line="360" w:lineRule="auto"/>
        <w:contextualSpacing w:val="0"/>
        <w:jc w:val="both"/>
        <w:rPr>
          <w:rFonts w:ascii="Arial" w:hAnsi="Arial" w:cs="Arial"/>
          <w:sz w:val="24"/>
          <w:szCs w:val="24"/>
        </w:rPr>
      </w:pPr>
      <w:r w:rsidRPr="000A2024">
        <w:rPr>
          <w:rFonts w:ascii="Arial" w:hAnsi="Arial" w:cs="Arial"/>
          <w:sz w:val="24"/>
          <w:szCs w:val="24"/>
        </w:rPr>
        <w:t>Precondición para el despegue.</w:t>
      </w:r>
    </w:p>
    <w:p w:rsidR="00080599" w:rsidRPr="000A2024" w:rsidRDefault="00080599" w:rsidP="00080599">
      <w:pPr>
        <w:pStyle w:val="Prrafodelista"/>
        <w:numPr>
          <w:ilvl w:val="0"/>
          <w:numId w:val="10"/>
        </w:numPr>
        <w:spacing w:after="120" w:line="360" w:lineRule="auto"/>
        <w:contextualSpacing w:val="0"/>
        <w:jc w:val="both"/>
        <w:rPr>
          <w:rFonts w:ascii="Arial" w:hAnsi="Arial" w:cs="Arial"/>
          <w:sz w:val="24"/>
          <w:szCs w:val="24"/>
        </w:rPr>
      </w:pPr>
      <w:r w:rsidRPr="000A2024">
        <w:rPr>
          <w:rFonts w:ascii="Arial" w:hAnsi="Arial" w:cs="Arial"/>
          <w:sz w:val="24"/>
          <w:szCs w:val="24"/>
        </w:rPr>
        <w:t>El proceso de despegue</w:t>
      </w:r>
    </w:p>
    <w:p w:rsidR="00080599" w:rsidRPr="000A2024" w:rsidRDefault="00080599" w:rsidP="00080599">
      <w:pPr>
        <w:pStyle w:val="Prrafodelista"/>
        <w:numPr>
          <w:ilvl w:val="0"/>
          <w:numId w:val="10"/>
        </w:numPr>
        <w:spacing w:after="120" w:line="360" w:lineRule="auto"/>
        <w:contextualSpacing w:val="0"/>
        <w:jc w:val="both"/>
        <w:rPr>
          <w:rFonts w:ascii="Arial" w:hAnsi="Arial" w:cs="Arial"/>
          <w:sz w:val="24"/>
          <w:szCs w:val="24"/>
        </w:rPr>
      </w:pPr>
      <w:r w:rsidRPr="000A2024">
        <w:rPr>
          <w:rFonts w:ascii="Arial" w:hAnsi="Arial" w:cs="Arial"/>
          <w:sz w:val="24"/>
          <w:szCs w:val="24"/>
        </w:rPr>
        <w:t>El camino hacia la madurez</w:t>
      </w:r>
    </w:p>
    <w:p w:rsidR="00080599" w:rsidRPr="000A2024" w:rsidRDefault="00080599" w:rsidP="00080599">
      <w:pPr>
        <w:pStyle w:val="Prrafodelista"/>
        <w:numPr>
          <w:ilvl w:val="0"/>
          <w:numId w:val="10"/>
        </w:numPr>
        <w:spacing w:after="120" w:line="360" w:lineRule="auto"/>
        <w:contextualSpacing w:val="0"/>
        <w:jc w:val="both"/>
        <w:rPr>
          <w:rFonts w:ascii="Arial" w:hAnsi="Arial" w:cs="Arial"/>
          <w:sz w:val="24"/>
          <w:szCs w:val="24"/>
        </w:rPr>
      </w:pPr>
      <w:r w:rsidRPr="000A2024">
        <w:rPr>
          <w:rFonts w:ascii="Arial" w:hAnsi="Arial" w:cs="Arial"/>
          <w:sz w:val="24"/>
          <w:szCs w:val="24"/>
        </w:rPr>
        <w:t>Una sociedad de alto consumo masivo.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Reyes (2009) menciona el análisis de Smelser (Toward a Theory of Modernization) en el cual afirma que los países modernos tienen una definición clara de las funciones y papeles políticos de las instituciones públicas. El estado se encuentra limitado por medio del control que ejerce la ciudadanía a través de la participación en los procesos electorales.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Este análisis dice que en los países más desarrollados el Estado a través de los poderes públicos está limitado debido a que el electorado ejerce cierto control, y también del control de otras instancias o facetas de la institucionalidad.</w:t>
      </w:r>
    </w:p>
    <w:p w:rsidR="00080599" w:rsidRPr="006E3C52" w:rsidRDefault="00080599" w:rsidP="006F0012">
      <w:pPr>
        <w:pStyle w:val="SubTema4"/>
        <w:rPr>
          <w:rFonts w:ascii="Arial" w:hAnsi="Arial" w:cs="Arial"/>
          <w:b w:val="0"/>
          <w:i w:val="0"/>
        </w:rPr>
      </w:pPr>
      <w:r w:rsidRPr="006E3C52">
        <w:rPr>
          <w:rFonts w:ascii="Arial" w:hAnsi="Arial" w:cs="Arial"/>
          <w:b w:val="0"/>
          <w:i w:val="0"/>
        </w:rPr>
        <w:t>Condiciones para el desarrollo a través de la modernización.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Reyes (2009) menciona también a las teorías sociológicas de Parson para mencionar</w:t>
      </w:r>
      <w:r w:rsidR="006F0012" w:rsidRPr="000A2024">
        <w:rPr>
          <w:rFonts w:ascii="Arial" w:hAnsi="Arial" w:cs="Arial"/>
          <w:sz w:val="24"/>
          <w:szCs w:val="24"/>
        </w:rPr>
        <w:t xml:space="preserve"> un grupo de supuestos </w:t>
      </w:r>
      <w:r w:rsidRPr="000A2024">
        <w:rPr>
          <w:rFonts w:ascii="Arial" w:hAnsi="Arial" w:cs="Arial"/>
          <w:sz w:val="24"/>
          <w:szCs w:val="24"/>
        </w:rPr>
        <w:t>obtenidos directamente de la teoría d</w:t>
      </w:r>
      <w:r w:rsidR="006F0012" w:rsidRPr="000A2024">
        <w:rPr>
          <w:rFonts w:ascii="Arial" w:hAnsi="Arial" w:cs="Arial"/>
          <w:sz w:val="24"/>
          <w:szCs w:val="24"/>
        </w:rPr>
        <w:t xml:space="preserve">el funcional-estructuralismo </w:t>
      </w:r>
      <w:r w:rsidRPr="000A2024">
        <w:rPr>
          <w:rFonts w:ascii="Arial" w:hAnsi="Arial" w:cs="Arial"/>
          <w:sz w:val="24"/>
          <w:szCs w:val="24"/>
        </w:rPr>
        <w:t xml:space="preserve">que se interpretan como condiciones no cuestionables para que una nación tradicional entre al sendero del desarrollo por medio de la modernización.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Estos supuestos enfatizan el proceso de cambio inevitable del equilibrio homeostático, la separación o independización de las instituciones sociales y la importancia de las variables estructurales dentro de la cultura: </w:t>
      </w:r>
    </w:p>
    <w:p w:rsidR="00080599" w:rsidRPr="000A2024" w:rsidRDefault="00080599" w:rsidP="00080599">
      <w:pPr>
        <w:pStyle w:val="Prrafodelista"/>
        <w:numPr>
          <w:ilvl w:val="0"/>
          <w:numId w:val="11"/>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Condición de la modernización como un proceso sistemático. </w:t>
      </w:r>
    </w:p>
    <w:p w:rsidR="00080599" w:rsidRPr="000A2024" w:rsidRDefault="00080599" w:rsidP="006F0012">
      <w:pPr>
        <w:spacing w:after="120" w:line="360" w:lineRule="auto"/>
        <w:ind w:left="360"/>
        <w:jc w:val="both"/>
        <w:rPr>
          <w:rFonts w:ascii="Arial" w:hAnsi="Arial" w:cs="Arial"/>
          <w:sz w:val="24"/>
          <w:szCs w:val="24"/>
        </w:rPr>
      </w:pPr>
      <w:r w:rsidRPr="000A2024">
        <w:rPr>
          <w:rFonts w:ascii="Arial" w:hAnsi="Arial" w:cs="Arial"/>
          <w:sz w:val="24"/>
          <w:szCs w:val="24"/>
        </w:rPr>
        <w:t>La modernización requiere en un comienzo di</w:t>
      </w:r>
      <w:r w:rsidR="006F0012" w:rsidRPr="000A2024">
        <w:rPr>
          <w:rFonts w:ascii="Arial" w:hAnsi="Arial" w:cs="Arial"/>
          <w:sz w:val="24"/>
          <w:szCs w:val="24"/>
        </w:rPr>
        <w:t>vidir a la sociedad en grupos (</w:t>
      </w:r>
      <w:r w:rsidRPr="000A2024">
        <w:rPr>
          <w:rFonts w:ascii="Arial" w:hAnsi="Arial" w:cs="Arial"/>
          <w:sz w:val="24"/>
          <w:szCs w:val="24"/>
        </w:rPr>
        <w:t>clusters en inglés</w:t>
      </w:r>
      <w:r w:rsidR="006F0012" w:rsidRPr="000A2024">
        <w:rPr>
          <w:rFonts w:ascii="Arial" w:hAnsi="Arial" w:cs="Arial"/>
          <w:sz w:val="24"/>
          <w:szCs w:val="24"/>
        </w:rPr>
        <w:t>)</w:t>
      </w:r>
      <w:r w:rsidRPr="000A2024">
        <w:rPr>
          <w:rFonts w:ascii="Arial" w:hAnsi="Arial" w:cs="Arial"/>
          <w:sz w:val="24"/>
          <w:szCs w:val="24"/>
        </w:rPr>
        <w:t xml:space="preserve"> que al principio algunos son discriminados y/o excluidos, pero a través del tiempo los grupos convergen</w:t>
      </w:r>
      <w:r w:rsidR="006F0012" w:rsidRPr="000A2024">
        <w:rPr>
          <w:rFonts w:ascii="Arial" w:hAnsi="Arial" w:cs="Arial"/>
          <w:sz w:val="24"/>
          <w:szCs w:val="24"/>
        </w:rPr>
        <w:t xml:space="preserve"> a un todo consistente, </w:t>
      </w:r>
      <w:r w:rsidR="006E3C52" w:rsidRPr="000A2024">
        <w:rPr>
          <w:rFonts w:ascii="Arial" w:hAnsi="Arial" w:cs="Arial"/>
          <w:sz w:val="24"/>
          <w:szCs w:val="24"/>
        </w:rPr>
        <w:t>siguiendo</w:t>
      </w:r>
      <w:r w:rsidR="006F0012" w:rsidRPr="000A2024">
        <w:rPr>
          <w:rFonts w:ascii="Arial" w:hAnsi="Arial" w:cs="Arial"/>
          <w:sz w:val="24"/>
          <w:szCs w:val="24"/>
        </w:rPr>
        <w:t xml:space="preserve"> como un</w:t>
      </w:r>
      <w:r w:rsidRPr="000A2024">
        <w:rPr>
          <w:rFonts w:ascii="Arial" w:hAnsi="Arial" w:cs="Arial"/>
          <w:sz w:val="24"/>
          <w:szCs w:val="24"/>
        </w:rPr>
        <w:t>a sociedad</w:t>
      </w:r>
      <w:r w:rsidR="006F0012" w:rsidRPr="000A2024">
        <w:rPr>
          <w:rFonts w:ascii="Arial" w:hAnsi="Arial" w:cs="Arial"/>
          <w:sz w:val="24"/>
          <w:szCs w:val="24"/>
        </w:rPr>
        <w:t xml:space="preserve"> moderna como tal. </w:t>
      </w:r>
    </w:p>
    <w:p w:rsidR="00080599" w:rsidRPr="000A2024" w:rsidRDefault="00080599" w:rsidP="00080599">
      <w:pPr>
        <w:pStyle w:val="Prrafodelista"/>
        <w:numPr>
          <w:ilvl w:val="0"/>
          <w:numId w:val="11"/>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Condición de la modernización como un proceso transformativo. </w:t>
      </w:r>
    </w:p>
    <w:p w:rsidR="002A6B79" w:rsidRPr="000A2024" w:rsidRDefault="00080599" w:rsidP="00080599">
      <w:pPr>
        <w:spacing w:after="120" w:line="360" w:lineRule="auto"/>
        <w:ind w:left="360"/>
        <w:jc w:val="both"/>
        <w:rPr>
          <w:rFonts w:ascii="Arial" w:hAnsi="Arial" w:cs="Arial"/>
          <w:sz w:val="24"/>
          <w:szCs w:val="24"/>
        </w:rPr>
      </w:pPr>
      <w:r w:rsidRPr="000A2024">
        <w:rPr>
          <w:rFonts w:ascii="Arial" w:hAnsi="Arial" w:cs="Arial"/>
          <w:sz w:val="24"/>
          <w:szCs w:val="24"/>
        </w:rPr>
        <w:t>Es una tendencia que las sociedades moderna</w:t>
      </w:r>
      <w:r w:rsidR="002A6B79" w:rsidRPr="000A2024">
        <w:rPr>
          <w:rFonts w:ascii="Arial" w:hAnsi="Arial" w:cs="Arial"/>
          <w:sz w:val="24"/>
          <w:szCs w:val="24"/>
        </w:rPr>
        <w:t xml:space="preserve">s presenten patrones parecidos, </w:t>
      </w:r>
      <w:r w:rsidRPr="000A2024">
        <w:rPr>
          <w:rFonts w:ascii="Arial" w:hAnsi="Arial" w:cs="Arial"/>
          <w:sz w:val="24"/>
          <w:szCs w:val="24"/>
        </w:rPr>
        <w:t>l</w:t>
      </w:r>
      <w:r w:rsidR="002A6B79" w:rsidRPr="000A2024">
        <w:rPr>
          <w:rFonts w:ascii="Arial" w:hAnsi="Arial" w:cs="Arial"/>
          <w:sz w:val="24"/>
          <w:szCs w:val="24"/>
        </w:rPr>
        <w:t xml:space="preserve">o índica la evidencia empírica, </w:t>
      </w:r>
      <w:r w:rsidRPr="000A2024">
        <w:rPr>
          <w:rFonts w:ascii="Arial" w:hAnsi="Arial" w:cs="Arial"/>
          <w:sz w:val="24"/>
          <w:szCs w:val="24"/>
        </w:rPr>
        <w:t>por lo que en la teoría de la mo</w:t>
      </w:r>
      <w:r w:rsidR="002A6B79" w:rsidRPr="000A2024">
        <w:rPr>
          <w:rFonts w:ascii="Arial" w:hAnsi="Arial" w:cs="Arial"/>
          <w:sz w:val="24"/>
          <w:szCs w:val="24"/>
        </w:rPr>
        <w:t>dernización es imperativo que la estructura de una sociedad</w:t>
      </w:r>
      <w:r w:rsidRPr="000A2024">
        <w:rPr>
          <w:rFonts w:ascii="Arial" w:hAnsi="Arial" w:cs="Arial"/>
          <w:sz w:val="24"/>
          <w:szCs w:val="24"/>
        </w:rPr>
        <w:t xml:space="preserve"> y valor</w:t>
      </w:r>
      <w:r w:rsidR="002A6B79" w:rsidRPr="000A2024">
        <w:rPr>
          <w:rFonts w:ascii="Arial" w:hAnsi="Arial" w:cs="Arial"/>
          <w:sz w:val="24"/>
          <w:szCs w:val="24"/>
        </w:rPr>
        <w:t>es tradicionales se modernicen</w:t>
      </w:r>
      <w:r w:rsidRPr="000A2024">
        <w:rPr>
          <w:rFonts w:ascii="Arial" w:hAnsi="Arial" w:cs="Arial"/>
          <w:sz w:val="24"/>
          <w:szCs w:val="24"/>
        </w:rPr>
        <w:t xml:space="preserve">. </w:t>
      </w:r>
    </w:p>
    <w:p w:rsidR="002A6B79" w:rsidRPr="000A2024" w:rsidRDefault="002A6B79" w:rsidP="00080599">
      <w:pPr>
        <w:spacing w:after="120" w:line="360" w:lineRule="auto"/>
        <w:ind w:left="360"/>
        <w:jc w:val="both"/>
        <w:rPr>
          <w:rFonts w:ascii="Arial" w:hAnsi="Arial" w:cs="Arial"/>
          <w:sz w:val="24"/>
          <w:szCs w:val="24"/>
        </w:rPr>
      </w:pPr>
      <w:r w:rsidRPr="000A2024">
        <w:rPr>
          <w:rFonts w:ascii="Arial" w:hAnsi="Arial" w:cs="Arial"/>
          <w:sz w:val="24"/>
          <w:szCs w:val="24"/>
        </w:rPr>
        <w:t>Según esta teoría e</w:t>
      </w:r>
      <w:r w:rsidR="00080599" w:rsidRPr="000A2024">
        <w:rPr>
          <w:rFonts w:ascii="Arial" w:hAnsi="Arial" w:cs="Arial"/>
          <w:sz w:val="24"/>
          <w:szCs w:val="24"/>
        </w:rPr>
        <w:t>s preciso que los países del tercer mundo cedan ante los valores modernos del Occidente o de Estado Unidos y dejen los tradicionales para poder alcanzar el desarrollo.</w:t>
      </w:r>
    </w:p>
    <w:p w:rsidR="00080599" w:rsidRPr="000A2024" w:rsidRDefault="00080599" w:rsidP="00080599">
      <w:pPr>
        <w:pStyle w:val="Prrafodelista"/>
        <w:numPr>
          <w:ilvl w:val="0"/>
          <w:numId w:val="11"/>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Condición de la modernización como un proceso inminente. </w:t>
      </w:r>
    </w:p>
    <w:p w:rsidR="00080599" w:rsidRPr="000A2024" w:rsidRDefault="00080599" w:rsidP="00080599">
      <w:pPr>
        <w:spacing w:after="120" w:line="360" w:lineRule="auto"/>
        <w:ind w:left="360"/>
        <w:jc w:val="both"/>
        <w:rPr>
          <w:rFonts w:ascii="Arial" w:hAnsi="Arial" w:cs="Arial"/>
          <w:sz w:val="24"/>
          <w:szCs w:val="24"/>
        </w:rPr>
      </w:pPr>
      <w:r w:rsidRPr="000A2024">
        <w:rPr>
          <w:rFonts w:ascii="Arial" w:hAnsi="Arial" w:cs="Arial"/>
          <w:sz w:val="24"/>
          <w:szCs w:val="24"/>
        </w:rPr>
        <w:t>Ya que por su naturaleza sistemática y transformativa es un proceso que introduce cambios en los círculos de división social.</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lastRenderedPageBreak/>
        <w:t>Factores que determinan el proceso de modernización.</w:t>
      </w:r>
    </w:p>
    <w:p w:rsidR="00080599" w:rsidRPr="000A2024" w:rsidRDefault="00080599" w:rsidP="00080599">
      <w:pPr>
        <w:pStyle w:val="Prrafodelista"/>
        <w:numPr>
          <w:ilvl w:val="0"/>
          <w:numId w:val="12"/>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Proceso Homogeneizador: Reyes </w:t>
      </w:r>
      <w:r w:rsidR="002A6B79" w:rsidRPr="000A2024">
        <w:rPr>
          <w:rFonts w:ascii="Arial" w:hAnsi="Arial" w:cs="Arial"/>
          <w:sz w:val="24"/>
          <w:szCs w:val="24"/>
        </w:rPr>
        <w:t xml:space="preserve">(2009) </w:t>
      </w:r>
      <w:r w:rsidRPr="000A2024">
        <w:rPr>
          <w:rFonts w:ascii="Arial" w:hAnsi="Arial" w:cs="Arial"/>
          <w:sz w:val="24"/>
          <w:szCs w:val="24"/>
        </w:rPr>
        <w:t xml:space="preserve">menciona que la modernización provoca o propone un punto de convergencia entre sociedades provocando que todos los sectores o niveles sociales tiendan a un mismo punto. </w:t>
      </w:r>
    </w:p>
    <w:p w:rsidR="00080599" w:rsidRPr="000A2024" w:rsidRDefault="00080599" w:rsidP="00080599">
      <w:pPr>
        <w:pStyle w:val="Prrafodelista"/>
        <w:spacing w:after="120" w:line="360" w:lineRule="auto"/>
        <w:ind w:left="1776"/>
        <w:contextualSpacing w:val="0"/>
        <w:jc w:val="both"/>
        <w:rPr>
          <w:rFonts w:ascii="Arial" w:hAnsi="Arial" w:cs="Arial"/>
          <w:sz w:val="24"/>
          <w:szCs w:val="24"/>
        </w:rPr>
      </w:pPr>
      <w:r w:rsidRPr="000A2024">
        <w:rPr>
          <w:rFonts w:ascii="Arial" w:hAnsi="Arial" w:cs="Arial"/>
          <w:sz w:val="24"/>
          <w:szCs w:val="24"/>
        </w:rPr>
        <w:t xml:space="preserve">Según Levy (1967) (citado por Reyes, 2009) dice que </w:t>
      </w:r>
      <w:r w:rsidR="002A6B79" w:rsidRPr="000A2024">
        <w:rPr>
          <w:rFonts w:ascii="Arial" w:hAnsi="Arial" w:cs="Arial"/>
          <w:sz w:val="24"/>
          <w:szCs w:val="24"/>
        </w:rPr>
        <w:t xml:space="preserve"> al </w:t>
      </w:r>
      <w:r w:rsidRPr="000A2024">
        <w:rPr>
          <w:rFonts w:ascii="Arial" w:hAnsi="Arial" w:cs="Arial"/>
          <w:sz w:val="24"/>
          <w:szCs w:val="24"/>
        </w:rPr>
        <w:t>permanecer sobre el camino de la modernización y que, debido a sus patrones, las sociedades tienden a parecerse una con la otra.</w:t>
      </w:r>
    </w:p>
    <w:p w:rsidR="00080599" w:rsidRPr="000A2024" w:rsidRDefault="00080599" w:rsidP="00080599">
      <w:pPr>
        <w:pStyle w:val="Prrafodelista"/>
        <w:numPr>
          <w:ilvl w:val="0"/>
          <w:numId w:val="12"/>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Proceso Europizador y/o Americanizador: Según Reyes las lecturas modernizadoras tienen una actitud complaciente hacía Europa Occidental y los Estados Unidos. </w:t>
      </w:r>
    </w:p>
    <w:p w:rsidR="00080599" w:rsidRPr="000A2024" w:rsidRDefault="00080599" w:rsidP="00080599">
      <w:pPr>
        <w:pStyle w:val="Prrafodelista"/>
        <w:spacing w:after="120" w:line="360" w:lineRule="auto"/>
        <w:ind w:left="1776"/>
        <w:contextualSpacing w:val="0"/>
        <w:jc w:val="both"/>
        <w:rPr>
          <w:rFonts w:ascii="Arial" w:hAnsi="Arial" w:cs="Arial"/>
          <w:sz w:val="24"/>
          <w:szCs w:val="24"/>
        </w:rPr>
      </w:pPr>
      <w:r w:rsidRPr="000A2024">
        <w:rPr>
          <w:rFonts w:ascii="Arial" w:hAnsi="Arial" w:cs="Arial"/>
          <w:sz w:val="24"/>
          <w:szCs w:val="24"/>
        </w:rPr>
        <w:t>La imagen que se sostiene en los países q</w:t>
      </w:r>
      <w:r w:rsidR="006E3C52">
        <w:rPr>
          <w:rFonts w:ascii="Arial" w:hAnsi="Arial" w:cs="Arial"/>
          <w:sz w:val="24"/>
          <w:szCs w:val="24"/>
        </w:rPr>
        <w:t>ue buscan el desarrollo procura</w:t>
      </w:r>
      <w:r w:rsidRPr="000A2024">
        <w:rPr>
          <w:rFonts w:ascii="Arial" w:hAnsi="Arial" w:cs="Arial"/>
          <w:sz w:val="24"/>
          <w:szCs w:val="24"/>
        </w:rPr>
        <w:t xml:space="preserve"> la concepción de que estos países poseen una prosperidad económica y estabilidad política lo cual lleva la inferencia de imitar a occidente o a los Estado Unidos.</w:t>
      </w:r>
    </w:p>
    <w:p w:rsidR="00080599" w:rsidRPr="000A2024" w:rsidRDefault="00080599" w:rsidP="00080599">
      <w:pPr>
        <w:pStyle w:val="Prrafodelista"/>
        <w:numPr>
          <w:ilvl w:val="0"/>
          <w:numId w:val="12"/>
        </w:numPr>
        <w:spacing w:after="120" w:line="360" w:lineRule="auto"/>
        <w:contextualSpacing w:val="0"/>
        <w:jc w:val="both"/>
        <w:rPr>
          <w:rFonts w:ascii="Arial" w:hAnsi="Arial" w:cs="Arial"/>
          <w:sz w:val="24"/>
          <w:szCs w:val="24"/>
        </w:rPr>
      </w:pPr>
      <w:r w:rsidRPr="000A2024">
        <w:rPr>
          <w:rFonts w:ascii="Arial" w:hAnsi="Arial" w:cs="Arial"/>
          <w:sz w:val="24"/>
          <w:szCs w:val="24"/>
        </w:rPr>
        <w:t>Proceso Irreversible: Los países en búsqueda de desarrollo y que entran una vez en contacto económico con occidente no podrán resistirse al proceso de modernización.</w:t>
      </w:r>
    </w:p>
    <w:p w:rsidR="00080599" w:rsidRPr="000A2024" w:rsidRDefault="00080599" w:rsidP="00080599">
      <w:pPr>
        <w:pStyle w:val="Prrafodelista"/>
        <w:numPr>
          <w:ilvl w:val="0"/>
          <w:numId w:val="12"/>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Proceso Progresivo: Reyes menciona a Coleman quien dice que los sistemas políticos tradicionales no tienen tanta capacidad para tratar funciones de identidad nacional, distribución, penetración, participación y legitimidad como los modernizados. </w:t>
      </w:r>
    </w:p>
    <w:p w:rsidR="00080599" w:rsidRPr="000A2024" w:rsidRDefault="00080599" w:rsidP="00080599">
      <w:pPr>
        <w:pStyle w:val="Prrafodelista"/>
        <w:spacing w:after="120" w:line="360" w:lineRule="auto"/>
        <w:ind w:left="1776"/>
        <w:contextualSpacing w:val="0"/>
        <w:jc w:val="both"/>
        <w:rPr>
          <w:rFonts w:ascii="Arial" w:hAnsi="Arial" w:cs="Arial"/>
          <w:sz w:val="24"/>
          <w:szCs w:val="24"/>
        </w:rPr>
      </w:pPr>
      <w:r w:rsidRPr="000A2024">
        <w:rPr>
          <w:rFonts w:ascii="Arial" w:hAnsi="Arial" w:cs="Arial"/>
          <w:sz w:val="24"/>
          <w:szCs w:val="24"/>
        </w:rPr>
        <w:t>El proceso de modernización a largo plazo es deseable e inevitable.</w:t>
      </w:r>
    </w:p>
    <w:p w:rsidR="00080599" w:rsidRPr="000A2024" w:rsidRDefault="00080599" w:rsidP="00080599">
      <w:pPr>
        <w:pStyle w:val="Prrafodelista"/>
        <w:numPr>
          <w:ilvl w:val="0"/>
          <w:numId w:val="12"/>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Proceso Largo: Su impacto sólo se sentirá a través del tiempo debido a que es un proceso cambiante como la evolución y no un cambio radical como el salto revolucionario. </w:t>
      </w:r>
    </w:p>
    <w:p w:rsidR="00080599" w:rsidRPr="000A2024" w:rsidRDefault="00080599" w:rsidP="00080599">
      <w:pPr>
        <w:pStyle w:val="Prrafodelista"/>
        <w:spacing w:after="120" w:line="360" w:lineRule="auto"/>
        <w:ind w:left="1776"/>
        <w:contextualSpacing w:val="0"/>
        <w:jc w:val="both"/>
        <w:rPr>
          <w:rFonts w:ascii="Arial" w:hAnsi="Arial" w:cs="Arial"/>
          <w:sz w:val="24"/>
          <w:szCs w:val="24"/>
        </w:rPr>
      </w:pPr>
      <w:r w:rsidRPr="000A2024">
        <w:rPr>
          <w:rFonts w:ascii="Arial" w:hAnsi="Arial" w:cs="Arial"/>
          <w:sz w:val="24"/>
          <w:szCs w:val="24"/>
        </w:rPr>
        <w:t>Reyes cree que tardará generaciones e incluso siglos para su culminación.</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lastRenderedPageBreak/>
        <w:t>Críticas de la teoría de la modernización durante los 60´s y 70´s.</w:t>
      </w:r>
    </w:p>
    <w:p w:rsidR="00080599" w:rsidRPr="000A2024" w:rsidRDefault="00080599" w:rsidP="00080599">
      <w:pPr>
        <w:pStyle w:val="Prrafodelista"/>
        <w:numPr>
          <w:ilvl w:val="0"/>
          <w:numId w:val="26"/>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La teoría de la modernización es complaciente como ya se ha dicho y además utiliza la información de las lecturas de una manera tendenciosa a favor de las sociedades autollamadas como modernas. </w:t>
      </w:r>
    </w:p>
    <w:p w:rsidR="00080599" w:rsidRPr="000A2024" w:rsidRDefault="00080599" w:rsidP="00080599">
      <w:pPr>
        <w:spacing w:after="120" w:line="360" w:lineRule="auto"/>
        <w:ind w:left="360"/>
        <w:jc w:val="both"/>
        <w:rPr>
          <w:rFonts w:ascii="Arial" w:hAnsi="Arial" w:cs="Arial"/>
          <w:sz w:val="24"/>
          <w:szCs w:val="24"/>
        </w:rPr>
      </w:pPr>
      <w:r w:rsidRPr="000A2024">
        <w:rPr>
          <w:rFonts w:ascii="Arial" w:hAnsi="Arial" w:cs="Arial"/>
          <w:sz w:val="24"/>
          <w:szCs w:val="24"/>
        </w:rPr>
        <w:t xml:space="preserve">Esta teoría pretende que las economías se ajusten y modifiquen con tal suerte de encontrar el desarrollo por medio de la estructuración social, política y económica en base a la cultura occidental. </w:t>
      </w:r>
    </w:p>
    <w:p w:rsidR="00080599" w:rsidRPr="000A2024" w:rsidRDefault="00080599" w:rsidP="00080599">
      <w:pPr>
        <w:spacing w:after="120" w:line="360" w:lineRule="auto"/>
        <w:ind w:left="360"/>
        <w:jc w:val="both"/>
        <w:rPr>
          <w:rFonts w:ascii="Arial" w:hAnsi="Arial" w:cs="Arial"/>
          <w:sz w:val="24"/>
          <w:szCs w:val="24"/>
        </w:rPr>
      </w:pPr>
      <w:r w:rsidRPr="000A2024">
        <w:rPr>
          <w:rFonts w:ascii="Arial" w:hAnsi="Arial" w:cs="Arial"/>
          <w:sz w:val="24"/>
          <w:szCs w:val="24"/>
        </w:rPr>
        <w:t>El desarrollo no es necesariamente unidireccional y es lo opuesto de prudente argumentar que existe un solo modelo a implementar excluyente de los demás.</w:t>
      </w:r>
    </w:p>
    <w:p w:rsidR="00080599" w:rsidRPr="000A2024" w:rsidRDefault="00080599" w:rsidP="00080599">
      <w:pPr>
        <w:pStyle w:val="Prrafodelista"/>
        <w:numPr>
          <w:ilvl w:val="0"/>
          <w:numId w:val="26"/>
        </w:numPr>
        <w:spacing w:after="120" w:line="360" w:lineRule="auto"/>
        <w:contextualSpacing w:val="0"/>
        <w:jc w:val="both"/>
        <w:rPr>
          <w:rFonts w:ascii="Arial" w:hAnsi="Arial" w:cs="Arial"/>
          <w:sz w:val="24"/>
          <w:szCs w:val="24"/>
        </w:rPr>
      </w:pPr>
      <w:r w:rsidRPr="000A2024">
        <w:rPr>
          <w:rFonts w:ascii="Arial" w:hAnsi="Arial" w:cs="Arial"/>
          <w:sz w:val="24"/>
          <w:szCs w:val="24"/>
        </w:rPr>
        <w:t>Las lecturas de la modernización favorecen el desarrollo de Europa Occidental y de Estados Unidos como un único patrón a seguir para su alcance. Sin embargo, existen otros patrones de desarrollo como los de Taiwán y Corea del Sur que fueron alcanzados con regímenes autoritarios fuertes.</w:t>
      </w:r>
    </w:p>
    <w:p w:rsidR="00080599" w:rsidRPr="000A2024" w:rsidRDefault="00080599" w:rsidP="00080599">
      <w:pPr>
        <w:pStyle w:val="Prrafodelista"/>
        <w:numPr>
          <w:ilvl w:val="0"/>
          <w:numId w:val="26"/>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La transformación de los valores a modernos no es indispensable como podría verse en el caso del desarrollo asiático como China o Japón que presentan un fuerte desarrollo económico y sin embargo las raíces de los valores tradicionales son milenarias y siguen vigentes al día de hoy.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Reyes ejemplifica el valor tradicional de la lealtad al emperador. Propone que los valores tradicionales no están separados ni son excluyentes de los modernos y sugiere transformar esa lealtad del emperador por una lealtad a hacia la compañía.</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Antecedentes</w:t>
      </w:r>
    </w:p>
    <w:p w:rsidR="00080599" w:rsidRPr="000A2024" w:rsidRDefault="00080599" w:rsidP="00080599">
      <w:pPr>
        <w:pStyle w:val="Prrafodelista"/>
        <w:spacing w:after="120" w:line="360" w:lineRule="auto"/>
        <w:ind w:left="0"/>
        <w:contextualSpacing w:val="0"/>
        <w:jc w:val="both"/>
        <w:rPr>
          <w:rFonts w:ascii="Arial" w:hAnsi="Arial" w:cs="Arial"/>
          <w:b/>
          <w:sz w:val="24"/>
          <w:szCs w:val="24"/>
        </w:rPr>
      </w:pPr>
      <w:r w:rsidRPr="000A2024">
        <w:rPr>
          <w:rFonts w:ascii="Arial" w:hAnsi="Arial" w:cs="Arial"/>
          <w:sz w:val="24"/>
          <w:szCs w:val="24"/>
        </w:rPr>
        <w:t>La teoría del desarrollo por medio de la modernización tuvo su mayor auge durante la década de los cincuentas y posee tres elementos principales e históricos después de la segunda guerra mundial los cuales son:</w:t>
      </w:r>
    </w:p>
    <w:p w:rsidR="00080599" w:rsidRPr="000A2024" w:rsidRDefault="00080599" w:rsidP="00080599">
      <w:pPr>
        <w:pStyle w:val="Prrafodelista"/>
        <w:numPr>
          <w:ilvl w:val="0"/>
          <w:numId w:val="13"/>
        </w:numPr>
        <w:spacing w:after="120" w:line="360" w:lineRule="auto"/>
        <w:contextualSpacing w:val="0"/>
        <w:jc w:val="both"/>
        <w:rPr>
          <w:rFonts w:ascii="Arial" w:hAnsi="Arial" w:cs="Arial"/>
          <w:sz w:val="24"/>
          <w:szCs w:val="24"/>
        </w:rPr>
      </w:pPr>
      <w:r w:rsidRPr="000A2024">
        <w:rPr>
          <w:rFonts w:ascii="Arial" w:hAnsi="Arial" w:cs="Arial"/>
          <w:sz w:val="24"/>
          <w:szCs w:val="24"/>
        </w:rPr>
        <w:t>Quizá el más significativo, el surgimiento de Estados Unidos de Norteamérica como una potencia mundial mediante la implementación del Plan Marshall y de la estrategia de apoyo político y financiero diseñada por George Kennan la cual benefició a Taiwán, Corea del Sur y Japón, por sobre las prioridades de apoyo a la integración de Latinoamérica.</w:t>
      </w:r>
    </w:p>
    <w:p w:rsidR="00080599" w:rsidRPr="000A2024" w:rsidRDefault="00080599" w:rsidP="00080599">
      <w:pPr>
        <w:pStyle w:val="Prrafodelista"/>
        <w:numPr>
          <w:ilvl w:val="0"/>
          <w:numId w:val="13"/>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La propagación del movimiento comunista a través del globo</w:t>
      </w:r>
      <w:r w:rsidR="00BC3157" w:rsidRPr="000A2024">
        <w:rPr>
          <w:rFonts w:ascii="Arial" w:hAnsi="Arial" w:cs="Arial"/>
          <w:sz w:val="24"/>
          <w:szCs w:val="24"/>
        </w:rPr>
        <w:t xml:space="preserve"> de la ex Unión Soviética, desde</w:t>
      </w:r>
      <w:r w:rsidRPr="000A2024">
        <w:rPr>
          <w:rFonts w:ascii="Arial" w:hAnsi="Arial" w:cs="Arial"/>
          <w:sz w:val="24"/>
          <w:szCs w:val="24"/>
        </w:rPr>
        <w:t xml:space="preserve"> Europa Oriental a China y a Corea.</w:t>
      </w:r>
    </w:p>
    <w:p w:rsidR="00080599" w:rsidRPr="000A2024" w:rsidRDefault="00080599" w:rsidP="00080599">
      <w:pPr>
        <w:pStyle w:val="Prrafodelista"/>
        <w:numPr>
          <w:ilvl w:val="0"/>
          <w:numId w:val="13"/>
        </w:numPr>
        <w:spacing w:after="120" w:line="360" w:lineRule="auto"/>
        <w:contextualSpacing w:val="0"/>
        <w:jc w:val="both"/>
        <w:rPr>
          <w:rFonts w:ascii="Arial" w:hAnsi="Arial" w:cs="Arial"/>
          <w:sz w:val="24"/>
          <w:szCs w:val="24"/>
        </w:rPr>
      </w:pPr>
      <w:r w:rsidRPr="000A2024">
        <w:rPr>
          <w:rFonts w:ascii="Arial" w:hAnsi="Arial" w:cs="Arial"/>
          <w:sz w:val="24"/>
          <w:szCs w:val="24"/>
        </w:rPr>
        <w:t>La desintegración de las colonias europeas en Latinoamérica, África y Asia convirtiéndose en estados del tercer mundo.</w:t>
      </w:r>
    </w:p>
    <w:p w:rsidR="00080599" w:rsidRPr="000A2024" w:rsidRDefault="00080599" w:rsidP="006E3C52">
      <w:pPr>
        <w:pStyle w:val="SubTema1"/>
        <w:spacing w:before="0" w:after="120"/>
        <w:rPr>
          <w:rFonts w:ascii="Arial" w:hAnsi="Arial" w:cs="Arial"/>
        </w:rPr>
      </w:pPr>
      <w:bookmarkStart w:id="12" w:name="_Toc450230487"/>
      <w:r w:rsidRPr="000A2024">
        <w:rPr>
          <w:rFonts w:ascii="Arial" w:hAnsi="Arial" w:cs="Arial"/>
        </w:rPr>
        <w:t>Dependencia</w:t>
      </w:r>
      <w:bookmarkEnd w:id="12"/>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Reyes (2009) dice que la teoría de la dependencia surge en 1950 en América latina a partir de las propuestas de Raúl Prebisch y de las investigaciones de la Comisión Económica para América Latina y el Caribe (CEPAL) pero es hasta mediados de la década de los 70´s que se publica un modelo teórico más elaborado.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Falleto y Dos Santos quienes son otros dos autores que también se encuentran en el marco teórico de esta teoría los cuales, según Reyes, argumentan que las propuestas de desarrollo de la CEPAL fracasaron y que a partir de esto se contemplaría un punto de partida para la verdadera teoría de la dependencia. Raúl Prebisch es uno de los autores más representativos de esta nueva teoría.</w:t>
      </w:r>
    </w:p>
    <w:p w:rsidR="00BC3157"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Esta teoría ubica al desarrollo de Latinoamérica como una red de relaciones de dependencia estructurales creada a partir de la interrelación entre metrópolis capitalistas (centros) y satélites dependientes (periferias).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Esta red de dependencia constituye las dos facciones de un sistema jerárquico internacional, que permite la transferencia continua de los excedentes económicos de las periferias a los centros.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precondición para el desarrollo económico no depende del grado de incorporación del país satélite al sistema capitalista mundial, de hecho, lo opuesto es lo cierto. Esta teoría busca aislar lo más posible al país satélite de la incorporación al sistema capitalista.</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Condiciones para el desarrollo a través de la teoría de la dependencia.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Raúl Prebish (citado en Reyes, 2009), a través de las investigaciones de la Comisión Económica para América Latina y el Caribe (CEPAL), para crear condiciones que permitan el desarrollo económico y social en un país a travé</w:t>
      </w:r>
      <w:r w:rsidR="00605DC8" w:rsidRPr="000A2024">
        <w:rPr>
          <w:rFonts w:ascii="Arial" w:hAnsi="Arial" w:cs="Arial"/>
          <w:sz w:val="24"/>
          <w:szCs w:val="24"/>
        </w:rPr>
        <w:t>s de esta teoría se necesita lo siguiente</w:t>
      </w:r>
      <w:r w:rsidRPr="000A2024">
        <w:rPr>
          <w:rFonts w:ascii="Arial" w:hAnsi="Arial" w:cs="Arial"/>
          <w:sz w:val="24"/>
          <w:szCs w:val="24"/>
        </w:rPr>
        <w:t>:</w:t>
      </w:r>
    </w:p>
    <w:p w:rsidR="00080599" w:rsidRPr="000A2024" w:rsidRDefault="00605DC8" w:rsidP="00080599">
      <w:pPr>
        <w:pStyle w:val="Prrafodelista"/>
        <w:numPr>
          <w:ilvl w:val="0"/>
          <w:numId w:val="28"/>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Una nación debe</w:t>
      </w:r>
      <w:r w:rsidR="00080599" w:rsidRPr="000A2024">
        <w:rPr>
          <w:rFonts w:ascii="Arial" w:hAnsi="Arial" w:cs="Arial"/>
          <w:sz w:val="24"/>
          <w:szCs w:val="24"/>
        </w:rPr>
        <w:t xml:space="preserve"> poseer una predilección de políticas fiscales sobre las monetarias procurando así controlar el cambio monetario para cuidar el mercado interno ante la apertura del externo.</w:t>
      </w:r>
    </w:p>
    <w:p w:rsidR="00080599" w:rsidRPr="000A2024" w:rsidRDefault="00080599" w:rsidP="00080599">
      <w:pPr>
        <w:pStyle w:val="Prrafodelista"/>
        <w:numPr>
          <w:ilvl w:val="0"/>
          <w:numId w:val="28"/>
        </w:numPr>
        <w:spacing w:after="120" w:line="360" w:lineRule="auto"/>
        <w:contextualSpacing w:val="0"/>
        <w:jc w:val="both"/>
        <w:rPr>
          <w:rFonts w:ascii="Arial" w:hAnsi="Arial" w:cs="Arial"/>
          <w:sz w:val="24"/>
          <w:szCs w:val="24"/>
        </w:rPr>
      </w:pPr>
      <w:r w:rsidRPr="000A2024">
        <w:rPr>
          <w:rFonts w:ascii="Arial" w:hAnsi="Arial" w:cs="Arial"/>
          <w:sz w:val="24"/>
          <w:szCs w:val="24"/>
        </w:rPr>
        <w:t>El estado debe fungir bajo una planificación fortalecida donde este tenga capacidades para promover la eficiencia de la función del gobierno en términos de desarrollo nacional.</w:t>
      </w:r>
    </w:p>
    <w:p w:rsidR="00080599" w:rsidRPr="000A2024" w:rsidRDefault="00080599" w:rsidP="00080599">
      <w:pPr>
        <w:pStyle w:val="Prrafodelista"/>
        <w:numPr>
          <w:ilvl w:val="0"/>
          <w:numId w:val="28"/>
        </w:numPr>
        <w:spacing w:after="120" w:line="360" w:lineRule="auto"/>
        <w:contextualSpacing w:val="0"/>
        <w:jc w:val="both"/>
        <w:rPr>
          <w:rFonts w:ascii="Arial" w:hAnsi="Arial" w:cs="Arial"/>
          <w:sz w:val="24"/>
          <w:szCs w:val="24"/>
        </w:rPr>
      </w:pPr>
      <w:r w:rsidRPr="000A2024">
        <w:rPr>
          <w:rFonts w:ascii="Arial" w:hAnsi="Arial" w:cs="Arial"/>
          <w:sz w:val="24"/>
          <w:szCs w:val="24"/>
        </w:rPr>
        <w:t>Se requieren crear estrategias de inversiones priorizando al capital nacional.</w:t>
      </w:r>
    </w:p>
    <w:p w:rsidR="00080599" w:rsidRPr="000A2024" w:rsidRDefault="00080599" w:rsidP="00080599">
      <w:pPr>
        <w:pStyle w:val="Prrafodelista"/>
        <w:numPr>
          <w:ilvl w:val="0"/>
          <w:numId w:val="28"/>
        </w:numPr>
        <w:spacing w:after="120" w:line="360" w:lineRule="auto"/>
        <w:contextualSpacing w:val="0"/>
        <w:jc w:val="both"/>
        <w:rPr>
          <w:rFonts w:ascii="Arial" w:hAnsi="Arial" w:cs="Arial"/>
          <w:sz w:val="24"/>
          <w:szCs w:val="24"/>
        </w:rPr>
      </w:pPr>
      <w:r w:rsidRPr="000A2024">
        <w:rPr>
          <w:rFonts w:ascii="Arial" w:hAnsi="Arial" w:cs="Arial"/>
          <w:sz w:val="24"/>
          <w:szCs w:val="24"/>
        </w:rPr>
        <w:t>Creación de una estrategia sobre las importaciones con reglamentos fiscales que permitan proteger la economía nacional de los mercados externos.</w:t>
      </w:r>
    </w:p>
    <w:p w:rsidR="00080599" w:rsidRPr="000A2024" w:rsidRDefault="00080599" w:rsidP="00080599">
      <w:pPr>
        <w:pStyle w:val="Prrafodelista"/>
        <w:numPr>
          <w:ilvl w:val="0"/>
          <w:numId w:val="28"/>
        </w:numPr>
        <w:spacing w:after="120" w:line="360" w:lineRule="auto"/>
        <w:contextualSpacing w:val="0"/>
        <w:jc w:val="both"/>
        <w:rPr>
          <w:rFonts w:ascii="Arial" w:hAnsi="Arial" w:cs="Arial"/>
          <w:sz w:val="24"/>
          <w:szCs w:val="24"/>
        </w:rPr>
      </w:pPr>
      <w:r w:rsidRPr="000A2024">
        <w:rPr>
          <w:rFonts w:ascii="Arial" w:hAnsi="Arial" w:cs="Arial"/>
          <w:sz w:val="24"/>
          <w:szCs w:val="24"/>
        </w:rPr>
        <w:t>Después de implementar estrategias de protección es posible permitir la inversión extranjera establecida en planes de desarrollo nacional.</w:t>
      </w:r>
    </w:p>
    <w:p w:rsidR="00080599" w:rsidRPr="000A2024" w:rsidRDefault="00080599" w:rsidP="00080599">
      <w:pPr>
        <w:pStyle w:val="Prrafodelista"/>
        <w:numPr>
          <w:ilvl w:val="0"/>
          <w:numId w:val="28"/>
        </w:numPr>
        <w:spacing w:after="120" w:line="360" w:lineRule="auto"/>
        <w:contextualSpacing w:val="0"/>
        <w:jc w:val="both"/>
        <w:rPr>
          <w:rFonts w:ascii="Arial" w:hAnsi="Arial" w:cs="Arial"/>
          <w:sz w:val="24"/>
          <w:szCs w:val="24"/>
        </w:rPr>
      </w:pPr>
      <w:r w:rsidRPr="000A2024">
        <w:rPr>
          <w:rFonts w:ascii="Arial" w:hAnsi="Arial" w:cs="Arial"/>
          <w:sz w:val="24"/>
          <w:szCs w:val="24"/>
        </w:rPr>
        <w:t>Buscar algún tipo de estrategia para generar mayor demanda por medio del incremento de sueldos y salarios de los trabajadores.</w:t>
      </w:r>
    </w:p>
    <w:p w:rsidR="00080599" w:rsidRPr="000A2024" w:rsidRDefault="00080599" w:rsidP="00080599">
      <w:pPr>
        <w:pStyle w:val="Prrafodelista"/>
        <w:numPr>
          <w:ilvl w:val="0"/>
          <w:numId w:val="28"/>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Acelerar la competitividad de los sectores de la sociedad más arraigados por la pobreza por medio del desarrollo de un sistema de seguro social más eficiente estatal. </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Factores que determinan la dependencia.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teoría de la dependencia es basada en ideas económicas liberales del neo-marxismo y además combina elementos keynesianos. Para entender los factores que determinan esta teoría es menester comprender las diferencias entre el neo-marxismo que provee la base teórica y el marxismo ortodoxo clásico.</w:t>
      </w:r>
    </w:p>
    <w:p w:rsidR="00080599" w:rsidRPr="000A2024" w:rsidRDefault="00080599" w:rsidP="00080599">
      <w:pPr>
        <w:pStyle w:val="Prrafodelista"/>
        <w:numPr>
          <w:ilvl w:val="0"/>
          <w:numId w:val="14"/>
        </w:numPr>
        <w:spacing w:after="120" w:line="360" w:lineRule="auto"/>
        <w:contextualSpacing w:val="0"/>
        <w:jc w:val="both"/>
        <w:rPr>
          <w:rFonts w:ascii="Arial" w:hAnsi="Arial" w:cs="Arial"/>
          <w:sz w:val="24"/>
          <w:szCs w:val="24"/>
        </w:rPr>
      </w:pPr>
      <w:r w:rsidRPr="000A2024">
        <w:rPr>
          <w:rFonts w:ascii="Arial" w:hAnsi="Arial" w:cs="Arial"/>
          <w:sz w:val="24"/>
          <w:szCs w:val="24"/>
        </w:rPr>
        <w:t>El papel de los monopolios a nivel mundial es el centro de estudio del Marxismo clásico.</w:t>
      </w:r>
    </w:p>
    <w:p w:rsidR="00080599" w:rsidRPr="000A2024" w:rsidRDefault="00080599" w:rsidP="00080599">
      <w:pPr>
        <w:pStyle w:val="Prrafodelista"/>
        <w:numPr>
          <w:ilvl w:val="0"/>
          <w:numId w:val="14"/>
        </w:numPr>
        <w:spacing w:after="120" w:line="360" w:lineRule="auto"/>
        <w:contextualSpacing w:val="0"/>
        <w:jc w:val="both"/>
        <w:rPr>
          <w:rFonts w:ascii="Arial" w:hAnsi="Arial" w:cs="Arial"/>
          <w:sz w:val="24"/>
          <w:szCs w:val="24"/>
        </w:rPr>
      </w:pPr>
      <w:r w:rsidRPr="000A2024">
        <w:rPr>
          <w:rFonts w:ascii="Arial" w:hAnsi="Arial" w:cs="Arial"/>
          <w:sz w:val="24"/>
          <w:szCs w:val="24"/>
        </w:rPr>
        <w:t>El estudio del Neo – Marxismo se centra en proveer una visión de las condiciones de todo aquello que rodea a la nación metrópoli.</w:t>
      </w:r>
    </w:p>
    <w:p w:rsidR="00080599" w:rsidRPr="000A2024" w:rsidRDefault="00080599" w:rsidP="00080599">
      <w:pPr>
        <w:pStyle w:val="Prrafodelista"/>
        <w:numPr>
          <w:ilvl w:val="0"/>
          <w:numId w:val="14"/>
        </w:numPr>
        <w:spacing w:after="120" w:line="360" w:lineRule="auto"/>
        <w:contextualSpacing w:val="0"/>
        <w:jc w:val="both"/>
        <w:rPr>
          <w:rFonts w:ascii="Arial" w:hAnsi="Arial" w:cs="Arial"/>
          <w:sz w:val="24"/>
          <w:szCs w:val="24"/>
        </w:rPr>
      </w:pPr>
      <w:r w:rsidRPr="000A2024">
        <w:rPr>
          <w:rFonts w:ascii="Arial" w:hAnsi="Arial" w:cs="Arial"/>
          <w:sz w:val="24"/>
          <w:szCs w:val="24"/>
        </w:rPr>
        <w:t>El movimiento clásico prevé la necesidad de una revolución burguesa para poder iniciar cualquier proceso de transformación. El proletariado industrial tiene la fuerza y es llamado a ser la vanguardia de la revolución social.</w:t>
      </w:r>
    </w:p>
    <w:p w:rsidR="00080599" w:rsidRPr="000A2024" w:rsidRDefault="00080599" w:rsidP="00080599">
      <w:pPr>
        <w:pStyle w:val="Prrafodelista"/>
        <w:numPr>
          <w:ilvl w:val="0"/>
          <w:numId w:val="14"/>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 xml:space="preserve">El neo –marxismo toma como necesario una revolución, pero de tipo social, ya que la clase burguesa está identificada en las posiciones de elite más que nacionalistas. </w:t>
      </w:r>
    </w:p>
    <w:p w:rsidR="00080599" w:rsidRPr="000A2024" w:rsidRDefault="00080599" w:rsidP="00080599">
      <w:pPr>
        <w:pStyle w:val="Prrafodelista"/>
        <w:spacing w:after="120" w:line="360" w:lineRule="auto"/>
        <w:contextualSpacing w:val="0"/>
        <w:jc w:val="both"/>
        <w:rPr>
          <w:rFonts w:ascii="Arial" w:hAnsi="Arial" w:cs="Arial"/>
          <w:sz w:val="24"/>
          <w:szCs w:val="24"/>
        </w:rPr>
      </w:pPr>
      <w:r w:rsidRPr="000A2024">
        <w:rPr>
          <w:rFonts w:ascii="Arial" w:hAnsi="Arial" w:cs="Arial"/>
          <w:sz w:val="24"/>
          <w:szCs w:val="24"/>
        </w:rPr>
        <w:t>La clase revolucionaria está conformada por los campesinos quienes llevarán a cabo el conflicto revolucionario.</w:t>
      </w:r>
    </w:p>
    <w:p w:rsidR="00080599" w:rsidRPr="000A2024" w:rsidRDefault="006F50EA" w:rsidP="00080599">
      <w:pPr>
        <w:jc w:val="both"/>
        <w:rPr>
          <w:rFonts w:ascii="Arial" w:hAnsi="Arial" w:cs="Arial"/>
          <w:sz w:val="24"/>
          <w:szCs w:val="24"/>
        </w:rPr>
      </w:pPr>
      <w:r w:rsidRPr="000A2024">
        <w:rPr>
          <w:rFonts w:ascii="Arial" w:hAnsi="Arial" w:cs="Arial"/>
          <w:sz w:val="24"/>
          <w:szCs w:val="24"/>
        </w:rPr>
        <w:t>Ahora, debido a que</w:t>
      </w:r>
      <w:r w:rsidR="00080599" w:rsidRPr="000A2024">
        <w:rPr>
          <w:rFonts w:ascii="Arial" w:hAnsi="Arial" w:cs="Arial"/>
          <w:sz w:val="24"/>
          <w:szCs w:val="24"/>
        </w:rPr>
        <w:t xml:space="preserve"> la teoría de la dependencia se explica desde un enfoque económico de Keynes el desarrollo tiene cuatro factores determinantes:</w:t>
      </w:r>
    </w:p>
    <w:p w:rsidR="00080599" w:rsidRPr="000A2024" w:rsidRDefault="00080599" w:rsidP="00080599">
      <w:pPr>
        <w:pStyle w:val="Prrafodelista"/>
        <w:numPr>
          <w:ilvl w:val="0"/>
          <w:numId w:val="5"/>
        </w:numPr>
        <w:jc w:val="both"/>
        <w:rPr>
          <w:rFonts w:ascii="Arial" w:hAnsi="Arial" w:cs="Arial"/>
          <w:sz w:val="24"/>
          <w:szCs w:val="24"/>
        </w:rPr>
      </w:pPr>
      <w:r w:rsidRPr="000A2024">
        <w:rPr>
          <w:rFonts w:ascii="Arial" w:hAnsi="Arial" w:cs="Arial"/>
          <w:sz w:val="24"/>
          <w:szCs w:val="24"/>
        </w:rPr>
        <w:t>Incrementar la demanda interna del país en términos de los mercados nacionales.</w:t>
      </w:r>
    </w:p>
    <w:p w:rsidR="00080599" w:rsidRPr="000A2024" w:rsidRDefault="00080599" w:rsidP="00080599">
      <w:pPr>
        <w:pStyle w:val="Prrafodelista"/>
        <w:ind w:left="360"/>
        <w:jc w:val="both"/>
        <w:rPr>
          <w:rFonts w:ascii="Arial" w:hAnsi="Arial" w:cs="Arial"/>
          <w:sz w:val="24"/>
          <w:szCs w:val="24"/>
        </w:rPr>
      </w:pPr>
    </w:p>
    <w:p w:rsidR="00080599" w:rsidRPr="000A2024" w:rsidRDefault="00080599" w:rsidP="00080599">
      <w:pPr>
        <w:pStyle w:val="Prrafodelista"/>
        <w:numPr>
          <w:ilvl w:val="0"/>
          <w:numId w:val="5"/>
        </w:numPr>
        <w:jc w:val="both"/>
        <w:rPr>
          <w:rFonts w:ascii="Arial" w:hAnsi="Arial" w:cs="Arial"/>
          <w:sz w:val="24"/>
          <w:szCs w:val="24"/>
        </w:rPr>
      </w:pPr>
      <w:r w:rsidRPr="000A2024">
        <w:rPr>
          <w:rFonts w:ascii="Arial" w:hAnsi="Arial" w:cs="Arial"/>
          <w:sz w:val="24"/>
          <w:szCs w:val="24"/>
        </w:rPr>
        <w:t xml:space="preserve">Reconocer el valor agregado de los productos del sector industrial como uno más productivo en comparación del agrario. </w:t>
      </w:r>
    </w:p>
    <w:p w:rsidR="00080599" w:rsidRPr="000A2024" w:rsidRDefault="00080599" w:rsidP="00080599">
      <w:pPr>
        <w:pStyle w:val="Prrafodelista"/>
        <w:ind w:left="360"/>
        <w:jc w:val="both"/>
        <w:rPr>
          <w:rFonts w:ascii="Arial" w:hAnsi="Arial" w:cs="Arial"/>
          <w:sz w:val="24"/>
          <w:szCs w:val="24"/>
        </w:rPr>
      </w:pPr>
    </w:p>
    <w:p w:rsidR="00080599" w:rsidRPr="000A2024" w:rsidRDefault="00080599" w:rsidP="00080599">
      <w:pPr>
        <w:pStyle w:val="Prrafodelista"/>
        <w:numPr>
          <w:ilvl w:val="0"/>
          <w:numId w:val="5"/>
        </w:numPr>
        <w:jc w:val="both"/>
        <w:rPr>
          <w:rFonts w:ascii="Arial" w:hAnsi="Arial" w:cs="Arial"/>
          <w:sz w:val="24"/>
          <w:szCs w:val="24"/>
        </w:rPr>
      </w:pPr>
      <w:r w:rsidRPr="000A2024">
        <w:rPr>
          <w:rFonts w:ascii="Arial" w:hAnsi="Arial" w:cs="Arial"/>
          <w:sz w:val="24"/>
          <w:szCs w:val="24"/>
        </w:rPr>
        <w:t>Como una condición dentro del mercado nacional. Se genera mayor demanda agregada por medio del incremento del ingreso de los trabajadores.</w:t>
      </w:r>
    </w:p>
    <w:p w:rsidR="00080599" w:rsidRPr="000A2024" w:rsidRDefault="00080599" w:rsidP="00080599">
      <w:pPr>
        <w:pStyle w:val="Prrafodelista"/>
        <w:ind w:left="360"/>
        <w:jc w:val="both"/>
        <w:rPr>
          <w:rFonts w:ascii="Arial" w:hAnsi="Arial" w:cs="Arial"/>
          <w:sz w:val="24"/>
          <w:szCs w:val="24"/>
        </w:rPr>
      </w:pPr>
    </w:p>
    <w:p w:rsidR="006F50EA" w:rsidRPr="000A2024" w:rsidRDefault="00080599" w:rsidP="006E3C52">
      <w:pPr>
        <w:pStyle w:val="Prrafodelista"/>
        <w:numPr>
          <w:ilvl w:val="0"/>
          <w:numId w:val="5"/>
        </w:numPr>
        <w:spacing w:after="120"/>
        <w:jc w:val="both"/>
        <w:rPr>
          <w:rFonts w:ascii="Arial" w:hAnsi="Arial" w:cs="Arial"/>
          <w:sz w:val="24"/>
          <w:szCs w:val="24"/>
        </w:rPr>
      </w:pPr>
      <w:r w:rsidRPr="000A2024">
        <w:rPr>
          <w:rFonts w:ascii="Arial" w:hAnsi="Arial" w:cs="Arial"/>
          <w:sz w:val="24"/>
          <w:szCs w:val="24"/>
        </w:rPr>
        <w:t>Fortalecer el desempeño del estado dentro de los papeles que juega para mejorar las condiciones de desarrollo nacional y los estándares del país.</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Principales hipótesis de la escuela de la dependencia referentes al desarrollo en los países del tercer mundo.</w:t>
      </w:r>
    </w:p>
    <w:p w:rsidR="00080599" w:rsidRPr="000A2024" w:rsidRDefault="00080599" w:rsidP="00080599">
      <w:pPr>
        <w:pStyle w:val="Prrafodelista"/>
        <w:numPr>
          <w:ilvl w:val="0"/>
          <w:numId w:val="27"/>
        </w:numPr>
        <w:spacing w:after="120" w:line="360" w:lineRule="auto"/>
        <w:contextualSpacing w:val="0"/>
        <w:jc w:val="both"/>
        <w:rPr>
          <w:rFonts w:ascii="Arial" w:hAnsi="Arial" w:cs="Arial"/>
          <w:sz w:val="24"/>
          <w:szCs w:val="24"/>
        </w:rPr>
      </w:pPr>
      <w:r w:rsidRPr="000A2024">
        <w:rPr>
          <w:rFonts w:ascii="Arial" w:hAnsi="Arial" w:cs="Arial"/>
          <w:sz w:val="24"/>
          <w:szCs w:val="24"/>
        </w:rPr>
        <w:t>El desarrollo requiere encontrarse bajo la autoridad y dependencia de la metrópoli (centro), en cierto nivel, en contraste del desarrollo histórico de los países centrales.</w:t>
      </w:r>
    </w:p>
    <w:p w:rsidR="00080599" w:rsidRPr="000A2024" w:rsidRDefault="00080599" w:rsidP="00080599">
      <w:pPr>
        <w:pStyle w:val="Prrafodelista"/>
        <w:numPr>
          <w:ilvl w:val="0"/>
          <w:numId w:val="27"/>
        </w:numPr>
        <w:spacing w:after="120" w:line="360" w:lineRule="auto"/>
        <w:contextualSpacing w:val="0"/>
        <w:jc w:val="both"/>
        <w:rPr>
          <w:rFonts w:ascii="Arial" w:hAnsi="Arial" w:cs="Arial"/>
          <w:sz w:val="24"/>
          <w:szCs w:val="24"/>
        </w:rPr>
      </w:pPr>
      <w:r w:rsidRPr="000A2024">
        <w:rPr>
          <w:rFonts w:ascii="Arial" w:hAnsi="Arial" w:cs="Arial"/>
          <w:sz w:val="24"/>
          <w:szCs w:val="24"/>
        </w:rPr>
        <w:t>La escuela dependentista considera que los países satélites poseen mayor desarrollo económico cuando los enlaces con los países metrópoli están más débiles.</w:t>
      </w:r>
    </w:p>
    <w:p w:rsidR="00080599" w:rsidRPr="000A2024" w:rsidRDefault="00080599" w:rsidP="00080599">
      <w:pPr>
        <w:pStyle w:val="Prrafodelista"/>
        <w:numPr>
          <w:ilvl w:val="0"/>
          <w:numId w:val="27"/>
        </w:numPr>
        <w:spacing w:after="120" w:line="360" w:lineRule="auto"/>
        <w:contextualSpacing w:val="0"/>
        <w:jc w:val="both"/>
        <w:rPr>
          <w:rFonts w:ascii="Arial" w:hAnsi="Arial" w:cs="Arial"/>
          <w:sz w:val="24"/>
          <w:szCs w:val="24"/>
        </w:rPr>
      </w:pPr>
      <w:r w:rsidRPr="000A2024">
        <w:rPr>
          <w:rFonts w:ascii="Arial" w:hAnsi="Arial" w:cs="Arial"/>
          <w:sz w:val="24"/>
          <w:szCs w:val="24"/>
        </w:rPr>
        <w:t>El crecimiento e industrialización de un país satélite se verá comprometida y dependiente del país centro o metrópoli cuando este último se recupere de su crisis y reincorpore al país dependiente nuevamente al sistema.</w:t>
      </w:r>
    </w:p>
    <w:p w:rsidR="00851328" w:rsidRPr="000A2024" w:rsidRDefault="00080599" w:rsidP="00851328">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Reyes menciona a Theotonio Dos Santos quien afirma que la base de la dependencia de los países satélites con las metrópolis recae en la producción </w:t>
      </w:r>
      <w:r w:rsidRPr="000A2024">
        <w:rPr>
          <w:rFonts w:ascii="Arial" w:hAnsi="Arial" w:cs="Arial"/>
          <w:sz w:val="24"/>
          <w:szCs w:val="24"/>
        </w:rPr>
        <w:lastRenderedPageBreak/>
        <w:t>tecnológica más que en los vínculos financieros de los monopolios de los países de la metrópolis.</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Críticas de la teoría de la dependencia.</w:t>
      </w:r>
    </w:p>
    <w:p w:rsidR="00080599" w:rsidRPr="000A2024" w:rsidRDefault="00080599" w:rsidP="00080599">
      <w:pPr>
        <w:pStyle w:val="Prrafodelista"/>
        <w:numPr>
          <w:ilvl w:val="0"/>
          <w:numId w:val="29"/>
        </w:numPr>
        <w:spacing w:after="120" w:line="360" w:lineRule="auto"/>
        <w:contextualSpacing w:val="0"/>
        <w:jc w:val="both"/>
        <w:rPr>
          <w:rFonts w:ascii="Arial" w:hAnsi="Arial" w:cs="Arial"/>
          <w:sz w:val="24"/>
          <w:szCs w:val="24"/>
        </w:rPr>
      </w:pPr>
      <w:r w:rsidRPr="000A2024">
        <w:rPr>
          <w:rFonts w:ascii="Arial" w:hAnsi="Arial" w:cs="Arial"/>
          <w:sz w:val="24"/>
          <w:szCs w:val="24"/>
        </w:rPr>
        <w:t>Las graves insuficiencias de la construcción teórica. No existe suficiente evidencia empírica que respalde los supuestos y conclusiones.</w:t>
      </w:r>
    </w:p>
    <w:p w:rsidR="00080599" w:rsidRPr="000A2024" w:rsidRDefault="00080599" w:rsidP="00080599">
      <w:pPr>
        <w:pStyle w:val="Prrafodelista"/>
        <w:numPr>
          <w:ilvl w:val="0"/>
          <w:numId w:val="29"/>
        </w:numPr>
        <w:spacing w:after="120" w:line="360" w:lineRule="auto"/>
        <w:contextualSpacing w:val="0"/>
        <w:jc w:val="both"/>
        <w:rPr>
          <w:rFonts w:ascii="Arial" w:hAnsi="Arial" w:cs="Arial"/>
          <w:sz w:val="24"/>
          <w:szCs w:val="24"/>
        </w:rPr>
      </w:pPr>
      <w:r w:rsidRPr="000A2024">
        <w:rPr>
          <w:rFonts w:ascii="Arial" w:hAnsi="Arial" w:cs="Arial"/>
          <w:sz w:val="24"/>
          <w:szCs w:val="24"/>
        </w:rPr>
        <w:t>Utiliza un alto nivel de abstracción en su análisis debido al alto dogmatismo y esquematismo de la interpretación de la realidad.</w:t>
      </w:r>
    </w:p>
    <w:p w:rsidR="00080599" w:rsidRPr="000A2024" w:rsidRDefault="00851328" w:rsidP="00080599">
      <w:pPr>
        <w:pStyle w:val="Prrafodelista"/>
        <w:numPr>
          <w:ilvl w:val="0"/>
          <w:numId w:val="29"/>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El análisis toma en cuenta </w:t>
      </w:r>
      <w:r w:rsidR="00080599" w:rsidRPr="000A2024">
        <w:rPr>
          <w:rFonts w:ascii="Arial" w:hAnsi="Arial" w:cs="Arial"/>
          <w:sz w:val="24"/>
          <w:szCs w:val="24"/>
        </w:rPr>
        <w:t xml:space="preserve">los vínculos con las empresas trasnacionales prejudiciales mientras que para </w:t>
      </w:r>
      <w:r w:rsidRPr="000A2024">
        <w:rPr>
          <w:rFonts w:ascii="Arial" w:hAnsi="Arial" w:cs="Arial"/>
          <w:sz w:val="24"/>
          <w:szCs w:val="24"/>
        </w:rPr>
        <w:t xml:space="preserve">el análisis de </w:t>
      </w:r>
      <w:r w:rsidR="00080599" w:rsidRPr="000A2024">
        <w:rPr>
          <w:rFonts w:ascii="Arial" w:hAnsi="Arial" w:cs="Arial"/>
          <w:sz w:val="24"/>
          <w:szCs w:val="24"/>
        </w:rPr>
        <w:t>Reyes estos pueden ser positivos si se observan como trasferencias de tecnología y metodología.</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Similitudes entre la escuela de la modernización y la escuela de la dependencia.</w:t>
      </w:r>
    </w:p>
    <w:p w:rsidR="00080599" w:rsidRPr="000A2024" w:rsidRDefault="00080599" w:rsidP="00080599">
      <w:pPr>
        <w:pStyle w:val="Prrafodelista"/>
        <w:numPr>
          <w:ilvl w:val="0"/>
          <w:numId w:val="30"/>
        </w:numPr>
        <w:spacing w:after="120" w:line="360" w:lineRule="auto"/>
        <w:contextualSpacing w:val="0"/>
        <w:jc w:val="both"/>
        <w:rPr>
          <w:rFonts w:ascii="Arial" w:hAnsi="Arial" w:cs="Arial"/>
          <w:sz w:val="24"/>
          <w:szCs w:val="24"/>
        </w:rPr>
      </w:pPr>
      <w:r w:rsidRPr="000A2024">
        <w:rPr>
          <w:rFonts w:ascii="Arial" w:hAnsi="Arial" w:cs="Arial"/>
          <w:sz w:val="24"/>
          <w:szCs w:val="24"/>
        </w:rPr>
        <w:t>El enfoque del estudio radica en el desarrollo económico/social de los países del tercer mundo.</w:t>
      </w:r>
    </w:p>
    <w:p w:rsidR="00080599" w:rsidRPr="000A2024" w:rsidRDefault="00080599" w:rsidP="00080599">
      <w:pPr>
        <w:pStyle w:val="Prrafodelista"/>
        <w:numPr>
          <w:ilvl w:val="0"/>
          <w:numId w:val="30"/>
        </w:numPr>
        <w:spacing w:after="120" w:line="360" w:lineRule="auto"/>
        <w:contextualSpacing w:val="0"/>
        <w:jc w:val="both"/>
        <w:rPr>
          <w:rFonts w:ascii="Arial" w:hAnsi="Arial" w:cs="Arial"/>
          <w:sz w:val="24"/>
          <w:szCs w:val="24"/>
        </w:rPr>
      </w:pPr>
      <w:r w:rsidRPr="000A2024">
        <w:rPr>
          <w:rFonts w:ascii="Arial" w:hAnsi="Arial" w:cs="Arial"/>
          <w:sz w:val="24"/>
          <w:szCs w:val="24"/>
        </w:rPr>
        <w:t>Sus metodologías se basas un alto nivel de abstracción. Se centran en el proceso de revolución tomado como unidad de análisis a los estados o naciones.</w:t>
      </w:r>
    </w:p>
    <w:p w:rsidR="00080599" w:rsidRPr="000A2024" w:rsidRDefault="00080599" w:rsidP="00080599">
      <w:pPr>
        <w:pStyle w:val="Prrafodelista"/>
        <w:numPr>
          <w:ilvl w:val="0"/>
          <w:numId w:val="30"/>
        </w:numPr>
        <w:spacing w:after="120" w:line="360" w:lineRule="auto"/>
        <w:contextualSpacing w:val="0"/>
        <w:jc w:val="both"/>
        <w:rPr>
          <w:rFonts w:ascii="Arial" w:hAnsi="Arial" w:cs="Arial"/>
          <w:sz w:val="24"/>
          <w:szCs w:val="24"/>
        </w:rPr>
      </w:pPr>
      <w:r w:rsidRPr="000A2024">
        <w:rPr>
          <w:rFonts w:ascii="Arial" w:hAnsi="Arial" w:cs="Arial"/>
          <w:sz w:val="24"/>
          <w:szCs w:val="24"/>
        </w:rPr>
        <w:t>Estructuras teóricas contrastantes: tradición vs modernidad (modernización), caso del centro vs la periferia (dependencia).</w:t>
      </w:r>
    </w:p>
    <w:p w:rsidR="00080599" w:rsidRPr="000A2024" w:rsidRDefault="00080599" w:rsidP="006E3C52">
      <w:pPr>
        <w:pStyle w:val="SubTema1"/>
        <w:spacing w:before="0" w:after="120"/>
        <w:rPr>
          <w:rFonts w:ascii="Arial" w:hAnsi="Arial" w:cs="Arial"/>
        </w:rPr>
      </w:pPr>
      <w:bookmarkStart w:id="13" w:name="_Toc450230488"/>
      <w:r w:rsidRPr="000A2024">
        <w:rPr>
          <w:rFonts w:ascii="Arial" w:hAnsi="Arial" w:cs="Arial"/>
        </w:rPr>
        <w:t>Los sistemas mundiales.</w:t>
      </w:r>
      <w:bookmarkEnd w:id="13"/>
    </w:p>
    <w:p w:rsidR="00080599" w:rsidRPr="000A2024" w:rsidRDefault="00080599" w:rsidP="00080599">
      <w:pPr>
        <w:pStyle w:val="Prrafodelista"/>
        <w:spacing w:after="120" w:line="360" w:lineRule="auto"/>
        <w:ind w:left="360"/>
        <w:contextualSpacing w:val="0"/>
        <w:jc w:val="both"/>
        <w:rPr>
          <w:rFonts w:ascii="Arial" w:hAnsi="Arial" w:cs="Arial"/>
          <w:sz w:val="24"/>
          <w:szCs w:val="24"/>
        </w:rPr>
      </w:pPr>
      <w:r w:rsidRPr="000A2024">
        <w:rPr>
          <w:rFonts w:ascii="Arial" w:hAnsi="Arial" w:cs="Arial"/>
          <w:sz w:val="24"/>
          <w:szCs w:val="24"/>
        </w:rPr>
        <w:t>“La teoría de los sistemas mundiales indica que la unidad de análisis central son los sistemas sociales, los cuales pueden ser estudiados en el ámbito interno o externo de un país. En este último caso el sistema social afecta diversas naciones y generalmente influye sobre una región entera.” (Giovanni Reyes, 2002, p.13)</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 comprende como sistemas sociales a las estructuras de los sectores productivos, los mecanismos financieros, la tecnología como recurso humano capacitado y a las operaciones de comercio internacional.</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lastRenderedPageBreak/>
        <w:t>Factores que determinan la teoría de los Sistemas Mundiales.</w:t>
      </w:r>
    </w:p>
    <w:p w:rsidR="00080599" w:rsidRPr="000A2024" w:rsidRDefault="00080599" w:rsidP="00080599">
      <w:pPr>
        <w:pStyle w:val="Prrafodelista"/>
        <w:numPr>
          <w:ilvl w:val="0"/>
          <w:numId w:val="15"/>
        </w:numPr>
        <w:spacing w:after="120" w:line="360" w:lineRule="auto"/>
        <w:contextualSpacing w:val="0"/>
        <w:jc w:val="both"/>
        <w:rPr>
          <w:rFonts w:ascii="Arial" w:hAnsi="Arial" w:cs="Arial"/>
          <w:sz w:val="24"/>
          <w:szCs w:val="24"/>
        </w:rPr>
      </w:pPr>
      <w:r w:rsidRPr="000A2024">
        <w:rPr>
          <w:rFonts w:ascii="Arial" w:hAnsi="Arial" w:cs="Arial"/>
          <w:sz w:val="24"/>
          <w:szCs w:val="24"/>
        </w:rPr>
        <w:t>La teoría de los sistemas mundiales reconoce el vínculo entre las ciencias sociales, especialmente entre la sociología, la economía y las ciencias políticas. En lugar de estudiar los impactos por separado de cada una de estas disciplinas estudia el grado de desarrollo que provee su interacción en las condiciones de un país.</w:t>
      </w:r>
    </w:p>
    <w:p w:rsidR="00080599" w:rsidRPr="000A2024" w:rsidRDefault="00080599" w:rsidP="00080599">
      <w:pPr>
        <w:pStyle w:val="Prrafodelista"/>
        <w:numPr>
          <w:ilvl w:val="0"/>
          <w:numId w:val="15"/>
        </w:numPr>
        <w:spacing w:after="120" w:line="360" w:lineRule="auto"/>
        <w:contextualSpacing w:val="0"/>
        <w:jc w:val="both"/>
        <w:rPr>
          <w:rFonts w:ascii="Arial" w:hAnsi="Arial" w:cs="Arial"/>
          <w:sz w:val="24"/>
          <w:szCs w:val="24"/>
        </w:rPr>
      </w:pPr>
      <w:r w:rsidRPr="000A2024">
        <w:rPr>
          <w:rFonts w:ascii="Arial" w:hAnsi="Arial" w:cs="Arial"/>
          <w:sz w:val="24"/>
          <w:szCs w:val="24"/>
        </w:rPr>
        <w:t>Centra el estudio del desarrollo a la interacción y conjunto de las variables que determinan el desarrollo. Es necesario estudiar la realidad de los sistemas sociales indica Reyes.</w:t>
      </w:r>
    </w:p>
    <w:p w:rsidR="00080599" w:rsidRPr="000A2024" w:rsidRDefault="00080599" w:rsidP="00080599">
      <w:pPr>
        <w:pStyle w:val="Prrafodelista"/>
        <w:numPr>
          <w:ilvl w:val="0"/>
          <w:numId w:val="15"/>
        </w:numPr>
        <w:spacing w:after="120" w:line="360" w:lineRule="auto"/>
        <w:contextualSpacing w:val="0"/>
        <w:jc w:val="both"/>
        <w:rPr>
          <w:rFonts w:ascii="Arial" w:hAnsi="Arial" w:cs="Arial"/>
          <w:sz w:val="24"/>
          <w:szCs w:val="24"/>
        </w:rPr>
      </w:pPr>
      <w:r w:rsidRPr="000A2024">
        <w:rPr>
          <w:rFonts w:ascii="Arial" w:hAnsi="Arial" w:cs="Arial"/>
          <w:sz w:val="24"/>
          <w:szCs w:val="24"/>
        </w:rPr>
        <w:t>Esta teoría pretende reconocer e incorporarse a la nueva faceta del sistema capitalista.</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Diferencias entre la teoría de los Sistemas Mundiales y la teoría de la Dependencia.</w:t>
      </w:r>
    </w:p>
    <w:p w:rsidR="00851328" w:rsidRPr="000A2024" w:rsidRDefault="00080599" w:rsidP="00080599">
      <w:pPr>
        <w:pStyle w:val="Prrafodelista"/>
        <w:numPr>
          <w:ilvl w:val="0"/>
          <w:numId w:val="16"/>
        </w:numPr>
        <w:spacing w:after="120" w:line="360" w:lineRule="auto"/>
        <w:contextualSpacing w:val="0"/>
        <w:jc w:val="both"/>
        <w:rPr>
          <w:rFonts w:ascii="Arial" w:hAnsi="Arial" w:cs="Arial"/>
          <w:sz w:val="24"/>
          <w:szCs w:val="24"/>
        </w:rPr>
      </w:pPr>
      <w:r w:rsidRPr="000A2024">
        <w:rPr>
          <w:rFonts w:ascii="Arial" w:hAnsi="Arial" w:cs="Arial"/>
          <w:sz w:val="24"/>
          <w:szCs w:val="24"/>
        </w:rPr>
        <w:t>Como se mencionó previamente la teoría de la dependencia pretende analizar los estados naciones mientras que para la teoría de los Sistemas Mundiales es el mundo.</w:t>
      </w:r>
    </w:p>
    <w:p w:rsidR="00080599" w:rsidRPr="000A2024" w:rsidRDefault="00080599" w:rsidP="00851328">
      <w:pPr>
        <w:pStyle w:val="Prrafodelista"/>
        <w:spacing w:after="120" w:line="360" w:lineRule="auto"/>
        <w:contextualSpacing w:val="0"/>
        <w:jc w:val="both"/>
        <w:rPr>
          <w:rFonts w:ascii="Arial" w:hAnsi="Arial" w:cs="Arial"/>
          <w:sz w:val="24"/>
          <w:szCs w:val="24"/>
        </w:rPr>
      </w:pPr>
      <w:r w:rsidRPr="000A2024">
        <w:rPr>
          <w:rFonts w:ascii="Arial" w:hAnsi="Arial" w:cs="Arial"/>
          <w:sz w:val="24"/>
          <w:szCs w:val="24"/>
        </w:rPr>
        <w:t xml:space="preserve"> Es quizá parecido a los economistas que estudian los componentes micros individuales (teoría de la dependencia) y la agrupación de estos en una escala llamada macro (sistemas mundiales).</w:t>
      </w:r>
    </w:p>
    <w:p w:rsidR="00080599" w:rsidRPr="000A2024" w:rsidRDefault="00080599" w:rsidP="00080599">
      <w:pPr>
        <w:pStyle w:val="Prrafodelista"/>
        <w:numPr>
          <w:ilvl w:val="0"/>
          <w:numId w:val="16"/>
        </w:numPr>
        <w:spacing w:after="120" w:line="360" w:lineRule="auto"/>
        <w:contextualSpacing w:val="0"/>
        <w:jc w:val="both"/>
        <w:rPr>
          <w:rFonts w:ascii="Arial" w:hAnsi="Arial" w:cs="Arial"/>
          <w:sz w:val="24"/>
          <w:szCs w:val="24"/>
        </w:rPr>
      </w:pPr>
      <w:r w:rsidRPr="000A2024">
        <w:rPr>
          <w:rFonts w:ascii="Arial" w:hAnsi="Arial" w:cs="Arial"/>
          <w:sz w:val="24"/>
          <w:szCs w:val="24"/>
        </w:rPr>
        <w:t>En cuanto a la estructura de los fundamentos teóricos la teoría de la Dependencia se concentra en los países satélites con sus respectivas metrópolis. Los Sistemas Mundiales consisten en la metrópoli, países semi-satélites y satélites.</w:t>
      </w:r>
    </w:p>
    <w:p w:rsidR="00080599" w:rsidRPr="000A2024" w:rsidRDefault="00080599" w:rsidP="00080599">
      <w:pPr>
        <w:pStyle w:val="Prrafodelista"/>
        <w:numPr>
          <w:ilvl w:val="0"/>
          <w:numId w:val="16"/>
        </w:numPr>
        <w:spacing w:after="120" w:line="360" w:lineRule="auto"/>
        <w:contextualSpacing w:val="0"/>
        <w:jc w:val="both"/>
        <w:rPr>
          <w:rFonts w:ascii="Arial" w:hAnsi="Arial" w:cs="Arial"/>
          <w:sz w:val="24"/>
          <w:szCs w:val="24"/>
        </w:rPr>
      </w:pPr>
      <w:r w:rsidRPr="000A2024">
        <w:rPr>
          <w:rFonts w:ascii="Arial" w:hAnsi="Arial" w:cs="Arial"/>
          <w:sz w:val="24"/>
          <w:szCs w:val="24"/>
        </w:rPr>
        <w:t>Para la teoría de la Dependencia la dirección del proceso del desarrollo es perjudicial mientras que la teoría de los Sistemas Mundiales posee una postura multidireccional donde existe la posibilidad de crecimiento o decremento economía mundial.</w:t>
      </w:r>
    </w:p>
    <w:p w:rsidR="00080599" w:rsidRPr="000A2024" w:rsidRDefault="00080599" w:rsidP="00080599">
      <w:pPr>
        <w:pStyle w:val="Prrafodelista"/>
        <w:numPr>
          <w:ilvl w:val="0"/>
          <w:numId w:val="16"/>
        </w:numPr>
        <w:spacing w:after="120" w:line="360" w:lineRule="auto"/>
        <w:contextualSpacing w:val="0"/>
        <w:jc w:val="both"/>
        <w:rPr>
          <w:rFonts w:ascii="Arial" w:hAnsi="Arial" w:cs="Arial"/>
          <w:sz w:val="24"/>
          <w:szCs w:val="24"/>
        </w:rPr>
      </w:pPr>
      <w:r w:rsidRPr="000A2024">
        <w:rPr>
          <w:rFonts w:ascii="Arial" w:hAnsi="Arial" w:cs="Arial"/>
          <w:sz w:val="24"/>
          <w:szCs w:val="24"/>
        </w:rPr>
        <w:t>El enfoque de la teoría de la Dependencia es el país satélite mientras que para la teoría de los Sistemas Mundiales se centra tanto en el país satélite como en la metrópoli y además en países semi – satélites.</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lastRenderedPageBreak/>
        <w:t>Antecedentes</w:t>
      </w:r>
    </w:p>
    <w:p w:rsidR="00851328"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En 1960 se forma un nuevo capitalismo alrededor del mundo es aquí cuando surge la te</w:t>
      </w:r>
      <w:r w:rsidR="00851328" w:rsidRPr="000A2024">
        <w:rPr>
          <w:rFonts w:ascii="Arial" w:hAnsi="Arial" w:cs="Arial"/>
          <w:sz w:val="24"/>
          <w:szCs w:val="24"/>
        </w:rPr>
        <w:t xml:space="preserve">oría de los sistemas mundiales. </w:t>
      </w:r>
      <w:r w:rsidRPr="000A2024">
        <w:rPr>
          <w:rFonts w:ascii="Arial" w:hAnsi="Arial" w:cs="Arial"/>
          <w:sz w:val="24"/>
          <w:szCs w:val="24"/>
        </w:rPr>
        <w:t xml:space="preserve">Al final de la década de los sesentas se presentan nuevas condiciones en los países tercermundistas cuando los sistemas financieros y de intercambio perdieron influencia.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teoría de la dependencia presenta una deficiencia al intentar explicar las nuevas actividades y acontecimientos económ</w:t>
      </w:r>
      <w:r w:rsidR="00851328" w:rsidRPr="000A2024">
        <w:rPr>
          <w:rFonts w:ascii="Arial" w:hAnsi="Arial" w:cs="Arial"/>
          <w:sz w:val="24"/>
          <w:szCs w:val="24"/>
        </w:rPr>
        <w:t>icos, propiciado</w:t>
      </w:r>
      <w:r w:rsidRPr="000A2024">
        <w:rPr>
          <w:rFonts w:ascii="Arial" w:hAnsi="Arial" w:cs="Arial"/>
          <w:sz w:val="24"/>
          <w:szCs w:val="24"/>
        </w:rPr>
        <w:t>s por los recientes cambios de las condiciones económicas internacionales, los cuales fueron:</w:t>
      </w:r>
    </w:p>
    <w:p w:rsidR="00080599" w:rsidRPr="000A2024" w:rsidRDefault="00080599" w:rsidP="00080599">
      <w:pPr>
        <w:pStyle w:val="Prrafodelista"/>
        <w:numPr>
          <w:ilvl w:val="0"/>
          <w:numId w:val="17"/>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La dificultad de caracterizar la </w:t>
      </w:r>
      <w:r w:rsidR="006E3C52" w:rsidRPr="000A2024">
        <w:rPr>
          <w:rFonts w:ascii="Arial" w:hAnsi="Arial" w:cs="Arial"/>
          <w:sz w:val="24"/>
          <w:szCs w:val="24"/>
        </w:rPr>
        <w:t>continúa</w:t>
      </w:r>
      <w:r w:rsidRPr="000A2024">
        <w:rPr>
          <w:rFonts w:ascii="Arial" w:hAnsi="Arial" w:cs="Arial"/>
          <w:sz w:val="24"/>
          <w:szCs w:val="24"/>
        </w:rPr>
        <w:t xml:space="preserve"> alza de la tasa crecimiento de los países asiáticos como Japón, Taiwán, Corea del Sur, Hong Kong y Singapur como un “imperialismo manufacturero”.</w:t>
      </w:r>
    </w:p>
    <w:p w:rsidR="00080599" w:rsidRPr="000A2024" w:rsidRDefault="00080599" w:rsidP="00080599">
      <w:pPr>
        <w:pStyle w:val="Prrafodelista"/>
        <w:numPr>
          <w:ilvl w:val="0"/>
          <w:numId w:val="17"/>
        </w:numPr>
        <w:spacing w:after="120" w:line="360" w:lineRule="auto"/>
        <w:contextualSpacing w:val="0"/>
        <w:jc w:val="both"/>
        <w:rPr>
          <w:rFonts w:ascii="Arial" w:hAnsi="Arial" w:cs="Arial"/>
          <w:sz w:val="24"/>
          <w:szCs w:val="24"/>
        </w:rPr>
      </w:pPr>
      <w:r w:rsidRPr="000A2024">
        <w:rPr>
          <w:rFonts w:ascii="Arial" w:hAnsi="Arial" w:cs="Arial"/>
          <w:sz w:val="24"/>
          <w:szCs w:val="24"/>
        </w:rPr>
        <w:t>La caída del socialismo debido a la apertura del capitalismo a los estados socialistas, a la división de la china soviética, el fracaso de la revolución cultural, la pérdida del movimiento socialista fre</w:t>
      </w:r>
      <w:r w:rsidR="00851328" w:rsidRPr="000A2024">
        <w:rPr>
          <w:rFonts w:ascii="Arial" w:hAnsi="Arial" w:cs="Arial"/>
          <w:sz w:val="24"/>
          <w:szCs w:val="24"/>
        </w:rPr>
        <w:t>n</w:t>
      </w:r>
      <w:r w:rsidRPr="000A2024">
        <w:rPr>
          <w:rFonts w:ascii="Arial" w:hAnsi="Arial" w:cs="Arial"/>
          <w:sz w:val="24"/>
          <w:szCs w:val="24"/>
        </w:rPr>
        <w:t>te el capitalismo con la apertura gradual a las inversiones extranjeras.</w:t>
      </w:r>
    </w:p>
    <w:p w:rsidR="00851328" w:rsidRPr="000A2024" w:rsidRDefault="00080599" w:rsidP="00080599">
      <w:pPr>
        <w:pStyle w:val="Prrafodelista"/>
        <w:numPr>
          <w:ilvl w:val="0"/>
          <w:numId w:val="17"/>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La caída del imperio norteamericano. La crisis que presentó el capitalismo estadounidense desde la guerra de Vietnam hasta el abandono del patrón oro/dólar. </w:t>
      </w:r>
    </w:p>
    <w:p w:rsidR="00080599" w:rsidRPr="000A2024" w:rsidRDefault="00080599" w:rsidP="00851328">
      <w:pPr>
        <w:pStyle w:val="Prrafodelista"/>
        <w:spacing w:after="120" w:line="360" w:lineRule="auto"/>
        <w:contextualSpacing w:val="0"/>
        <w:jc w:val="both"/>
        <w:rPr>
          <w:rFonts w:ascii="Arial" w:hAnsi="Arial" w:cs="Arial"/>
          <w:sz w:val="24"/>
          <w:szCs w:val="24"/>
        </w:rPr>
      </w:pPr>
      <w:r w:rsidRPr="000A2024">
        <w:rPr>
          <w:rFonts w:ascii="Arial" w:hAnsi="Arial" w:cs="Arial"/>
          <w:sz w:val="24"/>
          <w:szCs w:val="24"/>
        </w:rPr>
        <w:t>El petróleo de 1973 a 1979 presento las mayores alzas junto con la inflación y el estancamiento económico propiciaron esta crisis.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Wallerstein (citado en Reyes, 2009), uno de los pensadores más importantes del campo teórico de la teoría de los Sistemas Mundiales, dice que el nivel de análisis que utiliza la teoría de la dependencia, los estados-nación, no es el adecuado para estudiar el desarrollo ya que factores como el nuevo sistema de comunicaciones mundiales, las nuevas políticas y mecanismos de comercio mundial, el sistema financiero internacional y la compartición de tecnología  propiciaron condiciones mundiales que son determinantes para los países en vías de desarrollo.</w:t>
      </w:r>
    </w:p>
    <w:p w:rsidR="00080599" w:rsidRPr="000A2024" w:rsidRDefault="00080599" w:rsidP="006E3C52">
      <w:pPr>
        <w:pStyle w:val="SubTema1"/>
        <w:spacing w:before="0" w:after="120"/>
        <w:rPr>
          <w:rFonts w:ascii="Arial" w:hAnsi="Arial" w:cs="Arial"/>
        </w:rPr>
      </w:pPr>
      <w:bookmarkStart w:id="14" w:name="_Toc450230489"/>
      <w:r w:rsidRPr="000A2024">
        <w:rPr>
          <w:rFonts w:ascii="Arial" w:hAnsi="Arial" w:cs="Arial"/>
        </w:rPr>
        <w:lastRenderedPageBreak/>
        <w:t>Teoría de la Globalización.</w:t>
      </w:r>
      <w:bookmarkEnd w:id="14"/>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Surge del mecan</w:t>
      </w:r>
      <w:r w:rsidR="005F2D90" w:rsidRPr="000A2024">
        <w:rPr>
          <w:rFonts w:ascii="Arial" w:hAnsi="Arial" w:cs="Arial"/>
          <w:sz w:val="24"/>
          <w:szCs w:val="24"/>
        </w:rPr>
        <w:t xml:space="preserve">ismo global el cual enfatiza </w:t>
      </w:r>
      <w:r w:rsidRPr="000A2024">
        <w:rPr>
          <w:rFonts w:ascii="Arial" w:hAnsi="Arial" w:cs="Arial"/>
          <w:sz w:val="24"/>
          <w:szCs w:val="24"/>
        </w:rPr>
        <w:t>las transacciones económicas internacionales. Esta teoría intenta explicar al desarrollo mediante las interacciones de los países en escala mundial en los aspectos culturales, económicos, financieros, tecnológicos y políticos, pero proporcionando mayor importancia a la comunicación en la creciente diversidad tecnológica para conectar personas a lo largo del globo.</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Condiciones para el desarrollo de la teoría de la Globalización.</w:t>
      </w:r>
    </w:p>
    <w:p w:rsidR="00080599" w:rsidRPr="000A2024" w:rsidRDefault="00080599" w:rsidP="00080599">
      <w:pPr>
        <w:pStyle w:val="Prrafodelista"/>
        <w:numPr>
          <w:ilvl w:val="0"/>
          <w:numId w:val="18"/>
        </w:numPr>
        <w:spacing w:after="120" w:line="360" w:lineRule="auto"/>
        <w:contextualSpacing w:val="0"/>
        <w:jc w:val="both"/>
        <w:rPr>
          <w:rFonts w:ascii="Arial" w:hAnsi="Arial" w:cs="Arial"/>
          <w:sz w:val="24"/>
          <w:szCs w:val="24"/>
        </w:rPr>
      </w:pPr>
      <w:r w:rsidRPr="000A2024">
        <w:rPr>
          <w:rFonts w:ascii="Arial" w:hAnsi="Arial" w:cs="Arial"/>
          <w:sz w:val="24"/>
          <w:szCs w:val="24"/>
        </w:rPr>
        <w:t>Reconoce la importancia del avance tecnológico en los ámbitos de la comunicación, la cual es fundamental ya que la comunicación a distancia permite a los países interactuar con mayor frecuencia y mayor flexibilidad. Además de los múltiples beneficios que presenta la comunicación a distancia desde los niveles poblacional y gubernamental.</w:t>
      </w:r>
    </w:p>
    <w:p w:rsidR="00080599" w:rsidRPr="000A2024" w:rsidRDefault="00080599" w:rsidP="00080599">
      <w:pPr>
        <w:pStyle w:val="Prrafodelista"/>
        <w:numPr>
          <w:ilvl w:val="0"/>
          <w:numId w:val="18"/>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La velocidad con que la tecnología avanza, </w:t>
      </w:r>
      <w:r w:rsidR="00536CD1" w:rsidRPr="000A2024">
        <w:rPr>
          <w:rFonts w:ascii="Arial" w:hAnsi="Arial" w:cs="Arial"/>
          <w:sz w:val="24"/>
          <w:szCs w:val="24"/>
        </w:rPr>
        <w:t>esta</w:t>
      </w:r>
      <w:r w:rsidRPr="000A2024">
        <w:rPr>
          <w:rFonts w:ascii="Arial" w:hAnsi="Arial" w:cs="Arial"/>
          <w:sz w:val="24"/>
          <w:szCs w:val="24"/>
        </w:rPr>
        <w:t xml:space="preserve"> alcanza a los diversos sectores marginados permitiendo a estos grupos comunicarse.</w:t>
      </w:r>
    </w:p>
    <w:p w:rsidR="00080599" w:rsidRPr="000A2024" w:rsidRDefault="00080599" w:rsidP="00080599">
      <w:pPr>
        <w:pStyle w:val="Prrafodelista"/>
        <w:numPr>
          <w:ilvl w:val="0"/>
          <w:numId w:val="18"/>
        </w:numPr>
        <w:spacing w:after="120" w:line="360" w:lineRule="auto"/>
        <w:contextualSpacing w:val="0"/>
        <w:jc w:val="both"/>
        <w:rPr>
          <w:rFonts w:ascii="Arial" w:hAnsi="Arial" w:cs="Arial"/>
          <w:sz w:val="24"/>
          <w:szCs w:val="24"/>
        </w:rPr>
      </w:pPr>
      <w:r w:rsidRPr="000A2024">
        <w:rPr>
          <w:rFonts w:ascii="Arial" w:hAnsi="Arial" w:cs="Arial"/>
          <w:sz w:val="24"/>
          <w:szCs w:val="24"/>
        </w:rPr>
        <w:t>El avance en los medios de conectividad y de comunicación han implicado las reestructuraciones económicas, sociales y culturales de las naciones permitiendo desde el ámbito económico crear nuevas oportunidades para maximizar recursos, mejorar el intercambio de artículos y aprovechar mejor los insumos.</w:t>
      </w:r>
    </w:p>
    <w:p w:rsidR="00080599" w:rsidRPr="000A2024" w:rsidRDefault="00D2193B" w:rsidP="00080599">
      <w:pPr>
        <w:pStyle w:val="Prrafodelista"/>
        <w:numPr>
          <w:ilvl w:val="0"/>
          <w:numId w:val="18"/>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La cultura </w:t>
      </w:r>
      <w:r w:rsidR="00080599" w:rsidRPr="000A2024">
        <w:rPr>
          <w:rFonts w:ascii="Arial" w:hAnsi="Arial" w:cs="Arial"/>
          <w:sz w:val="24"/>
          <w:szCs w:val="24"/>
        </w:rPr>
        <w:t>de una sociedad será quien defina la estructura social y económica de la misma y las condiciones sociales serán las pautas creadas por los factores culturales y económicos que rigen el país.</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Factores que determinan la teoría de la Globalización.</w:t>
      </w:r>
    </w:p>
    <w:p w:rsidR="00080599" w:rsidRPr="000A2024" w:rsidRDefault="00080599" w:rsidP="00080599">
      <w:pPr>
        <w:pStyle w:val="Prrafodelista"/>
        <w:numPr>
          <w:ilvl w:val="0"/>
          <w:numId w:val="19"/>
        </w:numPr>
        <w:spacing w:after="120" w:line="360" w:lineRule="auto"/>
        <w:contextualSpacing w:val="0"/>
        <w:jc w:val="both"/>
        <w:rPr>
          <w:rFonts w:ascii="Arial" w:hAnsi="Arial" w:cs="Arial"/>
          <w:sz w:val="24"/>
          <w:szCs w:val="24"/>
        </w:rPr>
      </w:pPr>
      <w:r w:rsidRPr="000A2024">
        <w:rPr>
          <w:rFonts w:ascii="Arial" w:hAnsi="Arial" w:cs="Arial"/>
          <w:sz w:val="24"/>
          <w:szCs w:val="24"/>
        </w:rPr>
        <w:t>La cultura y sus factores son los determinantes de las sociedades afectadas por la globalización.</w:t>
      </w:r>
    </w:p>
    <w:p w:rsidR="00080599" w:rsidRPr="000A2024" w:rsidRDefault="00080599" w:rsidP="00080599">
      <w:pPr>
        <w:pStyle w:val="Prrafodelista"/>
        <w:numPr>
          <w:ilvl w:val="0"/>
          <w:numId w:val="19"/>
        </w:numPr>
        <w:spacing w:after="120" w:line="360" w:lineRule="auto"/>
        <w:contextualSpacing w:val="0"/>
        <w:jc w:val="both"/>
        <w:rPr>
          <w:rFonts w:ascii="Arial" w:hAnsi="Arial" w:cs="Arial"/>
          <w:sz w:val="24"/>
          <w:szCs w:val="24"/>
        </w:rPr>
      </w:pPr>
      <w:r w:rsidRPr="000A2024">
        <w:rPr>
          <w:rFonts w:ascii="Arial" w:hAnsi="Arial" w:cs="Arial"/>
          <w:sz w:val="24"/>
          <w:szCs w:val="24"/>
        </w:rPr>
        <w:t>Debido a la conectividad y comunicación global que permite reducir el umbral entre cada país</w:t>
      </w:r>
      <w:r w:rsidR="00D2193B" w:rsidRPr="000A2024">
        <w:rPr>
          <w:rFonts w:ascii="Arial" w:hAnsi="Arial" w:cs="Arial"/>
          <w:sz w:val="24"/>
          <w:szCs w:val="24"/>
        </w:rPr>
        <w:t>,</w:t>
      </w:r>
      <w:r w:rsidRPr="000A2024">
        <w:rPr>
          <w:rFonts w:ascii="Arial" w:hAnsi="Arial" w:cs="Arial"/>
          <w:sz w:val="24"/>
          <w:szCs w:val="24"/>
        </w:rPr>
        <w:t xml:space="preserve"> y que además crea vínculos intangibles también, la unidad de estudio ha de modificarse. En lugar de estudiar a las naciones-países se </w:t>
      </w:r>
      <w:r w:rsidRPr="000A2024">
        <w:rPr>
          <w:rFonts w:ascii="Arial" w:hAnsi="Arial" w:cs="Arial"/>
          <w:sz w:val="24"/>
          <w:szCs w:val="24"/>
        </w:rPr>
        <w:lastRenderedPageBreak/>
        <w:t>deberá estudiar tomando en cuenta una perspectiva global al determinar los sistemas y subsistemas globales como unidades de análisis.</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Similitudes entre la teoría de la Modernización y la teoría de la Globalización.</w:t>
      </w:r>
    </w:p>
    <w:p w:rsidR="00080599" w:rsidRPr="000A2024" w:rsidRDefault="00080599" w:rsidP="00080599">
      <w:pPr>
        <w:pStyle w:val="Prrafodelista"/>
        <w:numPr>
          <w:ilvl w:val="0"/>
          <w:numId w:val="20"/>
        </w:numPr>
        <w:spacing w:after="120" w:line="360" w:lineRule="auto"/>
        <w:contextualSpacing w:val="0"/>
        <w:jc w:val="both"/>
        <w:rPr>
          <w:rFonts w:ascii="Arial" w:hAnsi="Arial" w:cs="Arial"/>
          <w:sz w:val="24"/>
          <w:szCs w:val="24"/>
        </w:rPr>
      </w:pPr>
      <w:r w:rsidRPr="000A2024">
        <w:rPr>
          <w:rFonts w:ascii="Arial" w:hAnsi="Arial" w:cs="Arial"/>
          <w:sz w:val="24"/>
          <w:szCs w:val="24"/>
        </w:rPr>
        <w:t>El desarrollo se encuentra encaminado hacia el emprendimiento de los Estados Unidos de Norteamérica y Europa.</w:t>
      </w:r>
    </w:p>
    <w:p w:rsidR="00080599" w:rsidRPr="000A2024" w:rsidRDefault="00080599" w:rsidP="00080599">
      <w:pPr>
        <w:pStyle w:val="Prrafodelista"/>
        <w:numPr>
          <w:ilvl w:val="0"/>
          <w:numId w:val="20"/>
        </w:numPr>
        <w:spacing w:after="120" w:line="360" w:lineRule="auto"/>
        <w:contextualSpacing w:val="0"/>
        <w:jc w:val="both"/>
        <w:rPr>
          <w:rFonts w:ascii="Arial" w:hAnsi="Arial" w:cs="Arial"/>
          <w:sz w:val="24"/>
          <w:szCs w:val="24"/>
        </w:rPr>
      </w:pPr>
      <w:r w:rsidRPr="000A2024">
        <w:rPr>
          <w:rFonts w:ascii="Arial" w:hAnsi="Arial" w:cs="Arial"/>
          <w:sz w:val="24"/>
          <w:szCs w:val="24"/>
        </w:rPr>
        <w:t>Las regiones desarrolladas son quienes se encargan de proporcionar las herramientas y la comunicación para mejorar los estándares de vida.</w:t>
      </w:r>
    </w:p>
    <w:p w:rsidR="00080599" w:rsidRPr="000A2024" w:rsidRDefault="00080599" w:rsidP="00080599">
      <w:pPr>
        <w:pStyle w:val="Prrafodelista"/>
        <w:numPr>
          <w:ilvl w:val="0"/>
          <w:numId w:val="20"/>
        </w:numPr>
        <w:spacing w:after="120" w:line="360" w:lineRule="auto"/>
        <w:contextualSpacing w:val="0"/>
        <w:jc w:val="both"/>
        <w:rPr>
          <w:rFonts w:ascii="Arial" w:hAnsi="Arial" w:cs="Arial"/>
          <w:sz w:val="24"/>
          <w:szCs w:val="24"/>
        </w:rPr>
      </w:pPr>
      <w:r w:rsidRPr="000A2024">
        <w:rPr>
          <w:rFonts w:ascii="Arial" w:hAnsi="Arial" w:cs="Arial"/>
          <w:sz w:val="24"/>
          <w:szCs w:val="24"/>
        </w:rPr>
        <w:t>Ambas teorías poseen planteamientos con un carácter etnocéntrico.</w:t>
      </w:r>
    </w:p>
    <w:p w:rsidR="00080599" w:rsidRPr="000A2024" w:rsidRDefault="00080599" w:rsidP="00080599">
      <w:pPr>
        <w:pStyle w:val="Prrafodelista"/>
        <w:numPr>
          <w:ilvl w:val="0"/>
          <w:numId w:val="20"/>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Ambas teorías consideran a Estados Unidos </w:t>
      </w:r>
      <w:r w:rsidR="00D2193B" w:rsidRPr="000A2024">
        <w:rPr>
          <w:rFonts w:ascii="Arial" w:hAnsi="Arial" w:cs="Arial"/>
          <w:sz w:val="24"/>
          <w:szCs w:val="24"/>
        </w:rPr>
        <w:t xml:space="preserve">y </w:t>
      </w:r>
      <w:r w:rsidRPr="000A2024">
        <w:rPr>
          <w:rFonts w:ascii="Arial" w:hAnsi="Arial" w:cs="Arial"/>
          <w:sz w:val="24"/>
          <w:szCs w:val="24"/>
        </w:rPr>
        <w:t>a la Europa oriental como modelos a seguir para alcanzar el desarrollo.</w:t>
      </w:r>
    </w:p>
    <w:p w:rsidR="00080599" w:rsidRPr="000A2024" w:rsidRDefault="00080599" w:rsidP="00080599">
      <w:pPr>
        <w:pStyle w:val="Prrafodelista"/>
        <w:numPr>
          <w:ilvl w:val="0"/>
          <w:numId w:val="20"/>
        </w:numPr>
        <w:spacing w:after="120" w:line="360" w:lineRule="auto"/>
        <w:contextualSpacing w:val="0"/>
        <w:jc w:val="both"/>
        <w:rPr>
          <w:rFonts w:ascii="Arial" w:hAnsi="Arial" w:cs="Arial"/>
          <w:sz w:val="24"/>
          <w:szCs w:val="24"/>
        </w:rPr>
      </w:pPr>
      <w:r w:rsidRPr="000A2024">
        <w:rPr>
          <w:rFonts w:ascii="Arial" w:hAnsi="Arial" w:cs="Arial"/>
          <w:sz w:val="24"/>
          <w:szCs w:val="24"/>
        </w:rPr>
        <w:t>Reyes menciona una última similitud la cual es que ambas teorías toman en cuenta los cambios económicos en la estructura y relaciones mundiales:</w:t>
      </w:r>
    </w:p>
    <w:p w:rsidR="00080599" w:rsidRPr="000A2024" w:rsidRDefault="00080599" w:rsidP="00080599">
      <w:pPr>
        <w:pStyle w:val="Prrafodelista"/>
        <w:numPr>
          <w:ilvl w:val="2"/>
          <w:numId w:val="20"/>
        </w:numPr>
        <w:spacing w:after="120" w:line="360" w:lineRule="auto"/>
        <w:contextualSpacing w:val="0"/>
        <w:jc w:val="both"/>
        <w:rPr>
          <w:rFonts w:ascii="Arial" w:hAnsi="Arial" w:cs="Arial"/>
          <w:sz w:val="24"/>
          <w:szCs w:val="24"/>
        </w:rPr>
      </w:pPr>
      <w:r w:rsidRPr="000A2024">
        <w:rPr>
          <w:rFonts w:ascii="Arial" w:hAnsi="Arial" w:cs="Arial"/>
          <w:sz w:val="24"/>
          <w:szCs w:val="24"/>
        </w:rPr>
        <w:t>En la década de los setentas los mercados comerciales basaron sus estrategias por medio de especulación en el valor futuro de sus productos.</w:t>
      </w:r>
    </w:p>
    <w:p w:rsidR="00080599" w:rsidRPr="000A2024" w:rsidRDefault="00080599" w:rsidP="00080599">
      <w:pPr>
        <w:pStyle w:val="Prrafodelista"/>
        <w:numPr>
          <w:ilvl w:val="2"/>
          <w:numId w:val="20"/>
        </w:numPr>
        <w:spacing w:after="120" w:line="360" w:lineRule="auto"/>
        <w:contextualSpacing w:val="0"/>
        <w:jc w:val="both"/>
        <w:rPr>
          <w:rFonts w:ascii="Arial" w:hAnsi="Arial" w:cs="Arial"/>
          <w:sz w:val="24"/>
          <w:szCs w:val="24"/>
        </w:rPr>
      </w:pPr>
      <w:r w:rsidRPr="000A2024">
        <w:rPr>
          <w:rFonts w:ascii="Arial" w:hAnsi="Arial" w:cs="Arial"/>
          <w:sz w:val="24"/>
          <w:szCs w:val="24"/>
        </w:rPr>
        <w:t>La revolución de los computadores en la década de los ochenta permitió realizar cálculos y transacciones con valores del tipo de cambio y de inversiones.</w:t>
      </w:r>
    </w:p>
    <w:p w:rsidR="00080599" w:rsidRPr="000A2024" w:rsidRDefault="00080599" w:rsidP="00080599">
      <w:pPr>
        <w:pStyle w:val="Prrafodelista"/>
        <w:numPr>
          <w:ilvl w:val="2"/>
          <w:numId w:val="20"/>
        </w:numPr>
        <w:spacing w:after="120" w:line="360" w:lineRule="auto"/>
        <w:contextualSpacing w:val="0"/>
        <w:jc w:val="both"/>
        <w:rPr>
          <w:rFonts w:ascii="Arial" w:hAnsi="Arial" w:cs="Arial"/>
          <w:sz w:val="24"/>
          <w:szCs w:val="24"/>
        </w:rPr>
      </w:pPr>
      <w:r w:rsidRPr="000A2024">
        <w:rPr>
          <w:rFonts w:ascii="Arial" w:hAnsi="Arial" w:cs="Arial"/>
          <w:sz w:val="24"/>
          <w:szCs w:val="24"/>
        </w:rPr>
        <w:t>El internet en la década de los noventas incrementó el uso de la economía virtual en diversos mercados específicos.</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Diferencias entre la teoría de la Modernización y la teoría de la Globalización.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posición de la teoría de la Modernización, según Reyes, es más normativa ya que procura resolver el problema del desarrollo mientras que la Globalización sólo se mantiene en una postura positiva.</w:t>
      </w:r>
    </w:p>
    <w:p w:rsidR="00080599" w:rsidRPr="006E3C52" w:rsidRDefault="00080599" w:rsidP="006E3C52">
      <w:pPr>
        <w:pStyle w:val="SubTema4"/>
        <w:spacing w:before="0" w:after="120"/>
        <w:rPr>
          <w:rFonts w:ascii="Arial" w:hAnsi="Arial" w:cs="Arial"/>
          <w:b w:val="0"/>
          <w:i w:val="0"/>
        </w:rPr>
      </w:pPr>
      <w:r w:rsidRPr="006E3C52">
        <w:rPr>
          <w:rFonts w:ascii="Arial" w:hAnsi="Arial" w:cs="Arial"/>
          <w:b w:val="0"/>
          <w:i w:val="0"/>
        </w:rPr>
        <w:t>Diferencias entre la teoría de los Sistemas Globales y la teoría de la Globalización.</w:t>
      </w:r>
    </w:p>
    <w:p w:rsidR="00080599" w:rsidRPr="000A2024" w:rsidRDefault="00080599" w:rsidP="00080599">
      <w:pPr>
        <w:pStyle w:val="Prrafodelista"/>
        <w:numPr>
          <w:ilvl w:val="0"/>
          <w:numId w:val="21"/>
        </w:numPr>
        <w:spacing w:after="120" w:line="360" w:lineRule="auto"/>
        <w:contextualSpacing w:val="0"/>
        <w:jc w:val="both"/>
        <w:rPr>
          <w:rFonts w:ascii="Arial" w:hAnsi="Arial" w:cs="Arial"/>
          <w:sz w:val="24"/>
          <w:szCs w:val="24"/>
        </w:rPr>
      </w:pPr>
      <w:r w:rsidRPr="000A2024">
        <w:rPr>
          <w:rFonts w:ascii="Arial" w:hAnsi="Arial" w:cs="Arial"/>
          <w:sz w:val="24"/>
          <w:szCs w:val="24"/>
        </w:rPr>
        <w:t>La Base de la teoría de los Sistemas Globales contiene ciertos elementos neo-marxistas mientras que la teoría de la Globalización es fundamentada por medio del movimiento social estructural-funcionalista.</w:t>
      </w:r>
    </w:p>
    <w:p w:rsidR="00080599" w:rsidRPr="006E3C52" w:rsidRDefault="00080599" w:rsidP="006E3C52">
      <w:pPr>
        <w:pStyle w:val="Prrafodelista"/>
        <w:numPr>
          <w:ilvl w:val="0"/>
          <w:numId w:val="21"/>
        </w:numPr>
        <w:spacing w:after="240" w:line="360" w:lineRule="auto"/>
        <w:ind w:left="360"/>
        <w:contextualSpacing w:val="0"/>
        <w:jc w:val="both"/>
        <w:rPr>
          <w:rFonts w:ascii="Arial" w:hAnsi="Arial" w:cs="Arial"/>
          <w:b/>
          <w:sz w:val="24"/>
          <w:szCs w:val="24"/>
        </w:rPr>
      </w:pPr>
      <w:r w:rsidRPr="006E3C52">
        <w:rPr>
          <w:rFonts w:ascii="Arial" w:hAnsi="Arial" w:cs="Arial"/>
          <w:sz w:val="24"/>
          <w:szCs w:val="24"/>
        </w:rPr>
        <w:lastRenderedPageBreak/>
        <w:t>La Globalización tiene más hacia una transición gradual que a una transformación revolucionaria, afirma Reyes.</w:t>
      </w:r>
    </w:p>
    <w:p w:rsidR="00080599" w:rsidRPr="000A2024" w:rsidRDefault="00080599" w:rsidP="006E3C52">
      <w:pPr>
        <w:pStyle w:val="SubTema"/>
        <w:spacing w:before="0" w:after="120"/>
        <w:rPr>
          <w:rFonts w:ascii="Arial" w:hAnsi="Arial" w:cs="Arial"/>
        </w:rPr>
      </w:pPr>
      <w:bookmarkStart w:id="15" w:name="_Toc450230490"/>
      <w:r w:rsidRPr="000A2024">
        <w:rPr>
          <w:rFonts w:ascii="Arial" w:hAnsi="Arial" w:cs="Arial"/>
        </w:rPr>
        <w:t>Antecedentes históricos de América Latina del desarrollo y el crecimiento.</w:t>
      </w:r>
      <w:bookmarkEnd w:id="15"/>
    </w:p>
    <w:tbl>
      <w:tblPr>
        <w:tblStyle w:val="Tablaconcuadrcula"/>
        <w:tblW w:w="9180" w:type="dxa"/>
        <w:tblLook w:val="04A0" w:firstRow="1" w:lastRow="0" w:firstColumn="1" w:lastColumn="0" w:noHBand="0" w:noVBand="1"/>
      </w:tblPr>
      <w:tblGrid>
        <w:gridCol w:w="1101"/>
        <w:gridCol w:w="8079"/>
      </w:tblGrid>
      <w:tr w:rsidR="00080599" w:rsidRPr="000A2024" w:rsidTr="00C009E2">
        <w:tc>
          <w:tcPr>
            <w:tcW w:w="1101"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Década</w:t>
            </w:r>
          </w:p>
        </w:tc>
        <w:tc>
          <w:tcPr>
            <w:tcW w:w="8079"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Antecedente</w:t>
            </w:r>
          </w:p>
        </w:tc>
      </w:tr>
      <w:tr w:rsidR="00080599" w:rsidRPr="000A2024" w:rsidTr="00C009E2">
        <w:tc>
          <w:tcPr>
            <w:tcW w:w="1101"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1960</w:t>
            </w:r>
          </w:p>
        </w:tc>
        <w:tc>
          <w:tcPr>
            <w:tcW w:w="8079"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Reyes (2009) México cambia relativamente su estructura de exportación a petróleo e industria, Ecuador a petróleo y Brasil y Haití a industria.</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América latina presenta crecimiento económico.</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 asocia a la estabilidad con el patrón de libre mercado y de una moneda sólida.</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Existe evidencia de inflación.</w:t>
            </w:r>
          </w:p>
        </w:tc>
      </w:tr>
      <w:tr w:rsidR="00080599" w:rsidRPr="000A2024" w:rsidTr="00C009E2">
        <w:tc>
          <w:tcPr>
            <w:tcW w:w="1101"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1970</w:t>
            </w:r>
          </w:p>
        </w:tc>
        <w:tc>
          <w:tcPr>
            <w:tcW w:w="8079"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 En 1974 los coeficientes de crecimiento se vuelven volátiles debido al alza del petróleo y a las políticas cambiarias con pocas limitaciones sobre las importaciones.</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países que no tenían la capacidad de exportar petróleo se vieron obligados a financiamiento extranjero que era posible debido a la alta liquidez del sistema financiero internacional. Esto propició problemas con la deuda externa y crisis durante los ochenta, sin embargo, durante </w:t>
            </w:r>
            <w:r w:rsidR="00536CD1" w:rsidRPr="000A2024">
              <w:rPr>
                <w:rFonts w:ascii="Arial" w:hAnsi="Arial" w:cs="Arial"/>
                <w:sz w:val="24"/>
                <w:szCs w:val="24"/>
              </w:rPr>
              <w:t>esta</w:t>
            </w:r>
            <w:r w:rsidRPr="000A2024">
              <w:rPr>
                <w:rFonts w:ascii="Arial" w:hAnsi="Arial" w:cs="Arial"/>
                <w:sz w:val="24"/>
                <w:szCs w:val="24"/>
              </w:rPr>
              <w:t xml:space="preserve"> década se sostuvo un crecimiento económico.</w:t>
            </w:r>
          </w:p>
        </w:tc>
      </w:tr>
      <w:tr w:rsidR="00080599" w:rsidRPr="000A2024" w:rsidTr="00C009E2">
        <w:tc>
          <w:tcPr>
            <w:tcW w:w="1101"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1980</w:t>
            </w:r>
          </w:p>
        </w:tc>
        <w:tc>
          <w:tcPr>
            <w:tcW w:w="8079"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Crisis económica. El factor más relevante es el pago de la deuda externa.</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Aumento del porcentaje de hogares bajo pobreza.</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exportaciones se vuelven el motor principal de recuperación de las economías.</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 establece el proceso importación de inflación como un efecto de la dependencia de las economías latinas de la importación de insumos de otros países lo que propició la devaluación de sus monedas.</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A finales de los ochenta existe un moderado crecimiento en la actividad económica, el déficit de los gobiernos presenta disminuciones, se presenta una relativa disminución del desempleo, así como una recuperación de la inversión.</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políticas liberales y reformas del mercado con pocas limitaciones en las importaciones ocasionaron aumento de los niveles de desempleo. Las aperturas al mercado extranjero ocasionaron despidos al no poder con la competencia.</w:t>
            </w:r>
          </w:p>
        </w:tc>
      </w:tr>
      <w:tr w:rsidR="00080599" w:rsidRPr="000A2024" w:rsidTr="00C009E2">
        <w:tc>
          <w:tcPr>
            <w:tcW w:w="1101"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1990</w:t>
            </w:r>
          </w:p>
        </w:tc>
        <w:tc>
          <w:tcPr>
            <w:tcW w:w="8079" w:type="dxa"/>
          </w:tcPr>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Solamente Uruguay y Colombia disminuyen relativamente el grado de inequidad en términos de los mercados de trabajo, el resto de América Latina continuo igual o empeoró.</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Únicamente Chile y Uruguay logran estabilidad y una mejora en la disminución de la pobreza.</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condiciones económicas determinan la capacidad de atracción de las inversiones.</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nuevas reformas fiscales de los mercados laborales, el aumento del uso del capital foráneo y la liberación del comercio tuvieron los siguientes efectos:</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Afectaron directamente al salario mínimo disminuyéndolo en la gran mayoría de los países latinos. Sólo unos casos como Chile aumentaron en medida del crecimiento económico.</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 refuerza el desempleo y el subempleo. Se expande la economía marginal urbana y el sector de empleo informal.</w:t>
            </w:r>
          </w:p>
          <w:p w:rsidR="00080599" w:rsidRPr="000A2024" w:rsidRDefault="00080599" w:rsidP="00C009E2">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Aumentó la riqueza de los dos deciles de mayor ingreso, sectores capitalistas y empresariales, de la población quienes obtuvieron beneficios de las nuevas condiciones económicas.</w:t>
            </w:r>
          </w:p>
        </w:tc>
      </w:tr>
    </w:tbl>
    <w:p w:rsidR="00080599" w:rsidRPr="006E3C52" w:rsidRDefault="00080599" w:rsidP="006E3C52">
      <w:pPr>
        <w:spacing w:after="240"/>
        <w:rPr>
          <w:rFonts w:ascii="Arial" w:hAnsi="Arial" w:cs="Arial"/>
          <w:sz w:val="24"/>
          <w:szCs w:val="24"/>
        </w:rPr>
      </w:pPr>
      <w:r w:rsidRPr="006E3C52">
        <w:rPr>
          <w:rFonts w:ascii="Arial" w:hAnsi="Arial" w:cs="Arial"/>
          <w:sz w:val="24"/>
          <w:szCs w:val="24"/>
        </w:rPr>
        <w:t xml:space="preserve">Cuadro 1. Línea del tiempo de los esfuerzos de los países latinos por alcanzar el desarrollo autosustentable. Fuente: “Principales teorías sobre desarrollo </w:t>
      </w:r>
      <w:r w:rsidRPr="006E3C52">
        <w:rPr>
          <w:rFonts w:ascii="Arial" w:hAnsi="Arial" w:cs="Arial"/>
          <w:sz w:val="24"/>
          <w:szCs w:val="24"/>
        </w:rPr>
        <w:lastRenderedPageBreak/>
        <w:t>económico y social y su aplicación en América Latina y el Caribe.” Giovanni E. Reyes, febrero de 2002.</w:t>
      </w:r>
    </w:p>
    <w:p w:rsidR="00080599" w:rsidRPr="000A2024" w:rsidRDefault="00080599" w:rsidP="006E3C52">
      <w:pPr>
        <w:pStyle w:val="SubTema"/>
        <w:spacing w:before="0" w:after="120"/>
        <w:rPr>
          <w:rFonts w:ascii="Arial" w:hAnsi="Arial" w:cs="Arial"/>
        </w:rPr>
      </w:pPr>
      <w:bookmarkStart w:id="16" w:name="_Toc450230491"/>
      <w:r w:rsidRPr="000A2024">
        <w:rPr>
          <w:rFonts w:ascii="Arial" w:hAnsi="Arial" w:cs="Arial"/>
        </w:rPr>
        <w:t>Desarrollo sostenible.</w:t>
      </w:r>
      <w:bookmarkEnd w:id="16"/>
    </w:p>
    <w:p w:rsidR="00F30CCD"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En el Informe Brudlant (citado en González Arenciba, 2006), llamado </w:t>
      </w:r>
      <w:r w:rsidRPr="000A2024">
        <w:rPr>
          <w:rFonts w:ascii="Arial" w:hAnsi="Arial" w:cs="Arial"/>
          <w:i/>
          <w:sz w:val="24"/>
          <w:szCs w:val="24"/>
        </w:rPr>
        <w:t>Nuestro Futuro Común</w:t>
      </w:r>
      <w:r w:rsidRPr="000A2024">
        <w:rPr>
          <w:rFonts w:ascii="Arial" w:hAnsi="Arial" w:cs="Arial"/>
          <w:sz w:val="24"/>
          <w:szCs w:val="24"/>
        </w:rPr>
        <w:t xml:space="preserve"> </w:t>
      </w:r>
      <w:r w:rsidR="00F30CCD" w:rsidRPr="000A2024">
        <w:rPr>
          <w:rFonts w:ascii="Arial" w:hAnsi="Arial" w:cs="Arial"/>
          <w:sz w:val="24"/>
          <w:szCs w:val="24"/>
        </w:rPr>
        <w:t>que fue un</w:t>
      </w:r>
      <w:r w:rsidRPr="000A2024">
        <w:rPr>
          <w:rFonts w:ascii="Arial" w:hAnsi="Arial" w:cs="Arial"/>
          <w:sz w:val="24"/>
          <w:szCs w:val="24"/>
        </w:rPr>
        <w:t xml:space="preserve"> trabajo presentado por la Comisión sobre Medio Ambiente y Desarrollo, se presenta una concepción bastante interesante sobre el crecimiento económico y desarrollo.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 afirma que el crecimiento de un país es una condición necesaria para el desarrollo, pero se llega a la conclusión que no es suficiente para lograr un desarrollo.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pobreza como tal y los problemas que propicia son presentados como la causa de un subdesarrollo debido a sus repercusiones de las necesidades básicas como salud, nutrición, vivienda y además añade, como “estilo de desarrollo sostenible”, otras variables de carácter ecológico que resalta como fuentes de energías renovables y la innovación tecnológica.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informe pretende dar conciencia de nuestros actos individuales y su repercusión como sociedad y exhorta a recapacitar de ellos para así no comprometer las capacidades de las futuras necesidades.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desarrollo sostenible tal y como lo define el Informe Brudlant</w:t>
      </w:r>
      <w:r w:rsidR="005C2CA4">
        <w:rPr>
          <w:rFonts w:ascii="Arial" w:hAnsi="Arial" w:cs="Arial"/>
          <w:sz w:val="24"/>
          <w:szCs w:val="24"/>
        </w:rPr>
        <w:t xml:space="preserve"> (2006)</w:t>
      </w:r>
      <w:r w:rsidRPr="000A2024">
        <w:rPr>
          <w:rFonts w:ascii="Arial" w:hAnsi="Arial" w:cs="Arial"/>
          <w:sz w:val="24"/>
          <w:szCs w:val="24"/>
        </w:rPr>
        <w:t xml:space="preserve"> es aquel que no solamente requiere que cada individuo de la sociedad pueda gozar de una gama de posibilidades para recrearse y lograrse como seres humanos sino también, contempla a las futuras generaciones que están por nacer para que estas también gocen de las mismas posibilidades con sus respectivas capacidades.</w:t>
      </w:r>
    </w:p>
    <w:p w:rsidR="00AB282A"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Comisión sobre Medio Ambiente y Desarrollo propone un grupo de sujetos a los cuales llama </w:t>
      </w:r>
      <w:r w:rsidRPr="000A2024">
        <w:rPr>
          <w:rFonts w:ascii="Arial" w:hAnsi="Arial" w:cs="Arial"/>
          <w:i/>
          <w:sz w:val="24"/>
          <w:szCs w:val="24"/>
        </w:rPr>
        <w:t>humanity</w:t>
      </w:r>
      <w:r w:rsidRPr="000A2024">
        <w:rPr>
          <w:rFonts w:ascii="Arial" w:hAnsi="Arial" w:cs="Arial"/>
          <w:sz w:val="24"/>
          <w:szCs w:val="24"/>
        </w:rPr>
        <w:t xml:space="preserve"> pero González Arencibia dice que el informe no posee “sujetos transformadores de la realidad” por lo que el informe presenta un tipo de desarrollo que no depende de nadie, lo cual provoca dificultades para describir el desafío que se plantea, entre otros detalles.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Es un error decidir cuáles servicios o bienes básicos de hoy en día serán requeridos por las futuras generaciones.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vertiginosidad de un mundo cambiante obliga a las personas a estar conectadas e informadas y el internet permite esto, quien no lo tiene se ve obligado a buscar otros medios que sugieren mayor gasto.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internet no era una necesidad básica en la década de los noventas y si desde ese entonces se hubiesen identificado las necesidades básicas de futuras generaciones estas contarían con un bien tan necesitado como el internet.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informe supone que el presente necesita prevenir las nuevas generaciones y quizá solo desde el ámbito ecológico se puede llegar a esta sentencia con concordancia.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informe no contempla los modelos tradicionales de desarrollo económico, como por ejemplo los costos que implicarían la implementación de sus estrategias en un contexto mundial, pero introduce al medio ambiente como una variable que es importante en la relación que posee con el desarrollo.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No propone un método práctico que saque del sentido abstracto a su modelo, pero sí existen algunas propuestas que deben ser tomadas en cuenta para las futuras teorías de desarrollo como, por ejemplo:</w:t>
      </w:r>
    </w:p>
    <w:p w:rsidR="00080599" w:rsidRPr="000A2024" w:rsidRDefault="00080599" w:rsidP="00080599">
      <w:pPr>
        <w:pStyle w:val="Prrafodelista"/>
        <w:numPr>
          <w:ilvl w:val="0"/>
          <w:numId w:val="22"/>
        </w:numPr>
        <w:spacing w:after="120" w:line="360" w:lineRule="auto"/>
        <w:contextualSpacing w:val="0"/>
        <w:jc w:val="both"/>
        <w:rPr>
          <w:rFonts w:ascii="Arial" w:hAnsi="Arial" w:cs="Arial"/>
          <w:sz w:val="24"/>
          <w:szCs w:val="24"/>
        </w:rPr>
      </w:pPr>
      <w:r w:rsidRPr="000A2024">
        <w:rPr>
          <w:rFonts w:ascii="Arial" w:hAnsi="Arial" w:cs="Arial"/>
          <w:sz w:val="24"/>
          <w:szCs w:val="24"/>
        </w:rPr>
        <w:t>Como ya lo había dicho, el medio ambiente es una nueva variable a contemplar y este modelo comprende la interrelación que existe entre los individuos, las sociedades y su medio ambiente.</w:t>
      </w:r>
    </w:p>
    <w:p w:rsidR="00080599" w:rsidRPr="000A2024" w:rsidRDefault="00080599" w:rsidP="00080599">
      <w:pPr>
        <w:pStyle w:val="Prrafodelista"/>
        <w:numPr>
          <w:ilvl w:val="0"/>
          <w:numId w:val="22"/>
        </w:numPr>
        <w:spacing w:after="120" w:line="360" w:lineRule="auto"/>
        <w:contextualSpacing w:val="0"/>
        <w:jc w:val="both"/>
        <w:rPr>
          <w:rFonts w:ascii="Arial" w:hAnsi="Arial" w:cs="Arial"/>
          <w:sz w:val="24"/>
          <w:szCs w:val="24"/>
        </w:rPr>
      </w:pPr>
      <w:r w:rsidRPr="000A2024">
        <w:rPr>
          <w:rFonts w:ascii="Arial" w:hAnsi="Arial" w:cs="Arial"/>
          <w:sz w:val="24"/>
          <w:szCs w:val="24"/>
        </w:rPr>
        <w:t>A pesar de que este modelo carezca de demostraciones y presente un alto nivel de abstrac</w:t>
      </w:r>
      <w:r w:rsidR="00AB282A" w:rsidRPr="000A2024">
        <w:rPr>
          <w:rFonts w:ascii="Arial" w:hAnsi="Arial" w:cs="Arial"/>
          <w:sz w:val="24"/>
          <w:szCs w:val="24"/>
        </w:rPr>
        <w:t>ción en sus supuestos</w:t>
      </w:r>
      <w:r w:rsidRPr="000A2024">
        <w:rPr>
          <w:rFonts w:ascii="Arial" w:hAnsi="Arial" w:cs="Arial"/>
          <w:sz w:val="24"/>
          <w:szCs w:val="24"/>
        </w:rPr>
        <w:t xml:space="preserve"> propone, según González Arencibia, desafiar a los modelos simplistas que los saberes convencionales de los modelos de desarrollo dominantes reclaman ser la única manera de explicar los fenómenos económicos.</w:t>
      </w:r>
    </w:p>
    <w:p w:rsidR="00080599" w:rsidRPr="000A2024" w:rsidRDefault="00080599" w:rsidP="00080599">
      <w:pPr>
        <w:pStyle w:val="Prrafodelista"/>
        <w:numPr>
          <w:ilvl w:val="0"/>
          <w:numId w:val="22"/>
        </w:numPr>
        <w:spacing w:after="120" w:line="360" w:lineRule="auto"/>
        <w:contextualSpacing w:val="0"/>
        <w:jc w:val="both"/>
        <w:rPr>
          <w:rFonts w:ascii="Arial" w:hAnsi="Arial" w:cs="Arial"/>
          <w:sz w:val="24"/>
          <w:szCs w:val="24"/>
        </w:rPr>
      </w:pPr>
      <w:r w:rsidRPr="000A2024">
        <w:rPr>
          <w:rFonts w:ascii="Arial" w:hAnsi="Arial" w:cs="Arial"/>
          <w:sz w:val="24"/>
          <w:szCs w:val="24"/>
        </w:rPr>
        <w:t>El Informe Brudlant distingue al crecimiento en la línea del tiempo histórica y también entre las diferencias culturales lo que le permite proponer mecanismos que inhiban el enriquecimiento estancado y la exclusión social.</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Es aquí cuando el desarrollo toma una vertiente llamada desarrollo sostenible la cual constituye como una opción la posibilidad de alcanzar el desarrollo bajo las condiciones socioeconómicas sin perjudicar la naturaleza y medio ambiente.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Este tipo de desarrollo busca la potencializ</w:t>
      </w:r>
      <w:r w:rsidR="00B43BF2" w:rsidRPr="000A2024">
        <w:rPr>
          <w:rFonts w:ascii="Arial" w:hAnsi="Arial" w:cs="Arial"/>
          <w:sz w:val="24"/>
          <w:szCs w:val="24"/>
        </w:rPr>
        <w:t>ación del ser humano mediante el</w:t>
      </w:r>
      <w:r w:rsidRPr="000A2024">
        <w:rPr>
          <w:rFonts w:ascii="Arial" w:hAnsi="Arial" w:cs="Arial"/>
          <w:sz w:val="24"/>
          <w:szCs w:val="24"/>
        </w:rPr>
        <w:t xml:space="preserve"> uso</w:t>
      </w:r>
      <w:r w:rsidR="00B43BF2" w:rsidRPr="000A2024">
        <w:rPr>
          <w:rFonts w:ascii="Arial" w:hAnsi="Arial" w:cs="Arial"/>
          <w:sz w:val="24"/>
          <w:szCs w:val="24"/>
        </w:rPr>
        <w:t xml:space="preserve"> dinámico</w:t>
      </w:r>
      <w:r w:rsidRPr="000A2024">
        <w:rPr>
          <w:rFonts w:ascii="Arial" w:hAnsi="Arial" w:cs="Arial"/>
          <w:sz w:val="24"/>
          <w:szCs w:val="24"/>
        </w:rPr>
        <w:t xml:space="preserve"> de </w:t>
      </w:r>
      <w:r w:rsidR="00B43BF2" w:rsidRPr="000A2024">
        <w:rPr>
          <w:rFonts w:ascii="Arial" w:hAnsi="Arial" w:cs="Arial"/>
          <w:sz w:val="24"/>
          <w:szCs w:val="24"/>
        </w:rPr>
        <w:t xml:space="preserve">los recursos naturales, </w:t>
      </w:r>
      <w:r w:rsidRPr="000A2024">
        <w:rPr>
          <w:rFonts w:ascii="Arial" w:hAnsi="Arial" w:cs="Arial"/>
          <w:sz w:val="24"/>
          <w:szCs w:val="24"/>
        </w:rPr>
        <w:t xml:space="preserve">en conjunto con mecanismos de participación ciudadana y campañas de concientización con principios éticos de responsabilidad ambiental.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Propone esquemas legales y administrativos, y una orientación de la economía hacía la satisfacción de las necesidades básicas actuales que no comprometan la base ecológica de la que depende el desarrollo de las futuras generaciones.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Como ya se había planteado existen países con altos índices de desarrollo si estos se basan en el nivel de su producción (producto per cápita) pero que al mismo tiempo presentan disminución si se incorporan otras variables.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También existen países que muestran políticas sociales amigables a los ciudadanos y que han sido exitosas al brindar a la población accesos a los bienes públicos necesarios que son mayores a lo que su ingreso podría permitirles.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por esto que como ya se había dicho se requiere de la utilización de un índice que mida de forma directa el desarrollo del ser humano y así poder ocupar </w:t>
      </w:r>
      <w:r w:rsidR="00145B42" w:rsidRPr="000A2024">
        <w:rPr>
          <w:rFonts w:ascii="Arial" w:hAnsi="Arial" w:cs="Arial"/>
          <w:sz w:val="24"/>
          <w:szCs w:val="24"/>
        </w:rPr>
        <w:t>este</w:t>
      </w:r>
      <w:r w:rsidRPr="000A2024">
        <w:rPr>
          <w:rFonts w:ascii="Arial" w:hAnsi="Arial" w:cs="Arial"/>
          <w:sz w:val="24"/>
          <w:szCs w:val="24"/>
        </w:rPr>
        <w:t xml:space="preserve"> índice como indicador de desarrollo.</w:t>
      </w:r>
    </w:p>
    <w:p w:rsidR="00080599" w:rsidRPr="000A2024" w:rsidRDefault="00080599" w:rsidP="00080599">
      <w:pPr>
        <w:jc w:val="both"/>
        <w:rPr>
          <w:rFonts w:ascii="Arial" w:hAnsi="Arial" w:cs="Arial"/>
          <w:sz w:val="24"/>
          <w:szCs w:val="24"/>
        </w:rPr>
      </w:pPr>
    </w:p>
    <w:p w:rsidR="00080599" w:rsidRPr="000A2024" w:rsidRDefault="00080599" w:rsidP="00B43BF2">
      <w:pPr>
        <w:pStyle w:val="SubTema"/>
        <w:rPr>
          <w:rFonts w:ascii="Arial" w:hAnsi="Arial" w:cs="Arial"/>
        </w:rPr>
      </w:pPr>
      <w:bookmarkStart w:id="17" w:name="_Toc450230492"/>
      <w:r w:rsidRPr="000A2024">
        <w:rPr>
          <w:rFonts w:ascii="Arial" w:hAnsi="Arial" w:cs="Arial"/>
        </w:rPr>
        <w:t>Desarrollo humano.</w:t>
      </w:r>
      <w:bookmarkEnd w:id="17"/>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Hasta ahora el desarrollo se puede definir primero como un conjunto de fases sucesivas que comprenden la evolución de un país, después como un proceso que contiene todos los elementos estructurales del país y al final como un fenómeno que puede ser medido y que su concepción requiere de una interdisciplinariedad que englobe diversas variables.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 puede afirmar entonces que el desarrollo de un país no puede ser interpretado y medido mediante indicadores basados en la producción como PIB per cápita debido a su incapacidad descriptiva.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El crecimiento del país y el desarrollo del mismo son conceptos y situaciones que se relacionan entre sí, pero son distintos y es necesario abarcar otros tipos de enfoques para realizar el análisis sobre el objeto correcto el cual es y siempre ha sido el ser humano.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También ha quedado en claro que el papel del Estado en el proceso de desarrollo es crucial al ser este el intermediario entre sociedad y mercado. Además de tener la capacidad estructural y económica de implementar programas de asistencia social.</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Para las décadas de los ochentas y noventas se requirió particularmente que se contemplara la acción humana y su repercusión en el medio en el que vive. El desarrollo tomó nuevos </w:t>
      </w:r>
      <w:r w:rsidR="00145B42" w:rsidRPr="000A2024">
        <w:rPr>
          <w:rFonts w:ascii="Arial" w:hAnsi="Arial" w:cs="Arial"/>
          <w:sz w:val="24"/>
          <w:szCs w:val="24"/>
        </w:rPr>
        <w:t xml:space="preserve">aires y diferente camino al </w:t>
      </w:r>
      <w:r w:rsidRPr="000A2024">
        <w:rPr>
          <w:rFonts w:ascii="Arial" w:hAnsi="Arial" w:cs="Arial"/>
          <w:sz w:val="24"/>
          <w:szCs w:val="24"/>
        </w:rPr>
        <w:t xml:space="preserve">desarrollo de posguerra gracias a las conferencias de los setentas del profesor Amartya Sen y los trabajos de Anand y Ravallion (citados por Luis F. López-Calva y Roberto Vélez Grajales, 2003), por mencionar algunos.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 partir de este momento se puede contemplar al desarrollo desde las capacidades de los individuos para valerse por sí mismos, tanto en lo individual como en lo colectivo. Pero este nuevo desarrollo requiere un esfuerzo que estuviese dirigido hacia el pueblo, que fuese del pueblo y por el pueblo.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Gran contraste a las teorías de la formación de capital humano y el desarrollo de recursos humanos que ven al ser humano como un medio y no como un fin. Así con esto, intentando encaminar al desarrollo hasta uno sostenible desde los ámbitos micros que son los individuos.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Esto permite que el mismo desarrollo se enfatice al ser humano buscando que </w:t>
      </w:r>
      <w:r w:rsidR="00145B42" w:rsidRPr="000A2024">
        <w:rPr>
          <w:rFonts w:ascii="Arial" w:hAnsi="Arial" w:cs="Arial"/>
          <w:sz w:val="24"/>
          <w:szCs w:val="24"/>
        </w:rPr>
        <w:t>este</w:t>
      </w:r>
      <w:r w:rsidRPr="000A2024">
        <w:rPr>
          <w:rFonts w:ascii="Arial" w:hAnsi="Arial" w:cs="Arial"/>
          <w:sz w:val="24"/>
          <w:szCs w:val="24"/>
        </w:rPr>
        <w:t xml:space="preserve"> disfrute de una vida prolongada, saludable y creativa – lo cual siempre debió ser la prioridad – para que con esto el impacto que tiene en el crecimiento económico del país sea positivo, desde la productividad de cada uno de los individuos y las repercusiones que tiene dichas productividades en el ámbito social y ambiental del país.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También se ha determinado desde los noventas que el progreso no pretende depender por la acumulación de bienes de consumo y de la riqueza financiera para </w:t>
      </w:r>
      <w:r w:rsidRPr="000A2024">
        <w:rPr>
          <w:rFonts w:ascii="Arial" w:hAnsi="Arial" w:cs="Arial"/>
          <w:sz w:val="24"/>
          <w:szCs w:val="24"/>
        </w:rPr>
        <w:lastRenderedPageBreak/>
        <w:t xml:space="preserve">así despojar de su estante al enfoque económico como el único evaluador y creador de indicadores que solo se encargan de encubrir el hecho de que el objetivo primordial para determinar el desarrollo es la gente.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 decir verdad, la mayoría de los autores desde estas décadas al presente pretenden plantear el curso del desarrollo a cambiar hacia el accionar humano promoviendo la ampliación de sus capacidades y libertades.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Desde 1990 el PNUD ha difundido una serie de informes y foros de discusión en los cuales informa que uno de los mayores retos es eliminar la inmensa carga que representa la privación humana.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propósito natural del desarrollo es proporcionar un ambiente universal y único para todo ser humano en donde, si así lo desean, puedan prolongar su vida, posean salud a lo largo de su vida natural y esto les permita desarrollar su potencial creativo. Es esta la idea central del desarrollo humano.</w:t>
      </w:r>
    </w:p>
    <w:p w:rsidR="00080599" w:rsidRPr="005A0500" w:rsidRDefault="00080599" w:rsidP="005A0500">
      <w:pPr>
        <w:pStyle w:val="SubTema3SinNum"/>
        <w:spacing w:before="0" w:after="120"/>
        <w:rPr>
          <w:rFonts w:ascii="Arial" w:hAnsi="Arial" w:cs="Arial"/>
          <w:b w:val="0"/>
        </w:rPr>
      </w:pPr>
      <w:bookmarkStart w:id="18" w:name="_Toc450230493"/>
      <w:r w:rsidRPr="005A0500">
        <w:rPr>
          <w:rFonts w:ascii="Arial" w:hAnsi="Arial" w:cs="Arial"/>
          <w:b w:val="0"/>
        </w:rPr>
        <w:t>Concepto de desarrollo humano.</w:t>
      </w:r>
      <w:bookmarkEnd w:id="18"/>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el informe de desarrollo humano de 1990 publicado para el PNUD “El desarrollo humano es el proceso mediante el cual se ofrece a las personas mayores oportunidades [...] el acceso al ingreso puede ser una de las opciones del ser humano, pero no constituye la suma total de su actividad”.  (Programa de las Naciones Unidas para </w:t>
      </w:r>
      <w:r w:rsidR="003C5C41" w:rsidRPr="000A2024">
        <w:rPr>
          <w:rFonts w:ascii="Arial" w:hAnsi="Arial" w:cs="Arial"/>
          <w:sz w:val="24"/>
          <w:szCs w:val="24"/>
        </w:rPr>
        <w:t>el Desarrollo [PNUD], 1990</w:t>
      </w:r>
      <w:r w:rsidRPr="000A2024">
        <w:rPr>
          <w:rFonts w:ascii="Arial" w:hAnsi="Arial" w:cs="Arial"/>
          <w:sz w:val="24"/>
          <w:szCs w:val="24"/>
        </w:rPr>
        <w:t>)</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oportunidades que ofrece un país con deseable desarrollo humano según el informe de desarrollo humano de 1990 publicado para el PNUD son:</w:t>
      </w:r>
    </w:p>
    <w:p w:rsidR="00080599" w:rsidRPr="000A2024" w:rsidRDefault="00080599" w:rsidP="00080599">
      <w:pPr>
        <w:pStyle w:val="Prrafodelista"/>
        <w:numPr>
          <w:ilvl w:val="0"/>
          <w:numId w:val="31"/>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Vida prolongada y saludable. </w:t>
      </w:r>
    </w:p>
    <w:p w:rsidR="00080599" w:rsidRPr="000A2024" w:rsidRDefault="00080599" w:rsidP="00080599">
      <w:pPr>
        <w:pStyle w:val="Prrafodelista"/>
        <w:numPr>
          <w:ilvl w:val="0"/>
          <w:numId w:val="31"/>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Educación. </w:t>
      </w:r>
    </w:p>
    <w:p w:rsidR="00080599" w:rsidRPr="000A2024" w:rsidRDefault="00080599" w:rsidP="00080599">
      <w:pPr>
        <w:pStyle w:val="Prrafodelista"/>
        <w:numPr>
          <w:ilvl w:val="0"/>
          <w:numId w:val="31"/>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Acceso a los recursos necesarios para tener un nivel de vida decente. </w:t>
      </w:r>
    </w:p>
    <w:p w:rsidR="00080599" w:rsidRPr="000A2024" w:rsidRDefault="00080599" w:rsidP="00080599">
      <w:pPr>
        <w:pStyle w:val="Prrafodelista"/>
        <w:numPr>
          <w:ilvl w:val="0"/>
          <w:numId w:val="31"/>
        </w:numPr>
        <w:spacing w:after="120" w:line="360" w:lineRule="auto"/>
        <w:contextualSpacing w:val="0"/>
        <w:jc w:val="both"/>
        <w:rPr>
          <w:rFonts w:ascii="Arial" w:hAnsi="Arial" w:cs="Arial"/>
          <w:sz w:val="24"/>
          <w:szCs w:val="24"/>
        </w:rPr>
      </w:pPr>
      <w:r w:rsidRPr="000A2024">
        <w:rPr>
          <w:rFonts w:ascii="Arial" w:hAnsi="Arial" w:cs="Arial"/>
          <w:sz w:val="24"/>
          <w:szCs w:val="24"/>
        </w:rPr>
        <w:t>Libertad política.</w:t>
      </w:r>
    </w:p>
    <w:p w:rsidR="00080599" w:rsidRPr="000A2024" w:rsidRDefault="00080599" w:rsidP="00080599">
      <w:pPr>
        <w:pStyle w:val="Prrafodelista"/>
        <w:numPr>
          <w:ilvl w:val="0"/>
          <w:numId w:val="31"/>
        </w:numPr>
        <w:spacing w:after="120" w:line="360" w:lineRule="auto"/>
        <w:contextualSpacing w:val="0"/>
        <w:jc w:val="both"/>
        <w:rPr>
          <w:rFonts w:ascii="Arial" w:hAnsi="Arial" w:cs="Arial"/>
          <w:sz w:val="24"/>
          <w:szCs w:val="24"/>
        </w:rPr>
      </w:pPr>
      <w:r w:rsidRPr="000A2024">
        <w:rPr>
          <w:rFonts w:ascii="Arial" w:hAnsi="Arial" w:cs="Arial"/>
          <w:sz w:val="24"/>
          <w:szCs w:val="24"/>
        </w:rPr>
        <w:t>La garantía de los derechos humanos.</w:t>
      </w:r>
    </w:p>
    <w:p w:rsidR="00080599" w:rsidRPr="000A2024" w:rsidRDefault="00080599" w:rsidP="00080599">
      <w:pPr>
        <w:pStyle w:val="Prrafodelista"/>
        <w:spacing w:after="120" w:line="360" w:lineRule="auto"/>
        <w:ind w:left="1416"/>
        <w:contextualSpacing w:val="0"/>
        <w:jc w:val="both"/>
        <w:rPr>
          <w:rFonts w:ascii="Arial" w:hAnsi="Arial" w:cs="Arial"/>
          <w:sz w:val="24"/>
          <w:szCs w:val="24"/>
        </w:rPr>
      </w:pPr>
      <w:r w:rsidRPr="000A2024">
        <w:rPr>
          <w:rFonts w:ascii="Arial" w:hAnsi="Arial" w:cs="Arial"/>
          <w:sz w:val="24"/>
          <w:szCs w:val="24"/>
        </w:rPr>
        <w:t xml:space="preserve">“El desarrollo humano se refiere más a la formación de capacidades humanas, tales como un mejor estado de salud o mayores </w:t>
      </w:r>
      <w:r w:rsidRPr="000A2024">
        <w:rPr>
          <w:rFonts w:ascii="Arial" w:hAnsi="Arial" w:cs="Arial"/>
          <w:sz w:val="24"/>
          <w:szCs w:val="24"/>
        </w:rPr>
        <w:lastRenderedPageBreak/>
        <w:t>conocimientos”. (Programa de las Naciones Unidas para el Desarrollo [PNUD], 1990, p.33)</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informe del PNUD (1990) discute el paradigma del desarrollo humano en base a un enfoque de capacidad el cual se dedica a evaluar el estado de bienestar en todos sus ámbitos, desde el punto individual hasta el social en conjunto. </w:t>
      </w:r>
    </w:p>
    <w:p w:rsidR="003C5C41"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enfoque tiene por objeto el diseño de políticas y propuestas sobre el cambio social, y su supuesto fundamental se centra en la capacidad humana que no es nada más que lo que la gente puede hacer y ser.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 entiende por formar capacidades humanas a mejorar el estado de salud física y mental que permita productividad y creatividad en todos los ámbitos deseados por el individuo.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transmisión de los conocimientos universales y tecnológicos, de tal manera que de no tener acceso a estos últimos se posea la capacidad de no necesitarlos. Y la dotación a los individuos de ámbitos donde puedan desarrollar destrezas que les permitan ser competitivos dentro del vertiginoso mercado global o por lo menos en su localidad.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capacidades humanas deben tener la finalidad de obtener frutos tales como el descanso, la producción de algún tipo de bien productivo o creativo y la generación de actividades culturales, sociales y políticas.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Los bienes y capacidades son conceptos introducidos en el debate de las conferencias llamadas “</w:t>
      </w:r>
      <w:r w:rsidRPr="000A2024">
        <w:rPr>
          <w:rFonts w:ascii="Arial" w:hAnsi="Arial" w:cs="Arial"/>
          <w:i/>
          <w:sz w:val="24"/>
          <w:szCs w:val="24"/>
        </w:rPr>
        <w:t>Equality of what?”</w:t>
      </w:r>
      <w:r w:rsidRPr="000A2024">
        <w:rPr>
          <w:rFonts w:ascii="Arial" w:hAnsi="Arial" w:cs="Arial"/>
          <w:sz w:val="24"/>
          <w:szCs w:val="24"/>
        </w:rPr>
        <w:t xml:space="preserve"> del profesor Amartya Senel en 1985 (citado en Luis F. López-Calva y Roberto Vélez Grajales, 2003).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argumento de estos trabajos dice que la medición del bienestar no debe basarse en indicadores “ex - post”. López-Calva y Grajales (2003) indican que los filósofos que utilizan indicadores ex - post ubican al acceso de bienes y servicios como objetos de gran relevancia en la medición del desarrollo, los cuales de acuerdo con el profesor Sen carecen de una relevancia normativa. La postura actual propone al acceso de bienes y servicios como medios para alcanzar un estado de bienestar.</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Existen diversos enfoques que al igual que la teoría del desarrollo desde el ámbito económico que pretenden observar al desarrollo humano desde distintas ópticas o perspectivas. Sin embargo, cualquier teoría del desarrollo busca proponer un método de evaluación y además la combinación y orden de la estructura del proceso de desarrollo, considerando el conjunto de variables que son prioridades para alcanzar un desarrollo pleno.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Dichas teorías proponen una serie de elementos a priorizar para obtener la realización humana bajo estas variables que son consideradas fundamentales y necesarias para obtenerlo. Como teoría, el desarrollo humano tiene por objeto de estudio a las personas y como proceso se fundamenta, principalmente, mediante los enfoques teóricos de necesidades básicas y de capacidad.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desarrollo humano es un ámbito dentro del cual se desarrolla el concepto de bien-estar donde se realiza un análisis en base a la evaluación, monitoreo y proposición de metas para la mejora de la sociedad. </w:t>
      </w:r>
    </w:p>
    <w:p w:rsidR="00080599" w:rsidRPr="005A0500" w:rsidRDefault="00080599" w:rsidP="005A0500">
      <w:pPr>
        <w:pStyle w:val="SubTema3SinNum"/>
        <w:spacing w:before="0" w:after="120"/>
        <w:rPr>
          <w:rFonts w:ascii="Arial" w:hAnsi="Arial" w:cs="Arial"/>
          <w:b w:val="0"/>
        </w:rPr>
      </w:pPr>
      <w:bookmarkStart w:id="19" w:name="_Toc450230494"/>
      <w:r w:rsidRPr="005A0500">
        <w:rPr>
          <w:rFonts w:ascii="Arial" w:hAnsi="Arial" w:cs="Arial"/>
          <w:b w:val="0"/>
        </w:rPr>
        <w:t>¿Bien-estar o bienestar humano?</w:t>
      </w:r>
      <w:bookmarkEnd w:id="19"/>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importante distinguir entre los estados de bien-estar y de bienestar. El segundo se asocia a la asistencia social o políticas que el estado (gobierno de un país) proporciona para garantizar la reducción de las desigualdades existentes en una sociedad moderna capitalista y de aquí la economía del bienestar, la parte económica de la idea de bienestar social.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Ahora, el estado de bienestar es aquel gobierno que ha proporcionado a su sociedad una condición de desarrollo económico. Las asistencias sociales o políticas que un gobierno buscará implementar para alcanzar un estado de bienestar estarán dirigidas a proteger a sus trabajadores de las incertidumbres de un mercado global y vertiginoso y para sus ciudadanos les proporcionarán las condiciones de igualdad de oportunidades entre ellos.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Para Barro, R. y X. Sala-i-Martin (citados en Arriola Quan, 2007) algunas características de los Estados de bienestar son:</w:t>
      </w:r>
    </w:p>
    <w:p w:rsidR="00080599" w:rsidRPr="000A2024" w:rsidRDefault="00080599" w:rsidP="00080599">
      <w:pPr>
        <w:pStyle w:val="Prrafodelista"/>
        <w:numPr>
          <w:ilvl w:val="0"/>
          <w:numId w:val="23"/>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El Estado debe proporcionar la existencia de empleos plenos para sus ciudadanos y estos deben contar con horarios y salarios dignos además de la garantía de seguridad social para así evitar la explotación.</w:t>
      </w:r>
    </w:p>
    <w:p w:rsidR="00080599" w:rsidRPr="000A2024" w:rsidRDefault="00080599" w:rsidP="00080599">
      <w:pPr>
        <w:pStyle w:val="Prrafodelista"/>
        <w:numPr>
          <w:ilvl w:val="0"/>
          <w:numId w:val="23"/>
        </w:numPr>
        <w:spacing w:after="120" w:line="360" w:lineRule="auto"/>
        <w:contextualSpacing w:val="0"/>
        <w:jc w:val="both"/>
        <w:rPr>
          <w:rFonts w:ascii="Arial" w:hAnsi="Arial" w:cs="Arial"/>
          <w:sz w:val="24"/>
          <w:szCs w:val="24"/>
        </w:rPr>
      </w:pPr>
      <w:r w:rsidRPr="000A2024">
        <w:rPr>
          <w:rFonts w:ascii="Arial" w:hAnsi="Arial" w:cs="Arial"/>
          <w:sz w:val="24"/>
          <w:szCs w:val="24"/>
        </w:rPr>
        <w:t>El Estado debe procurar que la riqueza del país posea una distribución y redistribución positiva entre sus ciudadanos. De igual manera, el poder político debe poseer las mismas características que la riqueza para así garantizar que pueda participar todo aquel que así lo decida.</w:t>
      </w:r>
    </w:p>
    <w:p w:rsidR="00080599" w:rsidRPr="000A2024" w:rsidRDefault="00080599" w:rsidP="00080599">
      <w:pPr>
        <w:pStyle w:val="Prrafodelista"/>
        <w:numPr>
          <w:ilvl w:val="0"/>
          <w:numId w:val="23"/>
        </w:numPr>
        <w:spacing w:after="120" w:line="360" w:lineRule="auto"/>
        <w:contextualSpacing w:val="0"/>
        <w:jc w:val="both"/>
        <w:rPr>
          <w:rFonts w:ascii="Arial" w:hAnsi="Arial" w:cs="Arial"/>
          <w:sz w:val="24"/>
          <w:szCs w:val="24"/>
        </w:rPr>
      </w:pPr>
      <w:r w:rsidRPr="000A2024">
        <w:rPr>
          <w:rFonts w:ascii="Arial" w:hAnsi="Arial" w:cs="Arial"/>
          <w:sz w:val="24"/>
          <w:szCs w:val="24"/>
        </w:rPr>
        <w:t>El Estado debe procurar estrategias y/o políticas en base de transferencias directas, subsidios, impuestos y la prestación de servicios públicos para que sus ciudadanos puedan desarrollar su potencial total.</w:t>
      </w:r>
    </w:p>
    <w:p w:rsidR="00080599" w:rsidRPr="000A2024" w:rsidRDefault="00080599" w:rsidP="00080599">
      <w:pPr>
        <w:pStyle w:val="Prrafodelista"/>
        <w:numPr>
          <w:ilvl w:val="0"/>
          <w:numId w:val="23"/>
        </w:numPr>
        <w:spacing w:after="120" w:line="360" w:lineRule="auto"/>
        <w:contextualSpacing w:val="0"/>
        <w:jc w:val="both"/>
        <w:rPr>
          <w:rFonts w:ascii="Arial" w:hAnsi="Arial" w:cs="Arial"/>
          <w:sz w:val="24"/>
          <w:szCs w:val="24"/>
        </w:rPr>
      </w:pPr>
      <w:r w:rsidRPr="000A2024">
        <w:rPr>
          <w:rFonts w:ascii="Arial" w:hAnsi="Arial" w:cs="Arial"/>
          <w:sz w:val="24"/>
          <w:szCs w:val="24"/>
        </w:rPr>
        <w:t>Se debe procurar el bienestar como un derecho ciudadano “desde la cuna hasta la tumba”.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Por otro lado, el que se aboca al desarrollo humano en la mayoría de los escritos es el bien-estar (well-being en inglés) el cual según Arriola Quan (2007) se remonta de un término griego clásico llamado </w:t>
      </w:r>
      <w:r w:rsidRPr="000A2024">
        <w:rPr>
          <w:rFonts w:ascii="Arial" w:hAnsi="Arial" w:cs="Arial"/>
          <w:i/>
          <w:sz w:val="24"/>
          <w:szCs w:val="24"/>
        </w:rPr>
        <w:t xml:space="preserve">eudaimania </w:t>
      </w:r>
      <w:r w:rsidRPr="000A2024">
        <w:rPr>
          <w:rFonts w:ascii="Arial" w:hAnsi="Arial" w:cs="Arial"/>
          <w:sz w:val="24"/>
          <w:szCs w:val="24"/>
        </w:rPr>
        <w:t xml:space="preserve">que se traduce como la sensación de la felicidad.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Quizá desde las palabras de Arquimides (mencionado en Arriola Quan, 2007) esta definición sea un poco efímera pero realmente contiene todos los aspectos que busca el desarrollo humano.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ser o estar bien o tener una buena existencia debe recaer totalmente en la realización como ser humano y como Reyes indicaba esto depende, desde el enfoque económico, a poseer una educación, salud, nutrición, etcétera. Pero ¿qué acaso la felicidad humana debe depender de más cosas que no se relacionen con la acumulación de bienes de consumo y de riqueza?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Arriola Quan (2007) hace referencia a una felicidad basada en una vida que se rige por una moral con virtudes, al seguimiento de un plan que pueda trascender a lo largo del tiempo hasta su consumación, al valor de tener la capacidad de vivir en comunidad, a la felicidad en base del máximo disfrute de los placeres, al desarrollo </w:t>
      </w:r>
      <w:r w:rsidRPr="000A2024">
        <w:rPr>
          <w:rFonts w:ascii="Arial" w:hAnsi="Arial" w:cs="Arial"/>
          <w:sz w:val="24"/>
          <w:szCs w:val="24"/>
        </w:rPr>
        <w:lastRenderedPageBreak/>
        <w:t xml:space="preserve">de conocimientos e inteligencia y el alcance de una vida donde se puedan cumplir todos los propósitos.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Los individuos no aíslan los diferentes aspectos de sus vidas, por el contrario, tienen una sensación general de lo que es el bienestar en la convergencia de todos éstos.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 pesar que al final el ingreso y la riqueza son sólo un medio para alcanzar la finalidad que es el bien-estar, la economía como ciencia o disciplina es quien más aborda el estudio del bien-estar, midiendo y cuantificando desde un enfoque menos abstracto a diferencia de otras ciencias o disciplinas como la política, antropología, psicología, etcétera, que el bien-estar es relevante, pero desde sus distintas ópticas no alcanzan aterrizar en la realidad.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Sin embargo, actualmente el bien-estar es considerado una consecuencia del desarrollo y es inevitable que el objeto de estudio de </w:t>
      </w:r>
      <w:r w:rsidR="00145B42" w:rsidRPr="000A2024">
        <w:rPr>
          <w:rFonts w:ascii="Arial" w:hAnsi="Arial" w:cs="Arial"/>
          <w:sz w:val="24"/>
          <w:szCs w:val="24"/>
        </w:rPr>
        <w:t>este</w:t>
      </w:r>
      <w:r w:rsidRPr="000A2024">
        <w:rPr>
          <w:rFonts w:ascii="Arial" w:hAnsi="Arial" w:cs="Arial"/>
          <w:sz w:val="24"/>
          <w:szCs w:val="24"/>
        </w:rPr>
        <w:t xml:space="preserve"> sea visto como multidisciplinario.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bien-estar se origina dentro de la teoría del desarrollo desde la polémica de la desigualdad. En las conferencias de los setentas del profesor Amartya Sen (citado en Arriola Quan, 2007) se plante la pregunta ¿igualdad de qué? y con justa razón. Existen diversos tipos de igualdades; en el ámbito político se habla meramente pretendiendo una igualdad.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Las sociedades modernas que convergen hacía un mismo punto aclaman una igualdad de circunstancias económicas y sociales al final del proceso de modernización. Las democracias son fundadas bajo concepto de igualdad entre los ciudadanos mediante la igualdad ante la ley.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En economía, un estado de competencia perfecta se basa en la igualdad de oportunidades para la adquisición de un bien. Hoy en día cualquier sistema de asociación de personas se fundamenta en igualdad y sin embargo la desigualdad se ha expandido en diversos aspectos.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por esto que el profesor Amartya Sen (mencionado en Arriola Quan, 2007) es tan atinado al preguntarse ¿igualdad de qué? y esta pregunta apunta a encontrar </w:t>
      </w:r>
      <w:r w:rsidRPr="000A2024">
        <w:rPr>
          <w:rFonts w:ascii="Arial" w:hAnsi="Arial" w:cs="Arial"/>
          <w:sz w:val="24"/>
          <w:szCs w:val="24"/>
        </w:rPr>
        <w:lastRenderedPageBreak/>
        <w:t>los factores determinantes en una sociedad que permita una adecuada convivencia y que los individuos puedan aceptarlos como justos.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bienestar ha sido estudiado, en la mayoría de los autores, bajo tres enfoques según las dimensiones humanas a evaluar como por ejemplo bajo conceptuales de la utilidad, aquellos autores que afirman que las necesidades básicas son indispensables y aquellos que priorizan las capacidades humanas.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Un ejemplo sería el enfoque clásico, el utilitarista, donde el estado de bien-estar se vuelve alcanzable mientras las personas se acerquen más a lo que les útil para sus vidas. El placer, el bien o la felicidad debe son alcanzados en función de la utilidad de las herramientas o actividades que tienen a su alcance.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Bentham (mencionado en Arriola Quan,</w:t>
      </w:r>
      <w:r w:rsidR="00476831" w:rsidRPr="000A2024">
        <w:rPr>
          <w:rFonts w:ascii="Arial" w:hAnsi="Arial" w:cs="Arial"/>
          <w:sz w:val="24"/>
          <w:szCs w:val="24"/>
        </w:rPr>
        <w:t xml:space="preserve"> 2007), en su trabajo titulado </w:t>
      </w:r>
      <w:r w:rsidRPr="000A2024">
        <w:rPr>
          <w:rFonts w:ascii="Arial" w:hAnsi="Arial" w:cs="Arial"/>
          <w:sz w:val="24"/>
          <w:szCs w:val="24"/>
        </w:rPr>
        <w:t>An introduction to the princ</w:t>
      </w:r>
      <w:r w:rsidR="00476831" w:rsidRPr="000A2024">
        <w:rPr>
          <w:rFonts w:ascii="Arial" w:hAnsi="Arial" w:cs="Arial"/>
          <w:sz w:val="24"/>
          <w:szCs w:val="24"/>
        </w:rPr>
        <w:t>iples of morals and legislation</w:t>
      </w:r>
      <w:r w:rsidRPr="000A2024">
        <w:rPr>
          <w:rFonts w:ascii="Arial" w:hAnsi="Arial" w:cs="Arial"/>
          <w:sz w:val="24"/>
          <w:szCs w:val="24"/>
        </w:rPr>
        <w:t xml:space="preserve">, el principio básico del utilitarismo es promover el placer, el bien o felicidad y evitar el mal y la desdicha.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utilitarismo se remonta al siglo XVII basándose de cierta manera del liberalismo político de Adam Smith.  El bienestar desde </w:t>
      </w:r>
      <w:r w:rsidR="00145B42" w:rsidRPr="000A2024">
        <w:rPr>
          <w:rFonts w:ascii="Arial" w:hAnsi="Arial" w:cs="Arial"/>
          <w:sz w:val="24"/>
          <w:szCs w:val="24"/>
        </w:rPr>
        <w:t>este</w:t>
      </w:r>
      <w:r w:rsidRPr="000A2024">
        <w:rPr>
          <w:rFonts w:ascii="Arial" w:hAnsi="Arial" w:cs="Arial"/>
          <w:sz w:val="24"/>
          <w:szCs w:val="24"/>
        </w:rPr>
        <w:t xml:space="preserve"> enfoque se mide a través de una métrica en unidades de utilidad (quanta).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utilidad se mide dependiendo de la variable dentro del espacio evaluativo que la cuantificará, estas pueden ser felicidad, deseo, preferencia o satisfacción.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López-Calva y Grajales (2003) proponen que la medición del bienestar debería de estar en función de tres variables:</w:t>
      </w:r>
    </w:p>
    <w:p w:rsidR="00080599" w:rsidRPr="000A2024" w:rsidRDefault="00080599" w:rsidP="00080599">
      <w:pPr>
        <w:pStyle w:val="Prrafodelista"/>
        <w:numPr>
          <w:ilvl w:val="0"/>
          <w:numId w:val="24"/>
        </w:numPr>
        <w:spacing w:after="120" w:line="360" w:lineRule="auto"/>
        <w:contextualSpacing w:val="0"/>
        <w:jc w:val="both"/>
        <w:rPr>
          <w:rFonts w:ascii="Arial" w:hAnsi="Arial" w:cs="Arial"/>
          <w:sz w:val="24"/>
          <w:szCs w:val="24"/>
        </w:rPr>
      </w:pPr>
      <w:r w:rsidRPr="000A2024">
        <w:rPr>
          <w:rFonts w:ascii="Arial" w:hAnsi="Arial" w:cs="Arial"/>
          <w:sz w:val="24"/>
          <w:szCs w:val="24"/>
        </w:rPr>
        <w:t>El acceso a los bienes y servicios.</w:t>
      </w:r>
    </w:p>
    <w:p w:rsidR="00080599" w:rsidRPr="000A2024" w:rsidRDefault="00080599" w:rsidP="00080599">
      <w:pPr>
        <w:pStyle w:val="Prrafodelista"/>
        <w:numPr>
          <w:ilvl w:val="0"/>
          <w:numId w:val="24"/>
        </w:numPr>
        <w:spacing w:after="120" w:line="360" w:lineRule="auto"/>
        <w:contextualSpacing w:val="0"/>
        <w:jc w:val="both"/>
        <w:rPr>
          <w:rFonts w:ascii="Arial" w:hAnsi="Arial" w:cs="Arial"/>
          <w:sz w:val="24"/>
          <w:szCs w:val="24"/>
        </w:rPr>
      </w:pPr>
      <w:r w:rsidRPr="000A2024">
        <w:rPr>
          <w:rFonts w:ascii="Arial" w:hAnsi="Arial" w:cs="Arial"/>
          <w:sz w:val="24"/>
          <w:szCs w:val="24"/>
        </w:rPr>
        <w:t>La convertibilidad de estos bienes y servicios por medio de capacidades sociales en oportunidades reales de planes de vida.</w:t>
      </w:r>
    </w:p>
    <w:p w:rsidR="00080599" w:rsidRPr="000A2024" w:rsidRDefault="00080599" w:rsidP="00476831">
      <w:pPr>
        <w:pStyle w:val="Prrafodelista"/>
        <w:numPr>
          <w:ilvl w:val="0"/>
          <w:numId w:val="24"/>
        </w:numPr>
        <w:spacing w:after="120" w:line="360" w:lineRule="auto"/>
        <w:contextualSpacing w:val="0"/>
        <w:jc w:val="both"/>
        <w:rPr>
          <w:rFonts w:ascii="Arial" w:hAnsi="Arial" w:cs="Arial"/>
          <w:sz w:val="24"/>
          <w:szCs w:val="24"/>
        </w:rPr>
      </w:pPr>
      <w:r w:rsidRPr="000A2024">
        <w:rPr>
          <w:rFonts w:ascii="Arial" w:hAnsi="Arial" w:cs="Arial"/>
          <w:sz w:val="24"/>
          <w:szCs w:val="24"/>
        </w:rPr>
        <w:t>Algún tipo de evaluación que permita cuantificar el nivel de satisfacción individual en la elección de sus oportunidades.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Las capacidades de los individuos se encuentran dentro del rango de opciones económicas, institucionales, políticas, sociales, cognitivas, de salud y nutrimentales que permiten realizar su elección. En base a esto se puede definir al desarrollo como </w:t>
      </w:r>
      <w:r w:rsidRPr="000A2024">
        <w:rPr>
          <w:rFonts w:ascii="Arial" w:hAnsi="Arial" w:cs="Arial"/>
          <w:sz w:val="24"/>
          <w:szCs w:val="24"/>
        </w:rPr>
        <w:lastRenderedPageBreak/>
        <w:t>el nivel de expansión de la capacidad del individuo de ejercer su libertad de elección para encontrar su propio bienestar.</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índice que se utiliza internacionalmente para medir el desarrollo humano contempla tres variables básicas que son educación, salud y la capacidad de acceder a bienes y servicios mediante el ingreso.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índice es corregido por variables como la equidad y la potenciación de género. Según el informe del PNUD (1990) define al desarrollo humano como </w:t>
      </w:r>
    </w:p>
    <w:p w:rsidR="00080599" w:rsidRPr="000A2024" w:rsidRDefault="00080599" w:rsidP="00080599">
      <w:pPr>
        <w:pStyle w:val="Prrafodelista"/>
        <w:spacing w:after="120" w:line="360" w:lineRule="auto"/>
        <w:ind w:left="1416"/>
        <w:contextualSpacing w:val="0"/>
        <w:jc w:val="both"/>
        <w:rPr>
          <w:rFonts w:ascii="Arial" w:hAnsi="Arial" w:cs="Arial"/>
          <w:sz w:val="24"/>
          <w:szCs w:val="24"/>
        </w:rPr>
      </w:pPr>
      <w:r w:rsidRPr="000A2024">
        <w:rPr>
          <w:rFonts w:ascii="Arial" w:hAnsi="Arial" w:cs="Arial"/>
          <w:sz w:val="24"/>
          <w:szCs w:val="24"/>
        </w:rPr>
        <w:t>“el proceso de ampliación de las posibilidades de elegir de los individuos que tienen como objetivo expandir la gama de oportunidades abiertas a las personas para vivir una vida saludable, creativa, y con los medios adecuados para desenvolverse en la sociedad.” (Programa de las Naciones Unidas para el Desarrollo [PNUD], 1990)</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Bajo esta definición es claro que la calidad de vida de una persona no depende del ingreso sin embargo su relevancia como medio sigue siendo de tipo importante.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 debe considerar que los países que están dentro del conteo del IDH (índice de desarrollo humano) sus posiciones no concuerdan la lista según el PIB per cápita. Según Anand y Ravallion (citados en López-Calva y Vélez Grajales, 2003) aquellos países que no encuentran el desarrollo se deben a la carencia de capacidades básicas y no a una carencia de ingreso.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esto la razón por la que la construcción de un índice que permita medir el desarrollo debe estar enfocado a sustituir al ingreso como principal factor por las capacidades y oportunidades.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Sin embargo, alega López-Calva y Grajales (2003), que existe evidencia empírica que encuentra correlación fuerte entre la carencia de capacidades y los ingresos bajos, pero también contemplar que existen casos que lo opuesto es lo que ocurre.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libertad del individuo es importante en el desarrollo humano. Si bien el índice de desarrollo humano no es medido estrictamente desde el PIB por sí mismo </w:t>
      </w:r>
      <w:r w:rsidR="00145B42" w:rsidRPr="000A2024">
        <w:rPr>
          <w:rFonts w:ascii="Arial" w:hAnsi="Arial" w:cs="Arial"/>
          <w:sz w:val="24"/>
          <w:szCs w:val="24"/>
        </w:rPr>
        <w:t>este</w:t>
      </w:r>
      <w:r w:rsidRPr="000A2024">
        <w:rPr>
          <w:rFonts w:ascii="Arial" w:hAnsi="Arial" w:cs="Arial"/>
          <w:sz w:val="24"/>
          <w:szCs w:val="24"/>
        </w:rPr>
        <w:t xml:space="preserve"> </w:t>
      </w:r>
      <w:r w:rsidRPr="000A2024">
        <w:rPr>
          <w:rFonts w:ascii="Arial" w:hAnsi="Arial" w:cs="Arial"/>
          <w:sz w:val="24"/>
          <w:szCs w:val="24"/>
        </w:rPr>
        <w:lastRenderedPageBreak/>
        <w:t xml:space="preserve">puede ser representativo en cierta magnitud, por lo tanto, el individuo debe tener la libertad de seleccionar los bienes que obtiene en el mercado de su preferencia.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Además, para alcanzar un desarrollo pleno de su potencialidad debe tener la libertad de expresar sus opiniones y necesidades como un miembro de la sociedad para así ayudar en la construcción de una estructura política más eficiente y moderna.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estudio </w:t>
      </w:r>
      <w:r w:rsidRPr="000A2024">
        <w:rPr>
          <w:rFonts w:ascii="Arial" w:hAnsi="Arial" w:cs="Arial"/>
          <w:i/>
          <w:sz w:val="24"/>
          <w:szCs w:val="24"/>
        </w:rPr>
        <w:t>Redistribución con crecimiento</w:t>
      </w:r>
      <w:r w:rsidRPr="000A2024">
        <w:rPr>
          <w:rFonts w:ascii="Arial" w:hAnsi="Arial" w:cs="Arial"/>
          <w:sz w:val="24"/>
          <w:szCs w:val="24"/>
        </w:rPr>
        <w:t xml:space="preserve"> realizado por el Banco Mundial y el Instituto Sussex de estudios sobre Desarrollo (citado en López-Calva y Vélez Grajales, 2003) índica las formas en que los paradigmas de la pobreza como la falta de equidad, el desempleo y la misma pobreza en sí pueden ser erradicados mediante la conjunción del crecimiento económico, la redistribución de la riqueza y con un especial énfasis en el desarrollo humano.</w:t>
      </w:r>
    </w:p>
    <w:p w:rsidR="00080599" w:rsidRPr="000A2024" w:rsidRDefault="00080599" w:rsidP="00080599">
      <w:pPr>
        <w:spacing w:line="259" w:lineRule="auto"/>
        <w:rPr>
          <w:rFonts w:ascii="Arial" w:hAnsi="Arial" w:cs="Arial"/>
        </w:rPr>
      </w:pPr>
      <w:r w:rsidRPr="000A2024">
        <w:rPr>
          <w:rFonts w:ascii="Arial" w:hAnsi="Arial" w:cs="Arial"/>
        </w:rPr>
        <w:br w:type="page"/>
      </w:r>
    </w:p>
    <w:p w:rsidR="00080599" w:rsidRPr="005A0500" w:rsidRDefault="005A0500" w:rsidP="005A0500">
      <w:pPr>
        <w:pStyle w:val="Capitulos"/>
        <w:spacing w:before="0" w:after="240"/>
        <w:rPr>
          <w:rFonts w:ascii="Arial" w:hAnsi="Arial" w:cs="Arial"/>
          <w:sz w:val="24"/>
        </w:rPr>
      </w:pPr>
      <w:bookmarkStart w:id="20" w:name="_Toc450230495"/>
      <w:r w:rsidRPr="005A0500">
        <w:rPr>
          <w:rFonts w:ascii="Arial" w:hAnsi="Arial" w:cs="Arial"/>
          <w:sz w:val="24"/>
        </w:rPr>
        <w:lastRenderedPageBreak/>
        <w:t>CAPÍTULO II: POBREZA</w:t>
      </w:r>
      <w:r w:rsidR="00080599" w:rsidRPr="005A0500">
        <w:rPr>
          <w:rFonts w:ascii="Arial" w:hAnsi="Arial" w:cs="Arial"/>
          <w:sz w:val="24"/>
        </w:rPr>
        <w:t>.</w:t>
      </w:r>
      <w:bookmarkEnd w:id="20"/>
    </w:p>
    <w:p w:rsidR="00080599" w:rsidRPr="000A2024" w:rsidRDefault="00080599" w:rsidP="005A0500">
      <w:pPr>
        <w:pStyle w:val="SubTema"/>
        <w:numPr>
          <w:ilvl w:val="0"/>
          <w:numId w:val="81"/>
        </w:numPr>
        <w:spacing w:before="0" w:after="120"/>
        <w:rPr>
          <w:rFonts w:ascii="Arial" w:hAnsi="Arial" w:cs="Arial"/>
        </w:rPr>
      </w:pPr>
      <w:bookmarkStart w:id="21" w:name="_Toc450230496"/>
      <w:r w:rsidRPr="000A2024">
        <w:rPr>
          <w:rFonts w:ascii="Arial" w:hAnsi="Arial" w:cs="Arial"/>
        </w:rPr>
        <w:t>Una concepción coloquial de la Pobreza.</w:t>
      </w:r>
      <w:bookmarkEnd w:id="21"/>
    </w:p>
    <w:p w:rsidR="00AC2B2C"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En una idea coloquial, la pobreza es relacionada y depende del nivel de ingreso que posee una persona, pero ¿acaso no hay ricos que son pobres?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A menudo nuestra capacidad de poder adquirir bienes de consumo o de acumulación define nuestra situación económica y social, y dependiendo de la magnitud de esa capacidad podría ser posible fijar un estándar que defina diversos niveles de pobreza o de no pobreza.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Sin embargo, recaemos dentro de la medición del poder adquisitivo que posee cada persona y esta perspectiva en términos del combate a la pobreza no tendría la visión suficiente para vislumbrar las verdaderas causantes de </w:t>
      </w:r>
      <w:r w:rsidR="00536CD1" w:rsidRPr="000A2024">
        <w:rPr>
          <w:rFonts w:ascii="Arial" w:hAnsi="Arial" w:cs="Arial"/>
          <w:sz w:val="24"/>
          <w:szCs w:val="24"/>
        </w:rPr>
        <w:t>esta</w:t>
      </w:r>
      <w:r w:rsidRPr="000A2024">
        <w:rPr>
          <w:rFonts w:ascii="Arial" w:hAnsi="Arial" w:cs="Arial"/>
          <w:sz w:val="24"/>
          <w:szCs w:val="24"/>
        </w:rPr>
        <w:t>.</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Cuando algunos países desean destinar recursos para buscar y erradicar los factores que causan las circunstancias de la pobreza por lo general los recursos humanos y económicos son limitados por lo que se requiere un uso eficientemente de estos en programas o políticas que posean una cobertura universal dirigiéndose a grupos específicos para maximizar la eficiencia de las políticas o programas y así atacar las causas determinantes que realmente la causan. Sin embargo, que los recursos económicos o humanos sean limitados no es el verdadero problema.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Las diferentes situaciones que provocan diversas carencias no afectan uniformemente en el nivel de vida de cada individuo o familia (unidad básica de análisis según el MIDELPAN, 2002) por lo que diferenciar la pobreza y reconocer a quienes se encuentran en ella es realmente el reto que presentan las políticas o programas de los países ya que se deben introducir estimaciones de los conceptos básicos de la pobreza para cada caso en particular.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Una buena estimación permitirá maximizar la efectividad de las políticas o programas minimizando costos.</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La pobreza puede ser vista como un fenómeno económico, humano, social, etcétera, y dependiendo del enfoque que se le coloque cambiarán los factores y </w:t>
      </w:r>
      <w:r w:rsidRPr="000A2024">
        <w:rPr>
          <w:rFonts w:ascii="Arial" w:hAnsi="Arial" w:cs="Arial"/>
          <w:sz w:val="24"/>
          <w:szCs w:val="24"/>
        </w:rPr>
        <w:lastRenderedPageBreak/>
        <w:t xml:space="preserve">determinantes que la causan, incluso se diferenciarán los grupos que son considerados bajo pobreza.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Para algunos enfoques ciertas variables son determinantes, pero es posible que para otros no y es por esto que dependiendo del enfoque, la pobreza que se buscará.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En términos generales la pobreza se asocia a la carencia de alguna necesidad y posee ciertos componentes como la desigualdad, privación y la exclusión, los cuales atentan contra los derechos humanos y afectan la calidad de vida de aquellas personas, grupos, comunidades o familias que se encuentran en ella.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Los enfoques de la pobreza se encaminan a este tipo de carencias y buscan ser medidas dependiendo de la capacidad y cualidad de representación que tengan los indicadores elegidos para su análisis.</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Para poder realizar un diagnóstico correcto de la situación de pobreza que pesa sobre cierto grupo es imperativo definir claramente qué es la pobreza y qué la determina y esta definición es individual y específica.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A lo largo de muchos trabajos de diversos autores se ha dado una definición exhaustiva para comprender esto, y cabe destacar que actualmente no existe una definición que englobe por completo a la pobreza ya que entre los diversos textos la definición conceptual depende del autor.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Wittgenstein (citado en P. Spicker, 2009) sugiere que el análisis de cualquier palabra sea en base a una familia de significados, es decir, mediante sus diversos significados que dependen del contexto a que se refieren.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No obstante, se recalca que dentro de la familia de significados no existe transitividad entre ellos, debido a la falta de un significado nuclear que los una, porque simplemente son un conglomerado de significados que permiten utilizar los términos dependiendo del uso </w:t>
      </w:r>
      <w:r w:rsidR="00335347" w:rsidRPr="000A2024">
        <w:rPr>
          <w:rFonts w:ascii="Arial" w:hAnsi="Arial" w:cs="Arial"/>
          <w:sz w:val="24"/>
          <w:szCs w:val="24"/>
        </w:rPr>
        <w:t>arbitrario que se requiera</w:t>
      </w:r>
      <w:r w:rsidRPr="000A2024">
        <w:rPr>
          <w:rFonts w:ascii="Arial" w:hAnsi="Arial" w:cs="Arial"/>
          <w:sz w:val="24"/>
          <w:szCs w:val="24"/>
        </w:rPr>
        <w:t xml:space="preserve">.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Retomando a Wittgenstein en la pobreza, contemplar visualizando a lo largo de todos los conceptos y definiciones de cada autor permitirá comprender la complejidad y naturaleza de la pobreza de una manera específica. </w:t>
      </w:r>
    </w:p>
    <w:p w:rsidR="00080599" w:rsidRPr="000A2024" w:rsidRDefault="00080599" w:rsidP="005A0500">
      <w:pPr>
        <w:spacing w:after="240" w:line="360" w:lineRule="auto"/>
        <w:jc w:val="both"/>
        <w:rPr>
          <w:rFonts w:ascii="Arial" w:hAnsi="Arial" w:cs="Arial"/>
          <w:sz w:val="24"/>
          <w:szCs w:val="24"/>
        </w:rPr>
      </w:pPr>
      <w:r w:rsidRPr="000A2024">
        <w:rPr>
          <w:rFonts w:ascii="Arial" w:hAnsi="Arial" w:cs="Arial"/>
          <w:sz w:val="24"/>
          <w:szCs w:val="24"/>
        </w:rPr>
        <w:lastRenderedPageBreak/>
        <w:t>Quizá sea prudente comenzar con las diversas concepciones que tiene la definición de la pobreza como objeto de estudio para así comenzar con un criterio más sólido sobre lo que es la pobreza realmente.</w:t>
      </w:r>
    </w:p>
    <w:p w:rsidR="00080599" w:rsidRPr="000A2024" w:rsidRDefault="00080599" w:rsidP="005A0500">
      <w:pPr>
        <w:pStyle w:val="SubTema"/>
        <w:spacing w:before="0" w:after="120"/>
        <w:rPr>
          <w:rFonts w:ascii="Arial" w:hAnsi="Arial" w:cs="Arial"/>
        </w:rPr>
      </w:pPr>
      <w:bookmarkStart w:id="22" w:name="_Toc450230497"/>
      <w:r w:rsidRPr="000A2024">
        <w:rPr>
          <w:rFonts w:ascii="Arial" w:hAnsi="Arial" w:cs="Arial"/>
        </w:rPr>
        <w:t>La familia de definiciones de Pobreza de Paul Spicker.</w:t>
      </w:r>
      <w:bookmarkEnd w:id="22"/>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Paul Spicker (2009), siguiendo la dinámica de la familia de significados, propone comprender a la pobreza mencionando doce definiciones, cada una se distingue de la otra, y estas son agrupadas dentro de tres distintas concepciones: condiciones materiales, condiciones económicas y condiciones sociales.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La finalidad es realizar un cruce de las diversas definiciones mediante sus características específicas, en donde el cruce es la situación de carencia extrema que él llama privación inaceptable con el cual pretende unificar la definición a la pobreza y sus enfoques de estudio. </w:t>
      </w:r>
    </w:p>
    <w:p w:rsidR="00080599" w:rsidRPr="000A2024" w:rsidRDefault="00080599" w:rsidP="00080599">
      <w:pPr>
        <w:spacing w:after="120" w:line="360" w:lineRule="auto"/>
        <w:jc w:val="both"/>
        <w:rPr>
          <w:rFonts w:ascii="Arial" w:hAnsi="Arial" w:cs="Arial"/>
          <w:sz w:val="24"/>
          <w:szCs w:val="24"/>
        </w:rPr>
      </w:pPr>
      <w:r w:rsidRPr="005A0500">
        <w:rPr>
          <w:rFonts w:ascii="Arial" w:hAnsi="Arial" w:cs="Arial"/>
          <w:sz w:val="24"/>
          <w:szCs w:val="24"/>
        </w:rPr>
        <w:t>Primer grupo conceptual</w:t>
      </w:r>
      <w:r w:rsidRPr="000A2024">
        <w:rPr>
          <w:rFonts w:ascii="Arial" w:hAnsi="Arial" w:cs="Arial"/>
          <w:sz w:val="24"/>
          <w:szCs w:val="24"/>
        </w:rPr>
        <w:t xml:space="preserve">: </w:t>
      </w:r>
      <w:r w:rsidRPr="005A0500">
        <w:rPr>
          <w:rFonts w:ascii="Arial" w:hAnsi="Arial" w:cs="Arial"/>
          <w:sz w:val="24"/>
          <w:szCs w:val="24"/>
        </w:rPr>
        <w:t>La pobreza como un concepto material.</w:t>
      </w:r>
    </w:p>
    <w:p w:rsidR="00080599" w:rsidRPr="000A2024" w:rsidRDefault="00080599" w:rsidP="00080599">
      <w:pPr>
        <w:pStyle w:val="Prrafodelista"/>
        <w:numPr>
          <w:ilvl w:val="0"/>
          <w:numId w:val="38"/>
        </w:numPr>
        <w:spacing w:after="120" w:line="360" w:lineRule="auto"/>
        <w:jc w:val="both"/>
        <w:rPr>
          <w:rFonts w:ascii="Arial" w:hAnsi="Arial" w:cs="Arial"/>
          <w:sz w:val="24"/>
          <w:szCs w:val="24"/>
        </w:rPr>
      </w:pPr>
      <w:r w:rsidRPr="000A2024">
        <w:rPr>
          <w:rFonts w:ascii="Arial" w:hAnsi="Arial" w:cs="Arial"/>
          <w:sz w:val="24"/>
          <w:szCs w:val="24"/>
        </w:rPr>
        <w:t xml:space="preserve">Necesidad.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Esta definición se remite a las necesidades básicas necesarias para vivir. Recalca la relación entre los recursos económicos limitados, el consumo inadecuado y el bienestar físico y mental. Se contempla a la pobreza como la carencia de algo.</w:t>
      </w:r>
    </w:p>
    <w:p w:rsidR="00080599" w:rsidRPr="000A2024" w:rsidRDefault="00080599" w:rsidP="00080599">
      <w:pPr>
        <w:pStyle w:val="Prrafodelista"/>
        <w:numPr>
          <w:ilvl w:val="0"/>
          <w:numId w:val="38"/>
        </w:numPr>
        <w:spacing w:after="120" w:line="360" w:lineRule="auto"/>
        <w:jc w:val="both"/>
        <w:rPr>
          <w:rFonts w:ascii="Arial" w:hAnsi="Arial" w:cs="Arial"/>
          <w:sz w:val="24"/>
          <w:szCs w:val="24"/>
        </w:rPr>
      </w:pPr>
      <w:r w:rsidRPr="000A2024">
        <w:rPr>
          <w:rFonts w:ascii="Arial" w:hAnsi="Arial" w:cs="Arial"/>
          <w:sz w:val="24"/>
          <w:szCs w:val="24"/>
        </w:rPr>
        <w:t xml:space="preserve">Patrón de privaciones. </w:t>
      </w:r>
    </w:p>
    <w:p w:rsidR="00BC0C26" w:rsidRPr="000A2024" w:rsidRDefault="00080599" w:rsidP="00BC0C26">
      <w:pPr>
        <w:pStyle w:val="Prrafodelista"/>
        <w:spacing w:after="120" w:line="360" w:lineRule="auto"/>
        <w:jc w:val="both"/>
        <w:rPr>
          <w:rFonts w:ascii="Arial" w:hAnsi="Arial" w:cs="Arial"/>
          <w:sz w:val="24"/>
          <w:szCs w:val="24"/>
        </w:rPr>
      </w:pPr>
      <w:r w:rsidRPr="000A2024">
        <w:rPr>
          <w:rFonts w:ascii="Arial" w:hAnsi="Arial" w:cs="Arial"/>
          <w:sz w:val="24"/>
          <w:szCs w:val="24"/>
        </w:rPr>
        <w:t>Existe prioridad entre necesidades dependiendo de qué tanto son necesarias para sobrevivir. El tiempo en que uno se encuentra bajo alguna privación es relevante por lo que para poder denominar a alguien en estado de pobreza debe ser resultado de una serie de combinaciones de problemas que cambian a través del tiempo.</w:t>
      </w:r>
    </w:p>
    <w:p w:rsidR="00080599" w:rsidRPr="000A2024" w:rsidRDefault="00080599" w:rsidP="00BC0C26">
      <w:pPr>
        <w:pStyle w:val="Prrafodelista"/>
        <w:numPr>
          <w:ilvl w:val="0"/>
          <w:numId w:val="38"/>
        </w:numPr>
        <w:spacing w:after="120" w:line="360" w:lineRule="auto"/>
        <w:jc w:val="both"/>
        <w:rPr>
          <w:rFonts w:ascii="Arial" w:hAnsi="Arial" w:cs="Arial"/>
          <w:sz w:val="24"/>
          <w:szCs w:val="24"/>
        </w:rPr>
      </w:pPr>
      <w:r w:rsidRPr="000A2024">
        <w:rPr>
          <w:rFonts w:ascii="Arial" w:hAnsi="Arial" w:cs="Arial"/>
          <w:sz w:val="24"/>
          <w:szCs w:val="24"/>
        </w:rPr>
        <w:t xml:space="preserve">Limitación de Recursos.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La característica de la pobreza bajo esta definición es el impedimento que existe en la adquisición o alcance de aquellas cosas que se necesitan.  Se define a alguien pobreza cuando los medios que posee son apenas suficientes para una vida decente e independiente. Se presentan bajos niveles de consumo en circunstancias de pobreza.</w:t>
      </w:r>
    </w:p>
    <w:p w:rsidR="00080599" w:rsidRPr="000A2024" w:rsidRDefault="00080599" w:rsidP="00080599">
      <w:pPr>
        <w:spacing w:after="120" w:line="360" w:lineRule="auto"/>
        <w:jc w:val="both"/>
        <w:rPr>
          <w:rFonts w:ascii="Arial" w:hAnsi="Arial" w:cs="Arial"/>
          <w:sz w:val="24"/>
          <w:szCs w:val="24"/>
        </w:rPr>
      </w:pPr>
      <w:r w:rsidRPr="005A0500">
        <w:rPr>
          <w:rFonts w:ascii="Arial" w:hAnsi="Arial" w:cs="Arial"/>
          <w:sz w:val="24"/>
          <w:szCs w:val="24"/>
        </w:rPr>
        <w:lastRenderedPageBreak/>
        <w:t>Segundo grupo conceptual</w:t>
      </w:r>
      <w:r w:rsidRPr="000A2024">
        <w:rPr>
          <w:rFonts w:ascii="Arial" w:hAnsi="Arial" w:cs="Arial"/>
          <w:sz w:val="24"/>
          <w:szCs w:val="24"/>
        </w:rPr>
        <w:t xml:space="preserve">: </w:t>
      </w:r>
      <w:r w:rsidRPr="005A0500">
        <w:rPr>
          <w:rFonts w:ascii="Arial" w:hAnsi="Arial" w:cs="Arial"/>
          <w:sz w:val="24"/>
          <w:szCs w:val="24"/>
        </w:rPr>
        <w:t>La pobreza como concepto económico.</w:t>
      </w:r>
    </w:p>
    <w:p w:rsidR="00080599" w:rsidRPr="000A2024" w:rsidRDefault="00080599" w:rsidP="00080599">
      <w:pPr>
        <w:pStyle w:val="Prrafodelista"/>
        <w:numPr>
          <w:ilvl w:val="0"/>
          <w:numId w:val="39"/>
        </w:numPr>
        <w:spacing w:after="120" w:line="360" w:lineRule="auto"/>
        <w:jc w:val="both"/>
        <w:rPr>
          <w:rFonts w:ascii="Arial" w:hAnsi="Arial" w:cs="Arial"/>
          <w:sz w:val="24"/>
          <w:szCs w:val="24"/>
        </w:rPr>
      </w:pPr>
      <w:r w:rsidRPr="000A2024">
        <w:rPr>
          <w:rFonts w:ascii="Arial" w:hAnsi="Arial" w:cs="Arial"/>
          <w:sz w:val="24"/>
          <w:szCs w:val="24"/>
        </w:rPr>
        <w:t xml:space="preserve">Nivel de Vida. </w:t>
      </w:r>
    </w:p>
    <w:p w:rsidR="00BC0C26"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Se mide mediante un estándar específico en términos del ingreso o del consumo. Si el nivel de vida de alguien se encuentra por debajo de este estándar es considerado como pobre. Distingue el nivel de vida promedio de las necesidades de la población.</w:t>
      </w:r>
    </w:p>
    <w:p w:rsidR="00080599" w:rsidRPr="000A2024" w:rsidRDefault="00080599" w:rsidP="00080599">
      <w:pPr>
        <w:pStyle w:val="Prrafodelista"/>
        <w:numPr>
          <w:ilvl w:val="0"/>
          <w:numId w:val="39"/>
        </w:numPr>
        <w:spacing w:after="120" w:line="360" w:lineRule="auto"/>
        <w:jc w:val="both"/>
        <w:rPr>
          <w:rFonts w:ascii="Arial" w:hAnsi="Arial" w:cs="Arial"/>
          <w:sz w:val="24"/>
          <w:szCs w:val="24"/>
        </w:rPr>
      </w:pPr>
      <w:r w:rsidRPr="000A2024">
        <w:rPr>
          <w:rFonts w:ascii="Arial" w:hAnsi="Arial" w:cs="Arial"/>
          <w:sz w:val="24"/>
          <w:szCs w:val="24"/>
        </w:rPr>
        <w:t xml:space="preserve">Desigualdad.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Las posibilidades que tienen las personas en la toma de decisiones en desventaja con respecto a otros es un síntoma de desigualdad y llevan a las personas a niveles mínimos aceptables para vivir.</w:t>
      </w:r>
    </w:p>
    <w:p w:rsidR="00080599" w:rsidRPr="000A2024" w:rsidRDefault="00080599" w:rsidP="00080599">
      <w:pPr>
        <w:pStyle w:val="Prrafodelista"/>
        <w:numPr>
          <w:ilvl w:val="0"/>
          <w:numId w:val="39"/>
        </w:numPr>
        <w:spacing w:after="120" w:line="360" w:lineRule="auto"/>
        <w:jc w:val="both"/>
        <w:rPr>
          <w:rFonts w:ascii="Arial" w:hAnsi="Arial" w:cs="Arial"/>
          <w:sz w:val="24"/>
          <w:szCs w:val="24"/>
        </w:rPr>
      </w:pPr>
      <w:r w:rsidRPr="000A2024">
        <w:rPr>
          <w:rFonts w:ascii="Arial" w:hAnsi="Arial" w:cs="Arial"/>
          <w:sz w:val="24"/>
          <w:szCs w:val="24"/>
        </w:rPr>
        <w:t xml:space="preserve">Posición económica.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El consumo y nivel de ingresos son indicadores. Debido a que se busca definir a la pobreza como un problema de estratificación social se cae nuevamente en términos de desigualdad. Marx (citado en Spicker, 2009) decía que existe un hecho fundamental que es que los pobres son una parte de la clase trabajadora.</w:t>
      </w:r>
    </w:p>
    <w:p w:rsidR="00080599" w:rsidRPr="000A2024" w:rsidRDefault="00080599" w:rsidP="00080599">
      <w:pPr>
        <w:jc w:val="both"/>
        <w:rPr>
          <w:rFonts w:ascii="Arial" w:hAnsi="Arial" w:cs="Arial"/>
          <w:sz w:val="24"/>
          <w:szCs w:val="24"/>
        </w:rPr>
      </w:pPr>
      <w:r w:rsidRPr="005A0500">
        <w:rPr>
          <w:rFonts w:ascii="Arial" w:hAnsi="Arial" w:cs="Arial"/>
          <w:sz w:val="24"/>
          <w:szCs w:val="24"/>
        </w:rPr>
        <w:t>Tercer grupo conceptual</w:t>
      </w:r>
      <w:r w:rsidRPr="000A2024">
        <w:rPr>
          <w:rFonts w:ascii="Arial" w:hAnsi="Arial" w:cs="Arial"/>
          <w:sz w:val="24"/>
          <w:szCs w:val="24"/>
        </w:rPr>
        <w:t xml:space="preserve">: </w:t>
      </w:r>
      <w:r w:rsidRPr="005A0500">
        <w:rPr>
          <w:rFonts w:ascii="Arial" w:hAnsi="Arial" w:cs="Arial"/>
          <w:sz w:val="24"/>
          <w:szCs w:val="24"/>
        </w:rPr>
        <w:t>La pobreza como un concepto social.</w:t>
      </w:r>
    </w:p>
    <w:p w:rsidR="00080599" w:rsidRPr="000A2024" w:rsidRDefault="00080599" w:rsidP="00080599">
      <w:pPr>
        <w:pStyle w:val="Prrafodelista"/>
        <w:numPr>
          <w:ilvl w:val="0"/>
          <w:numId w:val="40"/>
        </w:numPr>
        <w:spacing w:after="120" w:line="360" w:lineRule="auto"/>
        <w:jc w:val="both"/>
        <w:rPr>
          <w:rFonts w:ascii="Arial" w:hAnsi="Arial" w:cs="Arial"/>
          <w:sz w:val="24"/>
          <w:szCs w:val="24"/>
        </w:rPr>
      </w:pPr>
      <w:r w:rsidRPr="000A2024">
        <w:rPr>
          <w:rFonts w:ascii="Arial" w:hAnsi="Arial" w:cs="Arial"/>
          <w:sz w:val="24"/>
          <w:szCs w:val="24"/>
        </w:rPr>
        <w:t xml:space="preserve">Clase Social.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Spicker (2009) afirma que en esta definición identifica la posición socioeconómica de los pobres con su estatus socioeconómico por medio de los roles sociales y ocupacionales. Un enfoque discriminatorio para mi parecer.</w:t>
      </w:r>
    </w:p>
    <w:p w:rsidR="00080599" w:rsidRPr="000A2024" w:rsidRDefault="00080599" w:rsidP="00080599">
      <w:pPr>
        <w:pStyle w:val="Prrafodelista"/>
        <w:numPr>
          <w:ilvl w:val="0"/>
          <w:numId w:val="40"/>
        </w:numPr>
        <w:spacing w:after="120" w:line="360" w:lineRule="auto"/>
        <w:jc w:val="both"/>
        <w:rPr>
          <w:rFonts w:ascii="Arial" w:hAnsi="Arial" w:cs="Arial"/>
          <w:sz w:val="24"/>
          <w:szCs w:val="24"/>
        </w:rPr>
      </w:pPr>
      <w:r w:rsidRPr="000A2024">
        <w:rPr>
          <w:rFonts w:ascii="Arial" w:hAnsi="Arial" w:cs="Arial"/>
          <w:sz w:val="24"/>
          <w:szCs w:val="24"/>
        </w:rPr>
        <w:t xml:space="preserve">Dependencia.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Considera pobre a aquellos que subsisten por medio de beneficios y asistencias sociales o ayudas externas debido a su carencia de recursos y medios para obtenerlos.</w:t>
      </w:r>
    </w:p>
    <w:p w:rsidR="00080599" w:rsidRPr="000A2024" w:rsidRDefault="00080599" w:rsidP="00080599">
      <w:pPr>
        <w:pStyle w:val="Prrafodelista"/>
        <w:numPr>
          <w:ilvl w:val="0"/>
          <w:numId w:val="40"/>
        </w:numPr>
        <w:spacing w:after="120" w:line="360" w:lineRule="auto"/>
        <w:jc w:val="both"/>
        <w:rPr>
          <w:rFonts w:ascii="Arial" w:hAnsi="Arial" w:cs="Arial"/>
          <w:sz w:val="24"/>
          <w:szCs w:val="24"/>
        </w:rPr>
      </w:pPr>
      <w:r w:rsidRPr="000A2024">
        <w:rPr>
          <w:rFonts w:ascii="Arial" w:hAnsi="Arial" w:cs="Arial"/>
          <w:sz w:val="24"/>
          <w:szCs w:val="24"/>
        </w:rPr>
        <w:t xml:space="preserve">Carencias de seguridad básica.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La carencia de la seguridad social básica es tomada como un bien vulnerable dentro de los riesgos sociales de los pobres. Se puede considerar pobre a aquellos que requieren de la seguridad básica.</w:t>
      </w:r>
    </w:p>
    <w:p w:rsidR="00080599" w:rsidRPr="000A2024" w:rsidRDefault="00080599" w:rsidP="00080599">
      <w:pPr>
        <w:pStyle w:val="Prrafodelista"/>
        <w:numPr>
          <w:ilvl w:val="0"/>
          <w:numId w:val="40"/>
        </w:numPr>
        <w:spacing w:after="120" w:line="360" w:lineRule="auto"/>
        <w:jc w:val="both"/>
        <w:rPr>
          <w:rFonts w:ascii="Arial" w:hAnsi="Arial" w:cs="Arial"/>
          <w:sz w:val="24"/>
          <w:szCs w:val="24"/>
        </w:rPr>
      </w:pPr>
      <w:r w:rsidRPr="000A2024">
        <w:rPr>
          <w:rFonts w:ascii="Arial" w:hAnsi="Arial" w:cs="Arial"/>
          <w:sz w:val="24"/>
          <w:szCs w:val="24"/>
        </w:rPr>
        <w:lastRenderedPageBreak/>
        <w:t xml:space="preserve">Ausencia de titularidades.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Es bastante simple y fundamental la condición de pobreza en este caso, aquellos que cuentan con titularidades no pueden ser pobres.</w:t>
      </w:r>
    </w:p>
    <w:p w:rsidR="00080599" w:rsidRPr="000A2024" w:rsidRDefault="00080599" w:rsidP="00080599">
      <w:pPr>
        <w:pStyle w:val="Prrafodelista"/>
        <w:numPr>
          <w:ilvl w:val="0"/>
          <w:numId w:val="40"/>
        </w:numPr>
        <w:spacing w:after="120" w:line="360" w:lineRule="auto"/>
        <w:jc w:val="both"/>
        <w:rPr>
          <w:rFonts w:ascii="Arial" w:hAnsi="Arial" w:cs="Arial"/>
          <w:sz w:val="24"/>
          <w:szCs w:val="24"/>
        </w:rPr>
      </w:pPr>
      <w:r w:rsidRPr="000A2024">
        <w:rPr>
          <w:rFonts w:ascii="Arial" w:hAnsi="Arial" w:cs="Arial"/>
          <w:sz w:val="24"/>
          <w:szCs w:val="24"/>
        </w:rPr>
        <w:t xml:space="preserve">Exclusión. </w:t>
      </w:r>
    </w:p>
    <w:p w:rsidR="00BC0C26"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Es relacionada a cuestiones de servicios básicos como la educación, acceso a la salud, vivienda o nutrición. Por esto último este enfoque posee una naturaleza multidimensional. Aquellas personas que son excluidas de estos servicios básicos son consideradas pobres.</w:t>
      </w:r>
    </w:p>
    <w:p w:rsidR="00080599" w:rsidRPr="000A2024" w:rsidRDefault="00080599" w:rsidP="00080599">
      <w:pPr>
        <w:pStyle w:val="Prrafodelista"/>
        <w:numPr>
          <w:ilvl w:val="0"/>
          <w:numId w:val="40"/>
        </w:numPr>
        <w:spacing w:after="120" w:line="360" w:lineRule="auto"/>
        <w:jc w:val="both"/>
        <w:rPr>
          <w:rFonts w:ascii="Arial" w:hAnsi="Arial" w:cs="Arial"/>
          <w:sz w:val="24"/>
          <w:szCs w:val="24"/>
        </w:rPr>
      </w:pPr>
      <w:r w:rsidRPr="000A2024">
        <w:rPr>
          <w:rFonts w:ascii="Arial" w:hAnsi="Arial" w:cs="Arial"/>
          <w:sz w:val="24"/>
          <w:szCs w:val="24"/>
        </w:rPr>
        <w:t xml:space="preserve">Como un juicio moral. </w:t>
      </w:r>
    </w:p>
    <w:p w:rsidR="00080599" w:rsidRPr="000A2024" w:rsidRDefault="00080599" w:rsidP="00080599">
      <w:pPr>
        <w:pStyle w:val="Prrafodelista"/>
        <w:spacing w:after="120" w:line="360" w:lineRule="auto"/>
        <w:jc w:val="both"/>
        <w:rPr>
          <w:rFonts w:ascii="Arial" w:hAnsi="Arial" w:cs="Arial"/>
          <w:sz w:val="24"/>
          <w:szCs w:val="24"/>
        </w:rPr>
      </w:pPr>
      <w:r w:rsidRPr="000A2024">
        <w:rPr>
          <w:rFonts w:ascii="Arial" w:hAnsi="Arial" w:cs="Arial"/>
          <w:sz w:val="24"/>
          <w:szCs w:val="24"/>
        </w:rPr>
        <w:t>Se considera pobre aquella persona que sus condiciones de vida son moralmente inaceptables y con esto lleva un juicio y un imperativo moral de algo que se debe hacer, sostiene Spicker.</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Spicker (2009) intenta resumir los diversos tipos de enfoques, así como las variables a medir junto con los indicadores que cambian a lo largo de cada definición de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definición que posea la pobreza determinará quienes están bajo ella, los indicadores que la miden y permitirá encaminar las políticas públicas a sectores específicos para el combate de la pobreza. </w:t>
      </w:r>
    </w:p>
    <w:p w:rsidR="00080599" w:rsidRPr="000A2024" w:rsidRDefault="00080599" w:rsidP="005A0500">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 xml:space="preserve">Estas diferencias de definiciones </w:t>
      </w:r>
      <w:r w:rsidR="00335347" w:rsidRPr="000A2024">
        <w:rPr>
          <w:rFonts w:ascii="Arial" w:hAnsi="Arial" w:cs="Arial"/>
          <w:sz w:val="24"/>
          <w:szCs w:val="24"/>
        </w:rPr>
        <w:t xml:space="preserve">que </w:t>
      </w:r>
      <w:r w:rsidRPr="000A2024">
        <w:rPr>
          <w:rFonts w:ascii="Arial" w:hAnsi="Arial" w:cs="Arial"/>
          <w:sz w:val="24"/>
          <w:szCs w:val="24"/>
        </w:rPr>
        <w:t>permiten a los investigadores adaptarse a cada nación, grupo social o región para poder analizar la pobreza específicamente y atacarla de una mejor manera.</w:t>
      </w:r>
    </w:p>
    <w:p w:rsidR="00080599" w:rsidRPr="000A2024" w:rsidRDefault="00080599" w:rsidP="005A0500">
      <w:pPr>
        <w:pStyle w:val="SubTema"/>
        <w:spacing w:before="0" w:after="120"/>
        <w:rPr>
          <w:rFonts w:ascii="Arial" w:hAnsi="Arial" w:cs="Arial"/>
        </w:rPr>
      </w:pPr>
      <w:bookmarkStart w:id="23" w:name="_Toc450230498"/>
      <w:r w:rsidRPr="000A2024">
        <w:rPr>
          <w:rFonts w:ascii="Arial" w:hAnsi="Arial" w:cs="Arial"/>
        </w:rPr>
        <w:t>Definiciones de Pobreza.</w:t>
      </w:r>
      <w:bookmarkEnd w:id="23"/>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Rocha Reza (2007) propone que la pobreza no es un fenómeno aislado, sino que por lo contrario este presenta repercusiones en las familias de los individuos que se encuen</w:t>
      </w:r>
      <w:r w:rsidR="00335347" w:rsidRPr="000A2024">
        <w:rPr>
          <w:rFonts w:ascii="Arial" w:hAnsi="Arial" w:cs="Arial"/>
          <w:sz w:val="24"/>
          <w:szCs w:val="24"/>
        </w:rPr>
        <w:t>tran en estas circunstancias, e</w:t>
      </w:r>
      <w:r w:rsidRPr="000A2024">
        <w:rPr>
          <w:rFonts w:ascii="Arial" w:hAnsi="Arial" w:cs="Arial"/>
          <w:sz w:val="24"/>
          <w:szCs w:val="24"/>
        </w:rPr>
        <w:t>s</w:t>
      </w:r>
      <w:r w:rsidR="00335347" w:rsidRPr="000A2024">
        <w:rPr>
          <w:rFonts w:ascii="Arial" w:hAnsi="Arial" w:cs="Arial"/>
          <w:sz w:val="24"/>
          <w:szCs w:val="24"/>
        </w:rPr>
        <w:t>tas</w:t>
      </w:r>
      <w:r w:rsidRPr="000A2024">
        <w:rPr>
          <w:rFonts w:ascii="Arial" w:hAnsi="Arial" w:cs="Arial"/>
          <w:sz w:val="24"/>
          <w:szCs w:val="24"/>
        </w:rPr>
        <w:t xml:space="preserve"> familias afectarían a sus comunidades y estas últimas a las regiones, estados o países.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También, resalta que los efectos de la pobreza no solo se encuentran dentro de la connotación económica, sino que afectan en diversos sectores de la vida humana como la salud, educación, etcétera.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Para Pieck y Aguado (citados en Rocha, 2007) la pobreza es aquella situación en la que se vive en ausencia de los servicios y bienes de consumo y a su privación debido a la desigualdad de oportunidades económicas que provoca la misma naturaleza de la pobreza.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equipo de profesionales del Departamento de Evaluación Social, de la División Social del Ministerio de Planificación y Cooperación (MIDELPAN, 2002) del Gobierno de Chile cita diversas definiciones de lo que es la pobreza a grosso modo y dentro de estas varias definiciones </w:t>
      </w:r>
      <w:r w:rsidRPr="000A2024">
        <w:rPr>
          <w:rFonts w:ascii="Arial" w:hAnsi="Arial" w:cs="Arial"/>
          <w:i/>
          <w:sz w:val="24"/>
          <w:szCs w:val="24"/>
        </w:rPr>
        <w:t>clásicas</w:t>
      </w:r>
      <w:r w:rsidRPr="000A2024">
        <w:rPr>
          <w:rFonts w:ascii="Arial" w:hAnsi="Arial" w:cs="Arial"/>
          <w:sz w:val="24"/>
          <w:szCs w:val="24"/>
        </w:rPr>
        <w:t xml:space="preserve"> me gustaría destacar tres:</w:t>
      </w:r>
    </w:p>
    <w:p w:rsidR="00080599" w:rsidRPr="000A2024" w:rsidRDefault="00080599" w:rsidP="00080599">
      <w:pPr>
        <w:pStyle w:val="Prrafodelista"/>
        <w:numPr>
          <w:ilvl w:val="0"/>
          <w:numId w:val="41"/>
        </w:numPr>
        <w:spacing w:after="120" w:line="360" w:lineRule="auto"/>
        <w:contextualSpacing w:val="0"/>
        <w:jc w:val="both"/>
        <w:rPr>
          <w:rFonts w:ascii="Arial" w:hAnsi="Arial" w:cs="Arial"/>
          <w:sz w:val="24"/>
          <w:szCs w:val="24"/>
        </w:rPr>
      </w:pPr>
      <w:r w:rsidRPr="000A2024">
        <w:rPr>
          <w:rFonts w:ascii="Arial" w:hAnsi="Arial" w:cs="Arial"/>
          <w:i/>
          <w:sz w:val="24"/>
          <w:szCs w:val="24"/>
        </w:rPr>
        <w:t>“Pobreza existe cuando una o más personas están o caen bajo un cierto nivel de bienestar económico considerado como un mínimo razonable, ya sea en términos absolutos o por los estándares de una sociedad específica”</w:t>
      </w:r>
      <w:r w:rsidRPr="000A2024">
        <w:rPr>
          <w:rFonts w:ascii="Arial" w:hAnsi="Arial" w:cs="Arial"/>
          <w:sz w:val="24"/>
          <w:szCs w:val="24"/>
        </w:rPr>
        <w:t>. (Lipton &amp; Ravallion, 1995).</w:t>
      </w:r>
    </w:p>
    <w:p w:rsidR="00080599" w:rsidRPr="000A2024" w:rsidRDefault="00080599" w:rsidP="00080599">
      <w:pPr>
        <w:pStyle w:val="Prrafodelista"/>
        <w:numPr>
          <w:ilvl w:val="0"/>
          <w:numId w:val="41"/>
        </w:numPr>
        <w:spacing w:after="120" w:line="360" w:lineRule="auto"/>
        <w:contextualSpacing w:val="0"/>
        <w:jc w:val="both"/>
        <w:rPr>
          <w:rFonts w:ascii="Arial" w:hAnsi="Arial" w:cs="Arial"/>
          <w:sz w:val="24"/>
          <w:szCs w:val="24"/>
        </w:rPr>
      </w:pPr>
      <w:r w:rsidRPr="000A2024">
        <w:rPr>
          <w:rFonts w:ascii="Arial" w:hAnsi="Arial" w:cs="Arial"/>
          <w:i/>
          <w:sz w:val="24"/>
          <w:szCs w:val="24"/>
        </w:rPr>
        <w:t xml:space="preserve">“Pobreza es entendida como la inhabilidad para obtener un estándar de vida mínimo”. </w:t>
      </w:r>
      <w:r w:rsidRPr="000A2024">
        <w:rPr>
          <w:rFonts w:ascii="Arial" w:hAnsi="Arial" w:cs="Arial"/>
          <w:sz w:val="24"/>
          <w:szCs w:val="24"/>
        </w:rPr>
        <w:t>(Banco Mundial, 1990).</w:t>
      </w:r>
    </w:p>
    <w:p w:rsidR="00080599" w:rsidRPr="000A2024" w:rsidRDefault="00080599" w:rsidP="00080599">
      <w:pPr>
        <w:pStyle w:val="Prrafodelista"/>
        <w:numPr>
          <w:ilvl w:val="0"/>
          <w:numId w:val="41"/>
        </w:numPr>
        <w:spacing w:after="120" w:line="360" w:lineRule="auto"/>
        <w:contextualSpacing w:val="0"/>
        <w:jc w:val="both"/>
        <w:rPr>
          <w:rFonts w:ascii="Arial" w:hAnsi="Arial" w:cs="Arial"/>
          <w:sz w:val="24"/>
          <w:szCs w:val="24"/>
        </w:rPr>
      </w:pPr>
      <w:r w:rsidRPr="000A2024">
        <w:rPr>
          <w:rFonts w:ascii="Arial" w:hAnsi="Arial" w:cs="Arial"/>
          <w:i/>
          <w:sz w:val="24"/>
          <w:szCs w:val="24"/>
        </w:rPr>
        <w:t>“Una persona es considerada pobre si él o ella no tiene acceso (o no posee la capacidad para acceder) a un paquete de bienes, servicios y derechos establecidos normativamente”.</w:t>
      </w:r>
      <w:r w:rsidRPr="000A2024">
        <w:rPr>
          <w:rFonts w:ascii="Arial" w:hAnsi="Arial" w:cs="Arial"/>
          <w:sz w:val="24"/>
          <w:szCs w:val="24"/>
        </w:rPr>
        <w:t xml:space="preserve"> (CEPAL, 1997).</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Moon (citado en Teitelboim, 2006) la pobreza es un fenómeno económico que posee dimensiones dentro de los ámbitos sociales, políticos y culturales. Es decir, la pobreza recae no solamente en la capacidad económica, sino en la capacidad humana.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algo cierto que la capacidad de poder desarrollarse como humano, alcanzando el máximo potencial posible, no debería depender del ingreso que cada individuo, grupo o familia posea. Quizá existen otras causantes de ese desarrollo que no se están contemplando o descubierto.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relatora especial de los Principios Rectores Magdalena Sepúlveda Carmona, en el informe “</w:t>
      </w:r>
      <w:r w:rsidRPr="000A2024">
        <w:rPr>
          <w:rFonts w:ascii="Arial" w:hAnsi="Arial" w:cs="Arial"/>
          <w:i/>
          <w:sz w:val="24"/>
          <w:szCs w:val="24"/>
        </w:rPr>
        <w:t xml:space="preserve">Proyecto final de los Principios Rectores sobre la extrema pobreza y los derechos humanos” </w:t>
      </w:r>
      <w:r w:rsidRPr="000A2024">
        <w:rPr>
          <w:rFonts w:ascii="Arial" w:hAnsi="Arial" w:cs="Arial"/>
          <w:sz w:val="24"/>
          <w:szCs w:val="24"/>
        </w:rPr>
        <w:t xml:space="preserve">presentado en julio del 2012 para el </w:t>
      </w:r>
      <w:r w:rsidRPr="000A2024">
        <w:rPr>
          <w:rFonts w:ascii="Arial" w:hAnsi="Arial" w:cs="Arial"/>
          <w:i/>
          <w:sz w:val="24"/>
          <w:szCs w:val="24"/>
        </w:rPr>
        <w:t>Comité de Derechos Económicos, Sociales y Culturales</w:t>
      </w:r>
      <w:r w:rsidRPr="000A2024">
        <w:rPr>
          <w:rFonts w:ascii="Arial" w:hAnsi="Arial" w:cs="Arial"/>
          <w:sz w:val="24"/>
          <w:szCs w:val="24"/>
        </w:rPr>
        <w:t xml:space="preserve">, define </w:t>
      </w:r>
      <w:r w:rsidR="00335347" w:rsidRPr="000A2024">
        <w:rPr>
          <w:rFonts w:ascii="Arial" w:hAnsi="Arial" w:cs="Arial"/>
          <w:sz w:val="24"/>
          <w:szCs w:val="24"/>
        </w:rPr>
        <w:t xml:space="preserve">a la pobreza como un estado tanto </w:t>
      </w:r>
      <w:r w:rsidR="00335347" w:rsidRPr="000A2024">
        <w:rPr>
          <w:rFonts w:ascii="Arial" w:hAnsi="Arial" w:cs="Arial"/>
          <w:sz w:val="24"/>
          <w:szCs w:val="24"/>
        </w:rPr>
        <w:lastRenderedPageBreak/>
        <w:t>crónico como continuo</w:t>
      </w:r>
      <w:r w:rsidRPr="000A2024">
        <w:rPr>
          <w:rFonts w:ascii="Arial" w:hAnsi="Arial" w:cs="Arial"/>
          <w:sz w:val="24"/>
          <w:szCs w:val="24"/>
        </w:rPr>
        <w:t xml:space="preserve"> en el que las personas son privadas de una calidad de vida adecuada por medio de la falta de recursos, capacidades, opciones y de seguridad.</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Dentro de la definición de pobreza de la relatora especial contempla que las personas que se encuentran en circunstancias de pobreza presentan una falta de desarrollo humano y de exclusión social ya que la mayoría de los derechos humanos y ciudadanos son suprimidos.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método más común que se utilizaba antes del nuevo milenio para poder identificar a la pobreza era por medio de un límite económico preestablecido y aunque existieran diversos enfoques, las líneas de pobreza que marcaban el umbral de quién es pobre y quién no, generalmente hacían referencia a un nivel de ingreso o consumo.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Nuevamente un análisis que se aboque a un solo indicador podría causar que no se contemple el fenómeno correctamente y esto en el caso de la pobreza impedirá reconocer sus verdaderas causas y no establecer parámetros generales que permitan tomar decisiones para confrontarlas.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por esto que para principios del nuevo milenio se han llegado a varios acuerdos entre naciones en donde es imperativo cambiar los métodos convencionales de análisis de un solo indicador de ingreso a mediciones multidimensionales para la lucha contra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Dicho esto, no se descarta la importancia de las variables en base a los ingresos porque la correlación que existe entre la pobreza y el nivel de ingresos sigue siendo importante puesto que las mediciones multidimensionales solo siguen proporcionando información complementaria para un mejor análisis.</w:t>
      </w:r>
    </w:p>
    <w:p w:rsidR="005A0500"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Para el MIDELPAN (2002) la pobreza es un fenómeno multidimensional ya que en su manifestación posee diversas causas como la care</w:t>
      </w:r>
      <w:r w:rsidR="000735D7" w:rsidRPr="000A2024">
        <w:rPr>
          <w:rFonts w:ascii="Arial" w:hAnsi="Arial" w:cs="Arial"/>
          <w:sz w:val="24"/>
          <w:szCs w:val="24"/>
        </w:rPr>
        <w:t xml:space="preserve">ncia de servicios, bienes, ingreso, </w:t>
      </w:r>
      <w:r w:rsidRPr="000A2024">
        <w:rPr>
          <w:rFonts w:ascii="Arial" w:hAnsi="Arial" w:cs="Arial"/>
          <w:sz w:val="24"/>
          <w:szCs w:val="24"/>
        </w:rPr>
        <w:t xml:space="preserve">problemas de salud y/o carencias relacionadas a las antes mencionadas con características que </w:t>
      </w:r>
      <w:r w:rsidR="005A0500">
        <w:rPr>
          <w:rFonts w:ascii="Arial" w:hAnsi="Arial" w:cs="Arial"/>
          <w:sz w:val="24"/>
          <w:szCs w:val="24"/>
        </w:rPr>
        <w:t>propician el desarrollo humano.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Para la mayoría de los autores la pobreza se define como la carencia de lo que es necesario para garantizar un bienestar y esta es la situación en la que un ser humano vive hambre y presenta diversas privaciones en distintos ámbitos.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pobreza se puede entender como un nivel de bienestar que no ha sido alcanzado por el individuo y dependiendo del contexto del bienestar que le otorga el autor será la interpretación que obtendrá la pobreza. </w:t>
      </w:r>
    </w:p>
    <w:p w:rsidR="00080599" w:rsidRPr="000A2024" w:rsidRDefault="00080599" w:rsidP="005A0500">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 xml:space="preserve">Según el documento presentado por la División de Estadística de la CEPAL (2013) los países han acordado que se requiere que cada uno disponga de medidas de la pobreza en más de una dimensión con el único </w:t>
      </w:r>
      <w:r w:rsidR="000735D7" w:rsidRPr="000A2024">
        <w:rPr>
          <w:rFonts w:ascii="Arial" w:hAnsi="Arial" w:cs="Arial"/>
          <w:sz w:val="24"/>
          <w:szCs w:val="24"/>
        </w:rPr>
        <w:t>fin de que todo ser humano, y se refieren</w:t>
      </w:r>
      <w:r w:rsidRPr="000A2024">
        <w:rPr>
          <w:rFonts w:ascii="Arial" w:hAnsi="Arial" w:cs="Arial"/>
          <w:sz w:val="24"/>
          <w:szCs w:val="24"/>
        </w:rPr>
        <w:t xml:space="preserve"> a la totalidad de la población de la tierra, pueda gozar d</w:t>
      </w:r>
      <w:r w:rsidR="00BC0C26" w:rsidRPr="000A2024">
        <w:rPr>
          <w:rFonts w:ascii="Arial" w:hAnsi="Arial" w:cs="Arial"/>
          <w:sz w:val="24"/>
          <w:szCs w:val="24"/>
        </w:rPr>
        <w:t>e un estado de bienestar.</w:t>
      </w:r>
    </w:p>
    <w:p w:rsidR="00080599" w:rsidRPr="000A2024" w:rsidRDefault="00080599" w:rsidP="005A0500">
      <w:pPr>
        <w:pStyle w:val="SubTema"/>
        <w:spacing w:before="0" w:after="120"/>
        <w:rPr>
          <w:rFonts w:ascii="Arial" w:hAnsi="Arial" w:cs="Arial"/>
        </w:rPr>
      </w:pPr>
      <w:bookmarkStart w:id="24" w:name="_Toc450230499"/>
      <w:r w:rsidRPr="000A2024">
        <w:rPr>
          <w:rFonts w:ascii="Arial" w:hAnsi="Arial" w:cs="Arial"/>
        </w:rPr>
        <w:t>La medición de la pobreza como un fenómeno multidimensional.</w:t>
      </w:r>
      <w:bookmarkEnd w:id="24"/>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único propósito de tener medidas multidimensionales para la pobreza es ampliar la información ya recopilada por los métodos convencionales que al igual que la teoría del desarrollo en un comienzo eran en base a la riqueza y al nivel de consumo.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Paul Spicker (2009) afirma que la pobreza ha sido tratada como un tema multidimensional a partir de los </w:t>
      </w:r>
      <w:r w:rsidRPr="000A2024">
        <w:rPr>
          <w:rFonts w:ascii="Arial" w:hAnsi="Arial" w:cs="Arial"/>
          <w:i/>
          <w:sz w:val="24"/>
          <w:szCs w:val="24"/>
        </w:rPr>
        <w:t>objetivos del desarrollo del milenio</w:t>
      </w:r>
      <w:r w:rsidRPr="000A2024">
        <w:rPr>
          <w:rFonts w:ascii="Arial" w:hAnsi="Arial" w:cs="Arial"/>
          <w:sz w:val="24"/>
          <w:szCs w:val="24"/>
        </w:rPr>
        <w:t xml:space="preserve"> pactados por las naciones a principios de este milenio y dice que los investigadores se han enfocado en las siguientes dimensiones de pobreza que poseen relación entre sí:</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Las limitaciones que poseen los pobres en cuanto a sus capacidades.</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Los diversos niveles de calidad de vida que poseen los pobres.</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El problema que causa la exclusión social en las relaciones sociales.</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Regiones, barrios, zonas, áreas o comunidades excluidas.</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Organizaciones comunitarias sin alcance ni poder.</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Discapacidades físicas y problemas de salud.</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El abuso y explotación de los pobres por parte de aquellos con poder.</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t>Discriminación de género.</w:t>
      </w:r>
    </w:p>
    <w:p w:rsidR="00080599" w:rsidRPr="000A2024" w:rsidRDefault="00080599" w:rsidP="00080599">
      <w:pPr>
        <w:pStyle w:val="Prrafodelista"/>
        <w:numPr>
          <w:ilvl w:val="0"/>
          <w:numId w:val="42"/>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 xml:space="preserve">Las instituciones que no otorgan poder a los pobres (desempoderamiento).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el documento presentado por la División de Estadística de la CEPAL (CEPAL, 2013) la tendencia es enfocar el estudio de la pobreza hacia el desarrollo social y el bienestar, ya que los indicadores basados en los ingresos monetarios se encuentran limitados al momento de realizar aproximaciones acerca de los estándares de vida.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uso de este tipo de enfoque también es útil para resaltar la importancia que tiene la relación intrínseca entre las políticas que proponen métodos para la erradicación de la pobreza y la selección de los indicadores que la determinan.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Otra ventaja de contemplar un enfoque de desarrollo social y de bienestar es que permite dirigir la atención a encontrar nuevas metodologías para la medición de la pobreza como un fenómeno de múltiples dimensiones.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la CEPAL (2013) los gobiernos han puesto especial atención a metodologías e indicadores de pobreza con métricas de múltiples dimensiones para en base a </w:t>
      </w:r>
      <w:r w:rsidR="00536CD1" w:rsidRPr="000A2024">
        <w:rPr>
          <w:rFonts w:ascii="Arial" w:hAnsi="Arial" w:cs="Arial"/>
          <w:sz w:val="24"/>
          <w:szCs w:val="24"/>
        </w:rPr>
        <w:t>esta</w:t>
      </w:r>
      <w:r w:rsidRPr="000A2024">
        <w:rPr>
          <w:rFonts w:ascii="Arial" w:hAnsi="Arial" w:cs="Arial"/>
          <w:sz w:val="24"/>
          <w:szCs w:val="24"/>
        </w:rPr>
        <w:t>s diseñar sus políticas públicas ya que la identificación de los pobres por medio de indicadores del ingreso no posee una alta correlación con el bienestar, y la utilización de índices que involucran diversos aspectos del bienestar permiten alinear la medición con las inferencias finales para así comenzar a tratar el problema minimizando esfuerzos, costos y contemplar una posible cobertura universal.</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la División de Estadística de la CEPAL (2013) esta metodología de estudio y de medición multidimensional se ha visto impulsada en América Latina y otras regiones por el marco teórico del bienestar y desarrollo social, el cual se enfoca más a la pobreza provocada por la privación de los derechos y a las perspectivas de capacidades, suplantando al enfoque de la pobreza causada por insatisfacción de necesidades básicas.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enfoque dado por el profesor Amaritya Sen (citado en Rodríguez Ramírez, 2004) en sus conferen</w:t>
      </w:r>
      <w:r w:rsidR="000735D7" w:rsidRPr="000A2024">
        <w:rPr>
          <w:rFonts w:ascii="Arial" w:hAnsi="Arial" w:cs="Arial"/>
          <w:sz w:val="24"/>
          <w:szCs w:val="24"/>
        </w:rPr>
        <w:t>cias de ¿equidad de qué? (</w:t>
      </w:r>
      <w:r w:rsidRPr="000A2024">
        <w:rPr>
          <w:rFonts w:ascii="Arial" w:hAnsi="Arial" w:cs="Arial"/>
          <w:sz w:val="24"/>
          <w:szCs w:val="24"/>
        </w:rPr>
        <w:t xml:space="preserve">quién tiene el reconocimiento de los </w:t>
      </w:r>
      <w:r w:rsidRPr="000A2024">
        <w:rPr>
          <w:rFonts w:ascii="Arial" w:hAnsi="Arial" w:cs="Arial"/>
          <w:sz w:val="24"/>
          <w:szCs w:val="24"/>
        </w:rPr>
        <w:lastRenderedPageBreak/>
        <w:t>enfoques en derechos o tit</w:t>
      </w:r>
      <w:r w:rsidR="000735D7" w:rsidRPr="000A2024">
        <w:rPr>
          <w:rFonts w:ascii="Arial" w:hAnsi="Arial" w:cs="Arial"/>
          <w:sz w:val="24"/>
          <w:szCs w:val="24"/>
        </w:rPr>
        <w:t>ularidades y de las capacidades) permite</w:t>
      </w:r>
      <w:r w:rsidRPr="000A2024">
        <w:rPr>
          <w:rFonts w:ascii="Arial" w:hAnsi="Arial" w:cs="Arial"/>
          <w:sz w:val="24"/>
          <w:szCs w:val="24"/>
        </w:rPr>
        <w:t xml:space="preserve"> agregar el costo económico de la provisión del derecho al individuo.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Organización Internacional del Trabajo (citada en MIDELPAN, 2002) propone un enfoque basado en la exclusión social que puede interpretarse como lo opuesto de los enfoques de activos y de derechos, es decir, como la falta de activos y reconocimiento de los derechos.</w:t>
      </w:r>
    </w:p>
    <w:p w:rsidR="00080599" w:rsidRPr="000A2024" w:rsidRDefault="00080599" w:rsidP="005A0500">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Otro ejemplo sería el enfoque estructural el cual percibe a la pobreza como un efecto de la estructura económica de la sociedad moderna excluyente. Contiene estudios acerca del ajuste y las reformas liberales de la pobreza.</w:t>
      </w:r>
    </w:p>
    <w:p w:rsidR="00080599" w:rsidRPr="000A2024" w:rsidRDefault="00080599" w:rsidP="005A0500">
      <w:pPr>
        <w:pStyle w:val="SubTema"/>
        <w:spacing w:before="0" w:after="120"/>
        <w:rPr>
          <w:rFonts w:ascii="Arial" w:hAnsi="Arial" w:cs="Arial"/>
        </w:rPr>
      </w:pPr>
      <w:bookmarkStart w:id="25" w:name="_Toc450230500"/>
      <w:r w:rsidRPr="000A2024">
        <w:rPr>
          <w:rFonts w:ascii="Arial" w:hAnsi="Arial" w:cs="Arial"/>
        </w:rPr>
        <w:t>La recomendación de la División de Estadística de la CEPAL para realizar una mejor medición multidimensional de la pobreza.</w:t>
      </w:r>
      <w:bookmarkEnd w:id="25"/>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CEPAL (2013) en su documento preparado para la duodécima reunión del Comité Ejecutivo de la Conferencia Estadística de las Américas de la Comisión Económica para América Latina y el Caribe que se celebró en abril del 2013 propone una serie de pasos para efectuar una correcta medición multidimensional de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propósito de este tipo de métrica, que contempla diversas dimensiones, es evaluar si efectivamente las personas logran permanecer dentro de los límites de bienestar. Según la división de estadística de la CEPAL, en la práctica, su implementación requiere de cuatro pasos:</w:t>
      </w:r>
    </w:p>
    <w:p w:rsidR="00080599" w:rsidRPr="005A0500" w:rsidRDefault="00080599" w:rsidP="000E3390">
      <w:pPr>
        <w:pStyle w:val="Prrafodelista"/>
        <w:numPr>
          <w:ilvl w:val="0"/>
          <w:numId w:val="34"/>
        </w:numPr>
        <w:spacing w:after="120"/>
        <w:jc w:val="both"/>
        <w:rPr>
          <w:rFonts w:ascii="Arial" w:hAnsi="Arial" w:cs="Arial"/>
          <w:i/>
          <w:sz w:val="24"/>
          <w:szCs w:val="24"/>
        </w:rPr>
      </w:pPr>
      <w:r w:rsidRPr="005A0500">
        <w:rPr>
          <w:rFonts w:ascii="Arial" w:hAnsi="Arial" w:cs="Arial"/>
          <w:sz w:val="24"/>
          <w:szCs w:val="24"/>
        </w:rPr>
        <w:t xml:space="preserve">Seleccionar las variables que determinarán al bienestar y mediante </w:t>
      </w:r>
      <w:r w:rsidR="00536CD1" w:rsidRPr="005A0500">
        <w:rPr>
          <w:rFonts w:ascii="Arial" w:hAnsi="Arial" w:cs="Arial"/>
          <w:sz w:val="24"/>
          <w:szCs w:val="24"/>
        </w:rPr>
        <w:t>esta</w:t>
      </w:r>
      <w:r w:rsidRPr="005A0500">
        <w:rPr>
          <w:rFonts w:ascii="Arial" w:hAnsi="Arial" w:cs="Arial"/>
          <w:sz w:val="24"/>
          <w:szCs w:val="24"/>
        </w:rPr>
        <w:t>s realizar una evaluación.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selección de las variables dependerá del enfoque. La verdadera dificultad recaerá en la relevancia o importancia que se le otorgue a las variables ya que esta ponderación determinaría la elección del enfoque.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No seleccionar una variable como relevante en la medición de la pobreza equivaldría a darle una ponderación igual a cero por lo que de ser erróneo llevaría </w:t>
      </w:r>
      <w:r w:rsidRPr="000A2024">
        <w:rPr>
          <w:rFonts w:ascii="Arial" w:hAnsi="Arial" w:cs="Arial"/>
          <w:sz w:val="24"/>
          <w:szCs w:val="24"/>
        </w:rPr>
        <w:lastRenderedPageBreak/>
        <w:t>a una subidentificación de los pobres, advierta la División de Estadística de la CEPAL.</w:t>
      </w:r>
      <w:r w:rsidRPr="000A2024">
        <w:rPr>
          <w:rStyle w:val="Refdenotaalpie"/>
          <w:rFonts w:ascii="Arial" w:hAnsi="Arial" w:cs="Arial"/>
          <w:sz w:val="24"/>
          <w:szCs w:val="24"/>
        </w:rPr>
        <w:footnoteReference w:id="2"/>
      </w:r>
    </w:p>
    <w:p w:rsidR="00080599" w:rsidRPr="005A0500" w:rsidRDefault="00080599" w:rsidP="005A0500">
      <w:pPr>
        <w:pStyle w:val="Prrafodelista"/>
        <w:numPr>
          <w:ilvl w:val="0"/>
          <w:numId w:val="34"/>
        </w:numPr>
        <w:spacing w:after="120"/>
        <w:jc w:val="both"/>
        <w:rPr>
          <w:rFonts w:ascii="Arial" w:hAnsi="Arial" w:cs="Arial"/>
          <w:sz w:val="24"/>
          <w:szCs w:val="24"/>
        </w:rPr>
      </w:pPr>
      <w:r w:rsidRPr="005A0500">
        <w:rPr>
          <w:rFonts w:ascii="Arial" w:hAnsi="Arial" w:cs="Arial"/>
          <w:sz w:val="24"/>
          <w:szCs w:val="24"/>
        </w:rPr>
        <w:t>Realizar el cálculo de los indicadores de las variables determinantes y la selección de la fuente de información.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 debe tomar en cuenta la disponibilidad de la información relevante en una fuente de información única. La división de estadística de la CEPAL recomienda recurrir a la experiencia regional mediante sus censos y encuestas.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información guarda relevancia con respecto a la capacidad de los indicadores para explicar las variables de medición.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 debe seleccionar correctamente la unidad de análisis (individuos u hogares). La información disponible en los censos puede ser menor a las encuestas realizadas a hogares para ciertas variables y análogamente en viceversa.</w:t>
      </w:r>
    </w:p>
    <w:p w:rsidR="00080599" w:rsidRPr="005A0500" w:rsidRDefault="00080599" w:rsidP="005A0500">
      <w:pPr>
        <w:pStyle w:val="Prrafodelista"/>
        <w:numPr>
          <w:ilvl w:val="0"/>
          <w:numId w:val="34"/>
        </w:numPr>
        <w:spacing w:after="240"/>
        <w:jc w:val="both"/>
        <w:rPr>
          <w:rFonts w:ascii="Arial" w:hAnsi="Arial" w:cs="Arial"/>
          <w:sz w:val="24"/>
          <w:szCs w:val="24"/>
        </w:rPr>
      </w:pPr>
      <w:r w:rsidRPr="005A0500">
        <w:rPr>
          <w:rFonts w:ascii="Arial" w:hAnsi="Arial" w:cs="Arial"/>
          <w:sz w:val="24"/>
          <w:szCs w:val="24"/>
        </w:rPr>
        <w:t>Establecer el límite inferior para cada una de las variables que delimite al bienestar.</w:t>
      </w:r>
    </w:p>
    <w:p w:rsidR="00080599" w:rsidRPr="005A0500" w:rsidRDefault="00080599" w:rsidP="005A0500">
      <w:pPr>
        <w:pStyle w:val="Prrafodelista"/>
        <w:numPr>
          <w:ilvl w:val="0"/>
          <w:numId w:val="34"/>
        </w:numPr>
        <w:spacing w:after="240"/>
        <w:jc w:val="both"/>
        <w:rPr>
          <w:rFonts w:ascii="Arial" w:hAnsi="Arial" w:cs="Arial"/>
          <w:sz w:val="24"/>
          <w:szCs w:val="24"/>
        </w:rPr>
      </w:pPr>
      <w:r w:rsidRPr="005A0500">
        <w:rPr>
          <w:rFonts w:ascii="Arial" w:hAnsi="Arial" w:cs="Arial"/>
          <w:sz w:val="24"/>
          <w:szCs w:val="24"/>
        </w:rPr>
        <w:t>Sintetizar los indicadores de cada una de las variables en una sola cifra para así encontrar un único indicador.</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Primero se requiere ponderar cada una variable con respecto a su importancia relativa. La complejidad en este paso radica en la falta de criterios que validen la ponderación de cada variable por falta de fundamentación teórica.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división de estadística propone arbitrariedad o una equiponderancia. Una mala estrategia en ambos casos puede provocar una subestimación o sobrestimación de la pobreza. La ponderación dependerá de los propósitos de la política social que atenderá.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 es necesario establecer puntos de corte para diferenciar a los pobres de los no pobres. La división de estadística dice que el camino usual es la contabilización de las privaciones y seleccionar a aquellos que sobrepasen el límite delimitado de </w:t>
      </w:r>
      <w:r w:rsidRPr="000A2024">
        <w:rPr>
          <w:rFonts w:ascii="Arial" w:hAnsi="Arial" w:cs="Arial"/>
          <w:sz w:val="24"/>
          <w:szCs w:val="24"/>
        </w:rPr>
        <w:lastRenderedPageBreak/>
        <w:t>bienestar. Esto dependería del enfoque a considerar. Se presenta el riesgo de considerar incorrectamente a los individuos.</w:t>
      </w:r>
    </w:p>
    <w:p w:rsidR="00080599" w:rsidRPr="000A2024" w:rsidRDefault="00080599" w:rsidP="005A0500">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La división de estadística advierte que se deben declarar las definiciones y la metodología a seguir para evitar así altos niveles de complejidad política, conceptual y metodológica.</w:t>
      </w:r>
    </w:p>
    <w:p w:rsidR="00080599" w:rsidRPr="000A2024" w:rsidRDefault="00080599" w:rsidP="005A0500">
      <w:pPr>
        <w:pStyle w:val="SubTema"/>
        <w:spacing w:before="0" w:after="120"/>
        <w:rPr>
          <w:rFonts w:ascii="Arial" w:hAnsi="Arial" w:cs="Arial"/>
        </w:rPr>
      </w:pPr>
      <w:bookmarkStart w:id="26" w:name="_Toc450230501"/>
      <w:r w:rsidRPr="000A2024">
        <w:rPr>
          <w:rFonts w:ascii="Arial" w:hAnsi="Arial" w:cs="Arial"/>
        </w:rPr>
        <w:t>Medición de la pobreza: métodos de identificación.</w:t>
      </w:r>
      <w:bookmarkEnd w:id="26"/>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Si la pobreza en un principio era definida como la carencia de alguna necesidad entonces aquellas personas que fuesen privadas de esas necesidades podían ser consideradas como pobres y es así la forma en que se identificaba a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Simplemente consistía en delimitar cuantitativa y cualitativamente, o bien consensualmente, una canasta de necesidades básicas y con esta medir a la población. Si los individuos bajo observación son capaces de satisfacer esta canasta entonces no son considerados como pobres absol</w:t>
      </w:r>
      <w:r w:rsidR="005E4273" w:rsidRPr="000A2024">
        <w:rPr>
          <w:rFonts w:ascii="Arial" w:hAnsi="Arial" w:cs="Arial"/>
          <w:sz w:val="24"/>
          <w:szCs w:val="24"/>
        </w:rPr>
        <w:t>utos</w:t>
      </w:r>
      <w:r w:rsidRPr="000A2024">
        <w:rPr>
          <w:rFonts w:ascii="Arial" w:hAnsi="Arial" w:cs="Arial"/>
          <w:sz w:val="24"/>
          <w:szCs w:val="24"/>
        </w:rPr>
        <w:t>.</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Entonces siguiendo a la vieja escuela la dinámica de la medición de la pobreza consistirá en utilizar una métrica en base a líneas de pobreza que establecen lo necesario para mantener un nivel de vida adecuado, según los estándares elegidos.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Keckeisen (2001) dice que la canasta de necesidades es conformada dependiendo de cada región que se está estudiando ya que la importancia básica varía con la cultura, región, etcétera.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Quizá para unos es importante contar con un vehículo para poder subsistir, pero para otros sus necesidades básicas son satisfechas en estándares muchos más dignos.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por esto que el contenido que conforma a las canastas básicas varían en diversidad de artículos como por ejemplo vivienda, escuela, educación, acceso a los hospitales e incluso por características de los mismos artículos como las calorías, proteínas, etcétera, de los alimentos en lugar de los mismos alimentos.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Rodríguez (2014) menciona los estándares de medición de pobreza más comunes los cuales son:</w:t>
      </w:r>
    </w:p>
    <w:p w:rsidR="00080599" w:rsidRPr="000A2024" w:rsidRDefault="00080599" w:rsidP="005A0500">
      <w:pPr>
        <w:pStyle w:val="Prrafodelista"/>
        <w:numPr>
          <w:ilvl w:val="0"/>
          <w:numId w:val="33"/>
        </w:numPr>
        <w:spacing w:after="120"/>
        <w:jc w:val="both"/>
        <w:rPr>
          <w:rFonts w:ascii="Arial" w:hAnsi="Arial" w:cs="Arial"/>
          <w:sz w:val="24"/>
          <w:szCs w:val="24"/>
        </w:rPr>
      </w:pPr>
      <w:r w:rsidRPr="000A2024">
        <w:rPr>
          <w:rFonts w:ascii="Arial" w:hAnsi="Arial" w:cs="Arial"/>
          <w:sz w:val="24"/>
          <w:szCs w:val="24"/>
        </w:rPr>
        <w:lastRenderedPageBreak/>
        <w:t>Método indirecto.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método contempla el ingreso mínimo que requieren las familias o individuos para que estos puedan alcanzar satisfacer sus necesidades básicas y localiza a los pobres por medio de la comparación de ingresos individuales, familiares, etcétera (dependiendo de la unidad de análisis), con respecto al mínimo requerido.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Aquellos que no puedan hacer frente a estas necesidades básicas son los que su ingreso es menor al mínimo requerido.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el MIDELPAN (2002) este método se basa en un enfoque económico por lo que supone que todo aquel que perciba un ingreso presentará los comportamientos típicos del consumidor y que de tenerlo, estos los emplearán directamente en la consumación de la satisfacción total de sus necesidades básicas.</w:t>
      </w:r>
    </w:p>
    <w:p w:rsidR="00080599" w:rsidRPr="000A2024" w:rsidRDefault="00080599" w:rsidP="00080599">
      <w:pPr>
        <w:pStyle w:val="Prrafodelista"/>
        <w:numPr>
          <w:ilvl w:val="0"/>
          <w:numId w:val="33"/>
        </w:numPr>
        <w:jc w:val="both"/>
        <w:rPr>
          <w:rFonts w:ascii="Arial" w:hAnsi="Arial" w:cs="Arial"/>
          <w:sz w:val="24"/>
          <w:szCs w:val="24"/>
        </w:rPr>
      </w:pPr>
      <w:r w:rsidRPr="000A2024">
        <w:rPr>
          <w:rFonts w:ascii="Arial" w:hAnsi="Arial" w:cs="Arial"/>
          <w:sz w:val="24"/>
          <w:szCs w:val="24"/>
        </w:rPr>
        <w:t>Método directo.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Al igual que el indirecto este método enfoca a las necesidades básicas pero no contempla relevante si el individuo o familia poseen el ingreso para cubrirlas sino que la identificación recae en si esas necesidades están siendo cubiertas en su consumo diario.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método según Colafranceschi, Failache y Vigorito (2013) es basado en el enfoque biológico ya que analiza el consumo de todas las necesidades básicas y no sólo las nutricionales como lo haría otro método.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También afirman que por sus características este método debería ser considerado como medida, por lo mismo de no prestarle importancia si el consumidor posee un ingreso por arriba del mínimo requerido para cubrir sus necesidades básicas sino más bien en el consumo de estas.</w:t>
      </w:r>
    </w:p>
    <w:p w:rsidR="00080599" w:rsidRPr="000A2024" w:rsidRDefault="00080599" w:rsidP="00080599">
      <w:pPr>
        <w:pStyle w:val="Prrafodelista"/>
        <w:numPr>
          <w:ilvl w:val="0"/>
          <w:numId w:val="33"/>
        </w:numPr>
        <w:jc w:val="both"/>
        <w:rPr>
          <w:rFonts w:ascii="Arial" w:hAnsi="Arial" w:cs="Arial"/>
          <w:sz w:val="24"/>
          <w:szCs w:val="24"/>
        </w:rPr>
      </w:pPr>
      <w:r w:rsidRPr="000A2024">
        <w:rPr>
          <w:rFonts w:ascii="Arial" w:hAnsi="Arial" w:cs="Arial"/>
          <w:sz w:val="24"/>
          <w:szCs w:val="24"/>
        </w:rPr>
        <w:t>Método del costo mediante la cantidad de consumo calórico.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línea de pobreza será delimitada por el nivel de ingreso o gasto que permita consumir cierta cantidad de calorías que garanticen nutrición.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cantidad de calorías se fijan mediante estudios nutricionales dependientes del nivel de actividad física promedio de la muestra de hogares seleccionados. No existe similitud equivalente con la medición de desnutrición. Existen dos metodologías para determinar la línea de pobreza bajo este método:</w:t>
      </w:r>
    </w:p>
    <w:p w:rsidR="00080599" w:rsidRPr="000A2024" w:rsidRDefault="00080599" w:rsidP="00080599">
      <w:pPr>
        <w:pStyle w:val="Prrafodelista"/>
        <w:numPr>
          <w:ilvl w:val="0"/>
          <w:numId w:val="43"/>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Se utiliza el promedio del ingreso de una submuestra de hogares que posean un consumo calórico cercano al requerido como línea de pobreza.</w:t>
      </w:r>
    </w:p>
    <w:p w:rsidR="00080599" w:rsidRPr="000A2024" w:rsidRDefault="00080599" w:rsidP="00080599">
      <w:pPr>
        <w:pStyle w:val="Prrafodelista"/>
        <w:numPr>
          <w:ilvl w:val="0"/>
          <w:numId w:val="43"/>
        </w:numPr>
        <w:spacing w:after="120" w:line="360" w:lineRule="auto"/>
        <w:contextualSpacing w:val="0"/>
        <w:jc w:val="both"/>
        <w:rPr>
          <w:rFonts w:ascii="Arial" w:hAnsi="Arial" w:cs="Arial"/>
          <w:sz w:val="24"/>
          <w:szCs w:val="24"/>
        </w:rPr>
      </w:pPr>
      <w:r w:rsidRPr="000A2024">
        <w:rPr>
          <w:rFonts w:ascii="Arial" w:hAnsi="Arial" w:cs="Arial"/>
          <w:sz w:val="24"/>
          <w:szCs w:val="24"/>
        </w:rPr>
        <w:t>Realizar una regresión entre consumo e ingreso utilizando la primera como variable independiente, mediante la correlación encontrada se fijan las calorías preestablecidas para calcular el ingreso necesario.</w:t>
      </w:r>
    </w:p>
    <w:p w:rsidR="00080599" w:rsidRPr="000A2024" w:rsidRDefault="00080599" w:rsidP="00080599">
      <w:pPr>
        <w:pStyle w:val="Prrafodelista"/>
        <w:numPr>
          <w:ilvl w:val="0"/>
          <w:numId w:val="33"/>
        </w:numPr>
        <w:jc w:val="both"/>
        <w:rPr>
          <w:rFonts w:ascii="Arial" w:hAnsi="Arial" w:cs="Arial"/>
          <w:sz w:val="24"/>
          <w:szCs w:val="24"/>
        </w:rPr>
      </w:pPr>
      <w:r w:rsidRPr="000A2024">
        <w:rPr>
          <w:rFonts w:ascii="Arial" w:hAnsi="Arial" w:cs="Arial"/>
          <w:sz w:val="24"/>
          <w:szCs w:val="24"/>
        </w:rPr>
        <w:t>Método del costo de las necesidades básicas.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Utiliza el costo de una canasta mínima o básica de </w:t>
      </w:r>
      <w:r w:rsidRPr="000A2024">
        <w:rPr>
          <w:rFonts w:ascii="Arial" w:hAnsi="Arial" w:cs="Arial"/>
          <w:i/>
          <w:sz w:val="24"/>
          <w:szCs w:val="24"/>
        </w:rPr>
        <w:t xml:space="preserve">satisfactores </w:t>
      </w:r>
      <w:r w:rsidRPr="000A2024">
        <w:rPr>
          <w:rFonts w:ascii="Arial" w:hAnsi="Arial" w:cs="Arial"/>
          <w:sz w:val="24"/>
          <w:szCs w:val="24"/>
        </w:rPr>
        <w:t xml:space="preserve">de bienes y servicios con las necesidades básicas.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valor de la línea de pobreza corresponde al costo o gasto necesario para adquirir </w:t>
      </w:r>
      <w:r w:rsidRPr="000A2024">
        <w:rPr>
          <w:rFonts w:ascii="Arial" w:hAnsi="Arial" w:cs="Arial"/>
          <w:i/>
          <w:sz w:val="24"/>
          <w:szCs w:val="24"/>
        </w:rPr>
        <w:t>una canasta,</w:t>
      </w:r>
      <w:r w:rsidRPr="000A2024">
        <w:rPr>
          <w:rFonts w:ascii="Arial" w:hAnsi="Arial" w:cs="Arial"/>
          <w:sz w:val="24"/>
          <w:szCs w:val="24"/>
        </w:rPr>
        <w:t xml:space="preserve"> la cual se supone que debe cubrir las </w:t>
      </w:r>
      <w:r w:rsidRPr="000A2024">
        <w:rPr>
          <w:rFonts w:ascii="Arial" w:hAnsi="Arial" w:cs="Arial"/>
          <w:i/>
          <w:sz w:val="24"/>
          <w:szCs w:val="24"/>
        </w:rPr>
        <w:t>necesidades de nutrición</w:t>
      </w:r>
      <w:r w:rsidRPr="000A2024">
        <w:rPr>
          <w:rFonts w:ascii="Arial" w:hAnsi="Arial" w:cs="Arial"/>
          <w:sz w:val="24"/>
          <w:szCs w:val="24"/>
        </w:rPr>
        <w:t xml:space="preserve"> de una familia y considera la disponibilidad del acceso de los alimentos en el país, los hábitos de consumo de la demanda del mercado correspondiente al país y la gama de precios que se manejan.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Una forma quizá de seleccionar una canasta de alimentos sería aquella que minimice los costos o gastos del hogar en función de los nutrientes necesarios y esto a precios vigentes.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canasta debe comprender además de </w:t>
      </w:r>
      <w:r w:rsidRPr="000A2024">
        <w:rPr>
          <w:rFonts w:ascii="Arial" w:hAnsi="Arial" w:cs="Arial"/>
          <w:i/>
          <w:sz w:val="24"/>
          <w:szCs w:val="24"/>
        </w:rPr>
        <w:t>otros bienes</w:t>
      </w:r>
      <w:r w:rsidRPr="000A2024">
        <w:rPr>
          <w:rFonts w:ascii="Arial" w:hAnsi="Arial" w:cs="Arial"/>
          <w:sz w:val="24"/>
          <w:szCs w:val="24"/>
        </w:rPr>
        <w:t xml:space="preserve"> que sean seleccionados como necesarios para vivir una vida digna. Operativamente se requiere que el nivel de ingreso sea menor a 2 veces el valor de una canasta básica de alimentos en una zona urbana y 1.75 veces en zonas rurales y un hogar es considerado indigente si su ingreso es inferior a la de una canasta básica de alimentos advierte la MIDEPLAN (2002).</w:t>
      </w:r>
    </w:p>
    <w:p w:rsidR="00080599" w:rsidRPr="000A2024" w:rsidRDefault="00080599" w:rsidP="00080599">
      <w:pPr>
        <w:pStyle w:val="Prrafodelista"/>
        <w:numPr>
          <w:ilvl w:val="0"/>
          <w:numId w:val="33"/>
        </w:numPr>
        <w:jc w:val="both"/>
        <w:rPr>
          <w:rFonts w:ascii="Arial" w:hAnsi="Arial" w:cs="Arial"/>
          <w:sz w:val="24"/>
          <w:szCs w:val="24"/>
        </w:rPr>
      </w:pPr>
      <w:r w:rsidRPr="000A2024">
        <w:rPr>
          <w:rFonts w:ascii="Arial" w:hAnsi="Arial" w:cs="Arial"/>
          <w:sz w:val="24"/>
          <w:szCs w:val="24"/>
        </w:rPr>
        <w:t>Método relativo.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Este método es la variante para los países desarrollados si bien se puede considerar que la línea de pobreza de los dos métodos anteriores no debería corresponder a estos países.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Amartya Sen (citado en H. Rodríguez, 2004) dice que este método se originó a partir del fallo de los estudios de pobreza de mediados de siglo debido que la línea de pobreza no refleja las nuevas necesidades de las personas a lo largo del tiempo.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Este método fija la línea de pobreza en función al promedio de ingresos del país en su totalidad. Según H. Rodríguez (2004) al fijar la línea de pobreza en función a lo que todos tienen permite que este método no necesite reajustes periódicos.</w:t>
      </w:r>
    </w:p>
    <w:p w:rsidR="00080599" w:rsidRPr="000A2024" w:rsidRDefault="00080599" w:rsidP="00080599">
      <w:pPr>
        <w:pStyle w:val="Prrafodelista"/>
        <w:numPr>
          <w:ilvl w:val="0"/>
          <w:numId w:val="33"/>
        </w:numPr>
        <w:jc w:val="both"/>
        <w:rPr>
          <w:rFonts w:ascii="Arial" w:hAnsi="Arial" w:cs="Arial"/>
          <w:sz w:val="24"/>
          <w:szCs w:val="24"/>
        </w:rPr>
      </w:pPr>
      <w:r w:rsidRPr="000A2024">
        <w:rPr>
          <w:rFonts w:ascii="Arial" w:hAnsi="Arial" w:cs="Arial"/>
          <w:sz w:val="24"/>
          <w:szCs w:val="24"/>
        </w:rPr>
        <w:t>Método subjetivo.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Entre las definiciones de pobreza </w:t>
      </w:r>
      <w:r w:rsidRPr="000A2024">
        <w:rPr>
          <w:rFonts w:ascii="Arial" w:hAnsi="Arial" w:cs="Arial"/>
          <w:i/>
          <w:sz w:val="24"/>
          <w:szCs w:val="24"/>
        </w:rPr>
        <w:t>relativa</w:t>
      </w:r>
      <w:r w:rsidRPr="000A2024">
        <w:rPr>
          <w:rFonts w:ascii="Arial" w:hAnsi="Arial" w:cs="Arial"/>
          <w:sz w:val="24"/>
          <w:szCs w:val="24"/>
        </w:rPr>
        <w:t xml:space="preserve"> y </w:t>
      </w:r>
      <w:r w:rsidRPr="000A2024">
        <w:rPr>
          <w:rFonts w:ascii="Arial" w:hAnsi="Arial" w:cs="Arial"/>
          <w:i/>
          <w:sz w:val="24"/>
          <w:szCs w:val="24"/>
        </w:rPr>
        <w:t>absoluta</w:t>
      </w:r>
      <w:r w:rsidRPr="000A2024">
        <w:rPr>
          <w:rFonts w:ascii="Arial" w:hAnsi="Arial" w:cs="Arial"/>
          <w:sz w:val="24"/>
          <w:szCs w:val="24"/>
        </w:rPr>
        <w:t xml:space="preserve"> se posee la característica de que existen arbitrariedades al momento de fijar la línea de pobreza y estas varían dependiendo de la percepción del investigador.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H. Rodríguez (2004) afirma que varios autores señalan que el método subjetivo se encuentra libre de estas arbitrariedades. Este método se relaciona directamente con el ingreso y es por esto que es tomado como un método indirecto, pero por sus demás características podría ser catalogado como uno directo ya que la línea de pobreza es fijada directamente de encuestas individuales que se realizan a la población y son los mismos individuos quienes fijan los parámetros.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H. Rodríguez (2004) la relación con el ingreso se debe a que los parámetros fijados por los mismos individuos recaen de la típica pregunta “</w:t>
      </w:r>
      <w:r w:rsidRPr="000A2024">
        <w:rPr>
          <w:rFonts w:ascii="Arial" w:hAnsi="Arial" w:cs="Arial"/>
          <w:i/>
          <w:sz w:val="24"/>
          <w:szCs w:val="24"/>
        </w:rPr>
        <w:t>cuánto cree usted que es el ingreso mínimo requerido para…</w:t>
      </w:r>
      <w:r w:rsidRPr="000A2024">
        <w:rPr>
          <w:rFonts w:ascii="Arial" w:hAnsi="Arial" w:cs="Arial"/>
          <w:sz w:val="24"/>
          <w:szCs w:val="24"/>
        </w:rPr>
        <w:t>” y es aquí en donde se fijan los límites entre pobre y no pobre.</w:t>
      </w:r>
    </w:p>
    <w:p w:rsidR="00080599" w:rsidRPr="000A2024" w:rsidRDefault="00080599" w:rsidP="00080599">
      <w:pPr>
        <w:pStyle w:val="Prrafodelista"/>
        <w:numPr>
          <w:ilvl w:val="0"/>
          <w:numId w:val="33"/>
        </w:numPr>
        <w:jc w:val="both"/>
        <w:rPr>
          <w:rFonts w:ascii="Arial" w:hAnsi="Arial" w:cs="Arial"/>
          <w:sz w:val="24"/>
          <w:szCs w:val="24"/>
        </w:rPr>
      </w:pPr>
      <w:r w:rsidRPr="000A2024">
        <w:rPr>
          <w:rFonts w:ascii="Arial" w:hAnsi="Arial" w:cs="Arial"/>
          <w:sz w:val="24"/>
          <w:szCs w:val="24"/>
        </w:rPr>
        <w:t>Método de medición integrada de la pobreza.</w:t>
      </w:r>
    </w:p>
    <w:p w:rsidR="00080599" w:rsidRPr="000A2024" w:rsidRDefault="00145B42"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Este</w:t>
      </w:r>
      <w:r w:rsidR="00080599" w:rsidRPr="000A2024">
        <w:rPr>
          <w:rFonts w:ascii="Arial" w:hAnsi="Arial" w:cs="Arial"/>
          <w:sz w:val="24"/>
          <w:szCs w:val="24"/>
        </w:rPr>
        <w:t xml:space="preserve"> método es desarrollado por Julio Boltvinik (citado por Rodríguez, 2004) declara que la pobreza es un proceso multidimensional donde el bienestar de los individuos depende de seis capacidades:</w:t>
      </w:r>
    </w:p>
    <w:p w:rsidR="00080599" w:rsidRPr="000A2024" w:rsidRDefault="00080599" w:rsidP="00080599">
      <w:pPr>
        <w:pStyle w:val="Prrafodelista"/>
        <w:numPr>
          <w:ilvl w:val="0"/>
          <w:numId w:val="44"/>
        </w:numPr>
        <w:spacing w:after="120" w:line="360" w:lineRule="auto"/>
        <w:contextualSpacing w:val="0"/>
        <w:jc w:val="both"/>
        <w:rPr>
          <w:rFonts w:ascii="Arial" w:hAnsi="Arial" w:cs="Arial"/>
          <w:sz w:val="24"/>
          <w:szCs w:val="24"/>
        </w:rPr>
      </w:pPr>
      <w:r w:rsidRPr="000A2024">
        <w:rPr>
          <w:rFonts w:ascii="Arial" w:hAnsi="Arial" w:cs="Arial"/>
          <w:sz w:val="24"/>
          <w:szCs w:val="24"/>
        </w:rPr>
        <w:t>Nivel de ingreso.</w:t>
      </w:r>
    </w:p>
    <w:p w:rsidR="00080599" w:rsidRPr="000A2024" w:rsidRDefault="00080599" w:rsidP="00080599">
      <w:pPr>
        <w:pStyle w:val="Prrafodelista"/>
        <w:numPr>
          <w:ilvl w:val="0"/>
          <w:numId w:val="44"/>
        </w:numPr>
        <w:spacing w:after="120" w:line="360" w:lineRule="auto"/>
        <w:contextualSpacing w:val="0"/>
        <w:jc w:val="both"/>
        <w:rPr>
          <w:rFonts w:ascii="Arial" w:hAnsi="Arial" w:cs="Arial"/>
          <w:sz w:val="24"/>
          <w:szCs w:val="24"/>
        </w:rPr>
      </w:pPr>
      <w:r w:rsidRPr="000A2024">
        <w:rPr>
          <w:rFonts w:ascii="Arial" w:hAnsi="Arial" w:cs="Arial"/>
          <w:sz w:val="24"/>
          <w:szCs w:val="24"/>
        </w:rPr>
        <w:t>Activos básicos y capacidad de endeudamiento.</w:t>
      </w:r>
    </w:p>
    <w:p w:rsidR="00080599" w:rsidRPr="000A2024" w:rsidRDefault="00080599" w:rsidP="00080599">
      <w:pPr>
        <w:pStyle w:val="Prrafodelista"/>
        <w:numPr>
          <w:ilvl w:val="0"/>
          <w:numId w:val="44"/>
        </w:numPr>
        <w:spacing w:after="120" w:line="360" w:lineRule="auto"/>
        <w:contextualSpacing w:val="0"/>
        <w:jc w:val="both"/>
        <w:rPr>
          <w:rFonts w:ascii="Arial" w:hAnsi="Arial" w:cs="Arial"/>
          <w:sz w:val="24"/>
          <w:szCs w:val="24"/>
        </w:rPr>
      </w:pPr>
      <w:r w:rsidRPr="000A2024">
        <w:rPr>
          <w:rFonts w:ascii="Arial" w:hAnsi="Arial" w:cs="Arial"/>
          <w:sz w:val="24"/>
          <w:szCs w:val="24"/>
        </w:rPr>
        <w:t>Patrimonio como conjunto de activos y bienes durables catalogados como de servicios básicos para un hogar.</w:t>
      </w:r>
    </w:p>
    <w:p w:rsidR="00080599" w:rsidRPr="000A2024" w:rsidRDefault="00080599" w:rsidP="00080599">
      <w:pPr>
        <w:pStyle w:val="Prrafodelista"/>
        <w:numPr>
          <w:ilvl w:val="0"/>
          <w:numId w:val="44"/>
        </w:numPr>
        <w:spacing w:after="120" w:line="360" w:lineRule="auto"/>
        <w:contextualSpacing w:val="0"/>
        <w:jc w:val="both"/>
        <w:rPr>
          <w:rFonts w:ascii="Arial" w:hAnsi="Arial" w:cs="Arial"/>
          <w:sz w:val="24"/>
          <w:szCs w:val="24"/>
        </w:rPr>
      </w:pPr>
      <w:r w:rsidRPr="000A2024">
        <w:rPr>
          <w:rFonts w:ascii="Arial" w:hAnsi="Arial" w:cs="Arial"/>
          <w:sz w:val="24"/>
          <w:szCs w:val="24"/>
        </w:rPr>
        <w:t>Capacidad de acceso a bienes y servicios públicos.</w:t>
      </w:r>
    </w:p>
    <w:p w:rsidR="00080599" w:rsidRPr="000A2024" w:rsidRDefault="00080599" w:rsidP="00080599">
      <w:pPr>
        <w:pStyle w:val="Prrafodelista"/>
        <w:numPr>
          <w:ilvl w:val="0"/>
          <w:numId w:val="44"/>
        </w:numPr>
        <w:spacing w:after="120" w:line="360" w:lineRule="auto"/>
        <w:contextualSpacing w:val="0"/>
        <w:jc w:val="both"/>
        <w:rPr>
          <w:rFonts w:ascii="Arial" w:hAnsi="Arial" w:cs="Arial"/>
          <w:sz w:val="24"/>
          <w:szCs w:val="24"/>
        </w:rPr>
      </w:pPr>
      <w:r w:rsidRPr="000A2024">
        <w:rPr>
          <w:rFonts w:ascii="Arial" w:hAnsi="Arial" w:cs="Arial"/>
          <w:sz w:val="24"/>
          <w:szCs w:val="24"/>
        </w:rPr>
        <w:t>Capacidad de ocio para reposo y trabajo.</w:t>
      </w:r>
    </w:p>
    <w:p w:rsidR="00080599" w:rsidRPr="000A2024" w:rsidRDefault="00080599" w:rsidP="00080599">
      <w:pPr>
        <w:pStyle w:val="Prrafodelista"/>
        <w:numPr>
          <w:ilvl w:val="0"/>
          <w:numId w:val="44"/>
        </w:numPr>
        <w:spacing w:after="120" w:line="360" w:lineRule="auto"/>
        <w:contextualSpacing w:val="0"/>
        <w:jc w:val="both"/>
        <w:rPr>
          <w:rFonts w:ascii="Arial" w:hAnsi="Arial" w:cs="Arial"/>
          <w:sz w:val="24"/>
          <w:szCs w:val="24"/>
        </w:rPr>
      </w:pPr>
      <w:r w:rsidRPr="000A2024">
        <w:rPr>
          <w:rFonts w:ascii="Arial" w:hAnsi="Arial" w:cs="Arial"/>
          <w:sz w:val="24"/>
          <w:szCs w:val="24"/>
        </w:rPr>
        <w:t>Capacidad de generar conocimientos.</w:t>
      </w:r>
    </w:p>
    <w:p w:rsidR="00080599" w:rsidRPr="000A2024" w:rsidRDefault="00080599" w:rsidP="00080599">
      <w:pPr>
        <w:ind w:left="708"/>
        <w:jc w:val="both"/>
        <w:rPr>
          <w:rFonts w:ascii="Arial" w:hAnsi="Arial" w:cs="Arial"/>
          <w:sz w:val="24"/>
          <w:szCs w:val="24"/>
        </w:rPr>
      </w:pPr>
      <w:r w:rsidRPr="000A2024">
        <w:rPr>
          <w:rFonts w:ascii="Arial" w:hAnsi="Arial" w:cs="Arial"/>
          <w:sz w:val="24"/>
          <w:szCs w:val="24"/>
        </w:rPr>
        <w:lastRenderedPageBreak/>
        <w:t>Todas estas capacidades son equiponderables para Boltvinik y necesarias para considerar una aproximación correcta de pobreza.</w:t>
      </w:r>
    </w:p>
    <w:p w:rsidR="00080599" w:rsidRPr="000A2024" w:rsidRDefault="00080599" w:rsidP="005A0500">
      <w:pPr>
        <w:pStyle w:val="Prrafodelista"/>
        <w:spacing w:after="240" w:line="360" w:lineRule="auto"/>
        <w:ind w:left="0"/>
        <w:contextualSpacing w:val="0"/>
        <w:jc w:val="both"/>
        <w:rPr>
          <w:rFonts w:ascii="Arial" w:hAnsi="Arial" w:cs="Arial"/>
          <w:b/>
          <w:sz w:val="24"/>
          <w:szCs w:val="24"/>
        </w:rPr>
      </w:pPr>
      <w:r w:rsidRPr="000A2024">
        <w:rPr>
          <w:rFonts w:ascii="Arial" w:hAnsi="Arial" w:cs="Arial"/>
          <w:sz w:val="24"/>
          <w:szCs w:val="24"/>
        </w:rPr>
        <w:t>Aquellas personas que su ingreso se encuentre por debajo de la línea de pobreza establecida serán identificadas o consideradas pobres.</w:t>
      </w:r>
    </w:p>
    <w:p w:rsidR="00080599" w:rsidRPr="000A2024" w:rsidRDefault="00080599" w:rsidP="005A0500">
      <w:pPr>
        <w:pStyle w:val="SubTema"/>
        <w:spacing w:before="0" w:after="120"/>
        <w:rPr>
          <w:rFonts w:ascii="Arial" w:hAnsi="Arial" w:cs="Arial"/>
        </w:rPr>
      </w:pPr>
      <w:bookmarkStart w:id="27" w:name="_Toc450230502"/>
      <w:r w:rsidRPr="000A2024">
        <w:rPr>
          <w:rFonts w:ascii="Arial" w:hAnsi="Arial" w:cs="Arial"/>
        </w:rPr>
        <w:t>Avances metodológicos recientes.</w:t>
      </w:r>
      <w:bookmarkEnd w:id="27"/>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CEPAL (2013) sostiene que en los últimos años se ha producido un desarrollo acelerado en los múltiples ámbitos relacionados con la medición multidimensional de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Por una parte, el renovado interés en producir índices de pobreza multidimensional, que atiendan de la mejor manera posible los desafíos planteados por la agregación de dimensiones en un indicador único, ha dado lugar a la aparición de diversos tipos de índices y metodologías analíticas.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propuestas que han alcanzado una mayor difusión son la basada en axiomas, que consisten en formular un conjunto de propiedades deseables para los indicadores de pobreza y desarrollar los indicadores que las satisfagan. En este grupo se inscriben propuestas como las de Bourguignon y Chakravarty (2003) y Alkire y Foster (2009).</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 han creado a lo largo de este milenio estas metodologías basadas en axiomas que buscan formular un conjunto de propiedades deseables para que los indicadores posean las mismas características. En su mayor parte, la necesidad de establecer características obligatorias en los indicadores es casi implícita debido al enfoque multidimensional que se desea contemplar.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Estos son los índices que cuentan con los rasgos característicos de un enfoque multidimensional que son de especial avance para la CEPAL (2013):</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w:t>
      </w:r>
      <w:r w:rsidRPr="0052158D">
        <w:rPr>
          <w:rFonts w:ascii="Arial" w:hAnsi="Arial" w:cs="Arial"/>
          <w:sz w:val="24"/>
          <w:szCs w:val="24"/>
        </w:rPr>
        <w:t>índice de pobreza multidimensional</w:t>
      </w:r>
      <w:r w:rsidRPr="000A2024">
        <w:rPr>
          <w:rFonts w:ascii="Arial" w:hAnsi="Arial" w:cs="Arial"/>
          <w:b/>
          <w:i/>
          <w:sz w:val="24"/>
          <w:szCs w:val="24"/>
        </w:rPr>
        <w:t xml:space="preserve"> </w:t>
      </w:r>
      <w:r w:rsidRPr="000A2024">
        <w:rPr>
          <w:rFonts w:ascii="Arial" w:hAnsi="Arial" w:cs="Arial"/>
          <w:sz w:val="24"/>
          <w:szCs w:val="24"/>
        </w:rPr>
        <w:t>desarrollado por el Programa de las Naciones Unidas para el Desarrollo (PNUD) en el 2010 posee las siguientes características: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Este índice fue realizado por la </w:t>
      </w:r>
      <w:r w:rsidRPr="0052158D">
        <w:rPr>
          <w:rFonts w:ascii="Arial" w:hAnsi="Arial" w:cs="Arial"/>
          <w:sz w:val="24"/>
          <w:szCs w:val="24"/>
        </w:rPr>
        <w:t>Oxford Poverty &amp; Human Development Initiative (OPHI)</w:t>
      </w:r>
      <w:r w:rsidRPr="000A2024">
        <w:rPr>
          <w:rFonts w:ascii="Arial" w:hAnsi="Arial" w:cs="Arial"/>
          <w:sz w:val="24"/>
          <w:szCs w:val="24"/>
        </w:rPr>
        <w:t>.</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Complementa la información de la Cumbre del Milenio para el seguimiento de la meta de reducción de la mitad de la pobreza extrema.</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Este índice no es un agregado de otros índices, añade variables al nivel de análisis de cada hogar. Según el departamento de estadística requiere trabajar con los microdatos de las encuestas de hogares.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Medida de pobreza aguda. Refleja las privaciones en el acceso de los bienes y servicios básicos, educación, salud y calidad de vida.</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Las variables que valúe este índice son: la parsimonia, la educación, la salud, el estándar de vida y los aspectos intrínsecos del desarrollo humano.</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Unidad de análisis: Hogar. Las privaciones son sufridas simultáneamente por los miembros que habitan el hogar.</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Se identifica al individuo como pobre cuando el hogar donde vive tiene tres o más privaciones.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Las variables a evaluar son equiponderadas.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El índice de pobreza multidimensional según la división de estadística de la CEPAL se calcula mediante el producto de dos índices:</w:t>
      </w:r>
    </w:p>
    <w:p w:rsidR="00080599" w:rsidRPr="000A2024" w:rsidRDefault="00080599" w:rsidP="00080599">
      <w:pPr>
        <w:pStyle w:val="Prrafodelista"/>
        <w:numPr>
          <w:ilvl w:val="1"/>
          <w:numId w:val="32"/>
        </w:numPr>
        <w:spacing w:after="120" w:line="360" w:lineRule="auto"/>
        <w:contextualSpacing w:val="0"/>
        <w:jc w:val="both"/>
        <w:rPr>
          <w:rFonts w:ascii="Arial" w:hAnsi="Arial" w:cs="Arial"/>
          <w:sz w:val="24"/>
          <w:szCs w:val="24"/>
        </w:rPr>
      </w:pPr>
      <w:r w:rsidRPr="000A2024">
        <w:rPr>
          <w:rFonts w:ascii="Arial" w:hAnsi="Arial" w:cs="Arial"/>
          <w:sz w:val="24"/>
          <w:szCs w:val="24"/>
        </w:rPr>
        <w:t>H: índice de recuento. Proporción de la población identificada con pobreza multidimensional.</w:t>
      </w:r>
    </w:p>
    <w:p w:rsidR="00080599" w:rsidRPr="000A2024" w:rsidRDefault="00080599" w:rsidP="00080599">
      <w:pPr>
        <w:pStyle w:val="Prrafodelista"/>
        <w:numPr>
          <w:ilvl w:val="1"/>
          <w:numId w:val="32"/>
        </w:numPr>
        <w:spacing w:after="120" w:line="360" w:lineRule="auto"/>
        <w:contextualSpacing w:val="0"/>
        <w:jc w:val="both"/>
        <w:rPr>
          <w:rFonts w:ascii="Arial" w:hAnsi="Arial" w:cs="Arial"/>
          <w:sz w:val="24"/>
          <w:szCs w:val="24"/>
        </w:rPr>
      </w:pPr>
      <w:r w:rsidRPr="000A2024">
        <w:rPr>
          <w:rFonts w:ascii="Arial" w:hAnsi="Arial" w:cs="Arial"/>
          <w:sz w:val="24"/>
          <w:szCs w:val="24"/>
        </w:rPr>
        <w:t>A: promedio porcentual de las privaciones que tiene la población pobre. Severidad o intensidad de la pobreza multidimensional.</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m:oMathPara>
        <m:oMath>
          <m:r>
            <w:rPr>
              <w:rFonts w:ascii="Cambria Math" w:hAnsi="Cambria Math" w:cs="Arial"/>
              <w:sz w:val="24"/>
              <w:szCs w:val="24"/>
            </w:rPr>
            <m:t>Índice Multidimensional=H*A</m:t>
          </m:r>
        </m:oMath>
      </m:oMathPara>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w:t>
      </w:r>
      <w:r w:rsidRPr="0052158D">
        <w:rPr>
          <w:rFonts w:ascii="Arial" w:hAnsi="Arial" w:cs="Arial"/>
          <w:sz w:val="24"/>
          <w:szCs w:val="24"/>
        </w:rPr>
        <w:t xml:space="preserve">índice multidimensional de pobreza de Colombia (IMPC) </w:t>
      </w:r>
      <w:r w:rsidRPr="000A2024">
        <w:rPr>
          <w:rFonts w:ascii="Arial" w:hAnsi="Arial" w:cs="Arial"/>
          <w:sz w:val="24"/>
          <w:szCs w:val="24"/>
        </w:rPr>
        <w:t>desarrollado por el Departamento Nacional de Planeación (DNP) en el 2011 tiene las siguientes características.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 selección de los límites de bienestar, variables e indicadores se basan en los siguientes criterios, afirma la División de Estadística de la CEPAL (2013):</w:t>
      </w:r>
    </w:p>
    <w:p w:rsidR="00080599" w:rsidRPr="000A2024" w:rsidRDefault="00080599" w:rsidP="00080599">
      <w:pPr>
        <w:pStyle w:val="Prrafodelista"/>
        <w:jc w:val="both"/>
        <w:rPr>
          <w:rFonts w:ascii="Arial" w:hAnsi="Arial" w:cs="Arial"/>
          <w:sz w:val="24"/>
          <w:szCs w:val="24"/>
        </w:rPr>
      </w:pP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Utiliza distintos índices multidimensionales de pobreza y bienestar, nacionales e internacionales como referencia.</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 constitución del país es quien delimita las prioridades de la ponderación.</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Las variables relevantes provienen del estudio cualitativo “Voces de los pobres en Colombia” de Arboleda, Blackburn y Petesch en el 2004 (citados en División de Estadística de la CEPAL, 2013).</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Los límites de bienestar son los mismos fijados en la Cumbre del Milenio.</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 fuente de información es la Encuesta Nacional de Hogares de Angulo y otros en el 2003.</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Considera 5 variables: educación, condiciones de vida en el hogar y acceso a servicios básicos, condición de vida en la infancia y adolescencia, la salud y el empleo. Con </w:t>
      </w:r>
      <w:r w:rsidR="00536CD1" w:rsidRPr="000A2024">
        <w:rPr>
          <w:rFonts w:ascii="Arial" w:hAnsi="Arial" w:cs="Arial"/>
          <w:sz w:val="24"/>
          <w:szCs w:val="24"/>
        </w:rPr>
        <w:t>esta</w:t>
      </w:r>
      <w:r w:rsidRPr="000A2024">
        <w:rPr>
          <w:rFonts w:ascii="Arial" w:hAnsi="Arial" w:cs="Arial"/>
          <w:sz w:val="24"/>
          <w:szCs w:val="24"/>
        </w:rPr>
        <w:t>s construye 15 indicadores.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Unidad de análisis: Hogar.</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 identificación como dentro de la pobreza comienza con 5 privaciones.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Las variables e indicadores son equiponderadas.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El cálculo de los índices se basa en la metodología Alkire y Foster (citados en División de Estadística de la CEPAL, 2013) en el 2009.</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w:t>
      </w:r>
      <w:r w:rsidRPr="0052158D">
        <w:rPr>
          <w:rFonts w:ascii="Arial" w:hAnsi="Arial" w:cs="Arial"/>
          <w:sz w:val="24"/>
          <w:szCs w:val="24"/>
        </w:rPr>
        <w:t>índice de pobreza multidimensional de México desarrollado por el CONEVAL en el 2010</w:t>
      </w:r>
      <w:r w:rsidRPr="000A2024">
        <w:rPr>
          <w:rFonts w:ascii="Arial" w:hAnsi="Arial" w:cs="Arial"/>
          <w:sz w:val="24"/>
          <w:szCs w:val="24"/>
        </w:rPr>
        <w:t xml:space="preserve"> posee las siguientes características.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Utiliza un enfoque donde se utilizan complementariamente dos métodos de indicadores, el de necesidades básicas insatisfechas (NBI) y línea de pobreza monetaria.</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El enfoque de la medida monetaria de privación es a corto plazo.</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El enfoque NBI posee una métrica basada en una pobreza estructural.</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 xml:space="preserve">La agregación entre las variables se realiza mediante una tabulación cruzada (CONEVAL, 2010). </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Considera dos variables:</w:t>
      </w:r>
    </w:p>
    <w:p w:rsidR="00080599" w:rsidRPr="000A2024" w:rsidRDefault="00080599" w:rsidP="00080599">
      <w:pPr>
        <w:pStyle w:val="Prrafodelista"/>
        <w:numPr>
          <w:ilvl w:val="1"/>
          <w:numId w:val="32"/>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Derechos (carencias). </w:t>
      </w:r>
    </w:p>
    <w:p w:rsidR="00080599" w:rsidRPr="000A2024" w:rsidRDefault="00080599" w:rsidP="00080599">
      <w:pPr>
        <w:pStyle w:val="Prrafodelista"/>
        <w:numPr>
          <w:ilvl w:val="1"/>
          <w:numId w:val="32"/>
        </w:numPr>
        <w:spacing w:after="120" w:line="360" w:lineRule="auto"/>
        <w:contextualSpacing w:val="0"/>
        <w:jc w:val="both"/>
        <w:rPr>
          <w:rFonts w:ascii="Arial" w:hAnsi="Arial" w:cs="Arial"/>
          <w:sz w:val="24"/>
          <w:szCs w:val="24"/>
        </w:rPr>
      </w:pPr>
      <w:r w:rsidRPr="000A2024">
        <w:rPr>
          <w:rFonts w:ascii="Arial" w:hAnsi="Arial" w:cs="Arial"/>
          <w:sz w:val="24"/>
          <w:szCs w:val="24"/>
        </w:rPr>
        <w:t>Bienestar (ingresos).</w:t>
      </w:r>
    </w:p>
    <w:p w:rsidR="00080599" w:rsidRPr="000A2024" w:rsidRDefault="00080599" w:rsidP="00080599">
      <w:pPr>
        <w:pStyle w:val="Prrafodelista"/>
        <w:numPr>
          <w:ilvl w:val="0"/>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Los indicadores de medición de la variable Derechos son seis:</w:t>
      </w:r>
      <w:r w:rsidRPr="000A2024">
        <w:rPr>
          <w:rFonts w:ascii="Arial" w:hAnsi="Arial" w:cs="Arial"/>
        </w:rPr>
        <w:footnoteReference w:id="3"/>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Rezago educativo.</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Acceso a los servicios de salud prestados por el Estado.</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Acceso a una seguridad social.</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Los espacios y la calidad del hogar.</w:t>
      </w:r>
    </w:p>
    <w:p w:rsidR="00080599" w:rsidRPr="000A2024" w:rsidRDefault="00080599" w:rsidP="00080599">
      <w:pPr>
        <w:pStyle w:val="Prrafodelista"/>
        <w:numPr>
          <w:ilvl w:val="2"/>
          <w:numId w:val="32"/>
        </w:numPr>
        <w:spacing w:after="120" w:line="360" w:lineRule="auto"/>
        <w:contextualSpacing w:val="0"/>
        <w:jc w:val="both"/>
        <w:rPr>
          <w:rFonts w:ascii="Arial" w:hAnsi="Arial" w:cs="Arial"/>
          <w:sz w:val="24"/>
          <w:szCs w:val="24"/>
        </w:rPr>
      </w:pPr>
      <w:r w:rsidRPr="000A2024">
        <w:rPr>
          <w:rFonts w:ascii="Arial" w:hAnsi="Arial" w:cs="Arial"/>
          <w:sz w:val="24"/>
          <w:szCs w:val="24"/>
        </w:rPr>
        <w:t>Servicios básicos del hogar.</w:t>
      </w:r>
    </w:p>
    <w:p w:rsidR="00080599" w:rsidRPr="000A2024" w:rsidRDefault="00080599" w:rsidP="0052158D">
      <w:pPr>
        <w:pStyle w:val="Prrafodelista"/>
        <w:numPr>
          <w:ilvl w:val="2"/>
          <w:numId w:val="32"/>
        </w:numPr>
        <w:spacing w:after="240" w:line="360" w:lineRule="auto"/>
        <w:contextualSpacing w:val="0"/>
        <w:jc w:val="both"/>
        <w:rPr>
          <w:rFonts w:ascii="Arial" w:hAnsi="Arial" w:cs="Arial"/>
          <w:sz w:val="24"/>
          <w:szCs w:val="24"/>
        </w:rPr>
      </w:pPr>
      <w:r w:rsidRPr="000A2024">
        <w:rPr>
          <w:rFonts w:ascii="Arial" w:hAnsi="Arial" w:cs="Arial"/>
          <w:sz w:val="24"/>
          <w:szCs w:val="24"/>
        </w:rPr>
        <w:t>Alimentación.</w:t>
      </w:r>
    </w:p>
    <w:p w:rsidR="00080599" w:rsidRPr="000A2024" w:rsidRDefault="00080599" w:rsidP="0052158D">
      <w:pPr>
        <w:pStyle w:val="SubTema"/>
        <w:spacing w:before="0" w:after="120"/>
        <w:rPr>
          <w:rFonts w:ascii="Arial" w:hAnsi="Arial" w:cs="Arial"/>
        </w:rPr>
      </w:pPr>
      <w:bookmarkStart w:id="28" w:name="_Toc450230503"/>
      <w:r w:rsidRPr="000A2024">
        <w:rPr>
          <w:rFonts w:ascii="Arial" w:hAnsi="Arial" w:cs="Arial"/>
        </w:rPr>
        <w:t>La importancia del combate a la pobreza.</w:t>
      </w:r>
      <w:bookmarkEnd w:id="28"/>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 pesar de la vertiginosidad que presentan los avances tecnológicos en todos los ámbitos posibles de las ciencias, el ser humano del siglo XXI no ha podido erradicar por completo la pobreza extrema, la cual, fuera del marco normativo de los </w:t>
      </w:r>
      <w:r w:rsidRPr="000A2024">
        <w:rPr>
          <w:rFonts w:ascii="Arial" w:hAnsi="Arial" w:cs="Arial"/>
          <w:i/>
          <w:sz w:val="24"/>
          <w:szCs w:val="24"/>
        </w:rPr>
        <w:t>objetivos de desarrollo del milenio</w:t>
      </w:r>
      <w:r w:rsidRPr="000A2024">
        <w:rPr>
          <w:rFonts w:ascii="Arial" w:hAnsi="Arial" w:cs="Arial"/>
          <w:sz w:val="24"/>
          <w:szCs w:val="24"/>
        </w:rPr>
        <w:t xml:space="preserve"> sigue siendo una obligación jurídica dentro de la normativa pac</w:t>
      </w:r>
      <w:r w:rsidR="00BC0C26" w:rsidRPr="000A2024">
        <w:rPr>
          <w:rFonts w:ascii="Arial" w:hAnsi="Arial" w:cs="Arial"/>
          <w:sz w:val="24"/>
          <w:szCs w:val="24"/>
        </w:rPr>
        <w:t xml:space="preserve">tada entre las Naciones Unidas </w:t>
      </w:r>
      <w:r w:rsidRPr="000A2024">
        <w:rPr>
          <w:rFonts w:ascii="Arial" w:hAnsi="Arial" w:cs="Arial"/>
          <w:sz w:val="24"/>
          <w:szCs w:val="24"/>
        </w:rPr>
        <w:t xml:space="preserve">acerca de los derechos humanos vigente.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Los Estados siguen implementando políticas que procuran incentivar el crecimiento económico en lugar de encaminar las políticas económicas y sociales a procurar incentivar el crecimiento de la calidad de vida y de redactarlas en materia de derechos humanos.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Según Accinelli E. y Sánchez Carrera E</w:t>
      </w:r>
      <w:r w:rsidRPr="000A2024">
        <w:rPr>
          <w:rFonts w:ascii="Arial" w:hAnsi="Arial" w:cs="Arial"/>
          <w:sz w:val="24"/>
          <w:szCs w:val="24"/>
          <w:vertAlign w:val="superscript"/>
        </w:rPr>
        <w:footnoteReference w:id="4"/>
      </w:r>
      <w:r w:rsidRPr="000A2024">
        <w:rPr>
          <w:rFonts w:ascii="Arial" w:hAnsi="Arial" w:cs="Arial"/>
          <w:sz w:val="24"/>
          <w:szCs w:val="24"/>
        </w:rPr>
        <w:t>. (citados en Accinelli E. y Salas O., 2010) existe un crecimiento económico asociado a las acciones de los diferentes agentes económicos individuales, los cuales son tomadores de decisiones que buscan maximizar sus utilidades.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Estas decisiones, en el caso de los pobres identificados, dependerán y se encontrarán en función de los derechos humanos básicos con los que cuentan a su alcance, así como el acceso a los diversos niveles de educación, la adquisición de los bienes y servicios que se necesitan para desenvolverse dentro de una sociedad, la salud que permite tener más expectativas de vida, acceso a la tecnología tanto en la capacitación como en la información, y resumiendo, un bienestar social y económico.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Como se había dicho en el primer capítulo, el desarrollo de un país se presentará cuando cada uno de sus individuos en los diversos niveles y esferas de la sociedad sean capaces por sí mismos de satisfacer sus necesidades. Lo cual es el principio fundamental del desarrollo humano.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Accinelli E. y Sánchez Carrera E. (citados en Accinelli E. y Salas O., 2010) mencionan el acceso al crédito, a la institucionalidad de la economía y a una distribución inicial, como situaciones o condiciones iniciales de los individuos que determinan el desarrollo y crecimiento económico.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Utilizar el enfoque de los derechos humanos para identificar y buscar a las personas que se encuentran en pobreza permite también incluir a las personas en la participación pública y buscar cuidar los dotes de dignidad y de autonomía como seres humanos.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importancia de acabar con la pobreza es que dicho logro provocará un estímulo inmenso en la sociedad y por ende dentro de un crecimiento económico enfocado en los derechos humanos y donde ahora, los nuevos agentes de cambio, serían las personas que han dejado la pobreza atrás.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Se requiere entonces de una propuesta política en que las normas que se implementen estén basadas en los principios de los derechos humanos y que además posea una cobertura total.</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Existen una serie de principios que fueron basados en las normas y principios internacionales que se centran específicamente en los derechos humanos de aquellas personas bajo condiciones de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Estos principios son herramientas que sirven para la formulación, diseño e implementación de políticas públicas y otros esfuerzos de erradicar la pobreza para que estos alcancen a cubrir hasta los miembros más pobres de la nación o región que los implemente.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También poseen la característica de obligar a los Estados, instituciones privadas y otros grupos de poder a que se vigilen, se respeten y se hagan cumplir los derechos de los pobres.</w:t>
      </w:r>
    </w:p>
    <w:p w:rsidR="00080599" w:rsidRPr="000A2024" w:rsidRDefault="00080599" w:rsidP="0052158D">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 xml:space="preserve">Estos principios son llamados </w:t>
      </w:r>
      <w:r w:rsidRPr="0052158D">
        <w:rPr>
          <w:rFonts w:ascii="Arial" w:hAnsi="Arial" w:cs="Arial"/>
          <w:sz w:val="24"/>
          <w:szCs w:val="24"/>
        </w:rPr>
        <w:t>Los Principios Rectores sobre la extrema pobreza y los derechos humanos</w:t>
      </w:r>
      <w:r w:rsidRPr="000A2024">
        <w:rPr>
          <w:rFonts w:ascii="Arial" w:hAnsi="Arial" w:cs="Arial"/>
          <w:sz w:val="24"/>
          <w:szCs w:val="24"/>
        </w:rPr>
        <w:t xml:space="preserve"> y contemplan todos aquellos factores determinantes sociales, culturales, económicos y estructurales que impiden a aquellos que viven en condiciones de pobreza extrema disfrutar de los derechos humanos.</w:t>
      </w:r>
    </w:p>
    <w:p w:rsidR="00080599" w:rsidRPr="000A2024" w:rsidRDefault="00080599" w:rsidP="0052158D">
      <w:pPr>
        <w:pStyle w:val="SubTema"/>
        <w:spacing w:before="0" w:after="120"/>
        <w:rPr>
          <w:rFonts w:ascii="Arial" w:hAnsi="Arial" w:cs="Arial"/>
        </w:rPr>
      </w:pPr>
      <w:bookmarkStart w:id="29" w:name="_Toc450230504"/>
      <w:r w:rsidRPr="000A2024">
        <w:rPr>
          <w:rFonts w:ascii="Arial" w:hAnsi="Arial" w:cs="Arial"/>
        </w:rPr>
        <w:t>Los Principios Rectores sobre la extrema pobreza y los derechos humanos de las Naciones Unidas.</w:t>
      </w:r>
      <w:bookmarkEnd w:id="29"/>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Principios Rectores (PR) alientan a observar a la pobreza extrema como una obligación jurídica y son una herramienta que debe ser considerada y utilizada durante la formulación, diseño e implementación de  políticas y actividades que incumban o afecten a las personas en pobreza por parte de los estados o gobiernos, los órganos de las Naciones Unidas y especializados encargados de la pobreza, fondos y programas, instituciones de derechos humanos, organizaciones sociales civiles o gubernamentales y agentes no estatales que incluyen al sector privado.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PR fueron creados por la relatora especial de la ONU a lo largo de los primeros años del milenio en base a consultas formales e informales con los distintos estados, </w:t>
      </w:r>
      <w:r w:rsidRPr="000A2024">
        <w:rPr>
          <w:rFonts w:ascii="Arial" w:hAnsi="Arial" w:cs="Arial"/>
          <w:sz w:val="24"/>
          <w:szCs w:val="24"/>
        </w:rPr>
        <w:lastRenderedPageBreak/>
        <w:t>sectores miembros de Naciones Unidas y otras instituciones interesadas. Incluso se realizaron las consultas a los mismos pobres.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Por medio de las diversas consultas y declarados en el informe de la Relatora Especial en septiembre del 2010 durante el 15vo periodo de sesiones del </w:t>
      </w:r>
      <w:r w:rsidRPr="008A78F4">
        <w:rPr>
          <w:rFonts w:ascii="Arial" w:hAnsi="Arial" w:cs="Arial"/>
          <w:sz w:val="24"/>
          <w:szCs w:val="24"/>
        </w:rPr>
        <w:t>Consejo de Derechos Humanos</w:t>
      </w:r>
      <w:r w:rsidRPr="000A2024">
        <w:rPr>
          <w:rFonts w:ascii="Arial" w:hAnsi="Arial" w:cs="Arial"/>
          <w:sz w:val="24"/>
          <w:szCs w:val="24"/>
        </w:rPr>
        <w:t>, los PR están basados en:</w:t>
      </w:r>
    </w:p>
    <w:p w:rsidR="00080599" w:rsidRPr="000A2024" w:rsidRDefault="00080599" w:rsidP="00080599">
      <w:pPr>
        <w:pStyle w:val="Prrafodelista"/>
        <w:numPr>
          <w:ilvl w:val="0"/>
          <w:numId w:val="45"/>
        </w:numPr>
        <w:spacing w:after="120" w:line="360" w:lineRule="auto"/>
        <w:contextualSpacing w:val="0"/>
        <w:jc w:val="both"/>
        <w:rPr>
          <w:rFonts w:ascii="Arial" w:hAnsi="Arial" w:cs="Arial"/>
          <w:sz w:val="24"/>
          <w:szCs w:val="24"/>
        </w:rPr>
      </w:pPr>
      <w:r w:rsidRPr="000A2024">
        <w:rPr>
          <w:rFonts w:ascii="Arial" w:hAnsi="Arial" w:cs="Arial"/>
          <w:sz w:val="24"/>
          <w:szCs w:val="24"/>
        </w:rPr>
        <w:t>Los principios y marco normativo de los derechos humanos que fueron internacionalmente consensados.</w:t>
      </w:r>
    </w:p>
    <w:p w:rsidR="00080599" w:rsidRPr="000A2024" w:rsidRDefault="00080599" w:rsidP="00080599">
      <w:pPr>
        <w:pStyle w:val="Prrafodelista"/>
        <w:numPr>
          <w:ilvl w:val="0"/>
          <w:numId w:val="45"/>
        </w:numPr>
        <w:spacing w:after="120" w:line="360" w:lineRule="auto"/>
        <w:contextualSpacing w:val="0"/>
        <w:jc w:val="both"/>
        <w:rPr>
          <w:rFonts w:ascii="Arial" w:hAnsi="Arial" w:cs="Arial"/>
          <w:sz w:val="24"/>
          <w:szCs w:val="24"/>
        </w:rPr>
      </w:pPr>
      <w:r w:rsidRPr="000A2024">
        <w:rPr>
          <w:rFonts w:ascii="Arial" w:hAnsi="Arial" w:cs="Arial"/>
          <w:sz w:val="24"/>
          <w:szCs w:val="24"/>
        </w:rPr>
        <w:t>Colocar a la pobreza bajo una óptica relacional y multidimensional que reconoce que el mismo modo en que una persona cae dentro de la pobreza es también un medio para identificar los derechos humanos privados y así mismo hacerlos efectivos.</w:t>
      </w:r>
    </w:p>
    <w:p w:rsidR="00080599" w:rsidRPr="000A2024" w:rsidRDefault="00080599" w:rsidP="00080599">
      <w:pPr>
        <w:pStyle w:val="Prrafodelista"/>
        <w:numPr>
          <w:ilvl w:val="0"/>
          <w:numId w:val="45"/>
        </w:numPr>
        <w:spacing w:after="120" w:line="360" w:lineRule="auto"/>
        <w:contextualSpacing w:val="0"/>
        <w:jc w:val="both"/>
        <w:rPr>
          <w:rFonts w:ascii="Arial" w:hAnsi="Arial" w:cs="Arial"/>
          <w:sz w:val="24"/>
          <w:szCs w:val="24"/>
        </w:rPr>
      </w:pPr>
      <w:r w:rsidRPr="000A2024">
        <w:rPr>
          <w:rFonts w:ascii="Arial" w:hAnsi="Arial" w:cs="Arial"/>
          <w:sz w:val="24"/>
          <w:szCs w:val="24"/>
        </w:rPr>
        <w:t>Toman como marco conceptual a los siguientes aparatos y acuerdos, diseñados y pactados para ser empleados para garantizar el desarrollo humano:</w:t>
      </w:r>
    </w:p>
    <w:p w:rsidR="00080599" w:rsidRPr="000A2024" w:rsidRDefault="00080599" w:rsidP="00080599">
      <w:pPr>
        <w:pStyle w:val="Prrafodelista"/>
        <w:numPr>
          <w:ilvl w:val="1"/>
          <w:numId w:val="45"/>
        </w:numPr>
        <w:spacing w:after="120" w:line="360" w:lineRule="auto"/>
        <w:contextualSpacing w:val="0"/>
        <w:jc w:val="both"/>
        <w:rPr>
          <w:rFonts w:ascii="Arial" w:hAnsi="Arial" w:cs="Arial"/>
          <w:sz w:val="24"/>
          <w:szCs w:val="24"/>
        </w:rPr>
      </w:pPr>
      <w:r w:rsidRPr="000A2024">
        <w:rPr>
          <w:rFonts w:ascii="Arial" w:hAnsi="Arial" w:cs="Arial"/>
          <w:sz w:val="24"/>
          <w:szCs w:val="24"/>
        </w:rPr>
        <w:t>Declaración Universal de Derechos Humanos.</w:t>
      </w:r>
    </w:p>
    <w:p w:rsidR="00080599" w:rsidRPr="000A2024" w:rsidRDefault="00080599" w:rsidP="00080599">
      <w:pPr>
        <w:pStyle w:val="Prrafodelista"/>
        <w:numPr>
          <w:ilvl w:val="1"/>
          <w:numId w:val="45"/>
        </w:numPr>
        <w:spacing w:after="120" w:line="360" w:lineRule="auto"/>
        <w:contextualSpacing w:val="0"/>
        <w:jc w:val="both"/>
        <w:rPr>
          <w:rFonts w:ascii="Arial" w:hAnsi="Arial" w:cs="Arial"/>
          <w:sz w:val="24"/>
          <w:szCs w:val="24"/>
        </w:rPr>
      </w:pPr>
      <w:r w:rsidRPr="000A2024">
        <w:rPr>
          <w:rFonts w:ascii="Arial" w:hAnsi="Arial" w:cs="Arial"/>
          <w:sz w:val="24"/>
          <w:szCs w:val="24"/>
        </w:rPr>
        <w:t>Pacto Internacional de Derechos Económicos, Sociales y Culturales.</w:t>
      </w:r>
    </w:p>
    <w:p w:rsidR="00080599" w:rsidRPr="000A2024" w:rsidRDefault="00080599" w:rsidP="00080599">
      <w:pPr>
        <w:pStyle w:val="Prrafodelista"/>
        <w:numPr>
          <w:ilvl w:val="1"/>
          <w:numId w:val="45"/>
        </w:numPr>
        <w:spacing w:after="120" w:line="360" w:lineRule="auto"/>
        <w:contextualSpacing w:val="0"/>
        <w:jc w:val="both"/>
        <w:rPr>
          <w:rFonts w:ascii="Arial" w:hAnsi="Arial" w:cs="Arial"/>
          <w:sz w:val="24"/>
          <w:szCs w:val="24"/>
        </w:rPr>
      </w:pPr>
      <w:r w:rsidRPr="000A2024">
        <w:rPr>
          <w:rFonts w:ascii="Arial" w:hAnsi="Arial" w:cs="Arial"/>
          <w:sz w:val="24"/>
          <w:szCs w:val="24"/>
        </w:rPr>
        <w:t>Convención Internacional sobre la eliminación de todas las formas de discriminación racial.</w:t>
      </w:r>
    </w:p>
    <w:p w:rsidR="00080599" w:rsidRPr="000A2024" w:rsidRDefault="00080599" w:rsidP="00080599">
      <w:pPr>
        <w:pStyle w:val="Prrafodelista"/>
        <w:numPr>
          <w:ilvl w:val="1"/>
          <w:numId w:val="45"/>
        </w:numPr>
        <w:spacing w:after="120" w:line="360" w:lineRule="auto"/>
        <w:contextualSpacing w:val="0"/>
        <w:jc w:val="both"/>
        <w:rPr>
          <w:rFonts w:ascii="Arial" w:hAnsi="Arial" w:cs="Arial"/>
          <w:sz w:val="24"/>
          <w:szCs w:val="24"/>
        </w:rPr>
      </w:pPr>
      <w:r w:rsidRPr="000A2024">
        <w:rPr>
          <w:rFonts w:ascii="Arial" w:hAnsi="Arial" w:cs="Arial"/>
          <w:sz w:val="24"/>
          <w:szCs w:val="24"/>
        </w:rPr>
        <w:t>Convención sobre la eliminación de todas las formas de discriminación contra la mujer.</w:t>
      </w:r>
    </w:p>
    <w:p w:rsidR="00080599" w:rsidRPr="000A2024" w:rsidRDefault="00080599" w:rsidP="00080599">
      <w:pPr>
        <w:pStyle w:val="Prrafodelista"/>
        <w:numPr>
          <w:ilvl w:val="1"/>
          <w:numId w:val="45"/>
        </w:numPr>
        <w:spacing w:after="120" w:line="360" w:lineRule="auto"/>
        <w:contextualSpacing w:val="0"/>
        <w:jc w:val="both"/>
        <w:rPr>
          <w:rFonts w:ascii="Arial" w:hAnsi="Arial" w:cs="Arial"/>
          <w:sz w:val="24"/>
          <w:szCs w:val="24"/>
        </w:rPr>
      </w:pPr>
      <w:r w:rsidRPr="000A2024">
        <w:rPr>
          <w:rFonts w:ascii="Arial" w:hAnsi="Arial" w:cs="Arial"/>
          <w:sz w:val="24"/>
          <w:szCs w:val="24"/>
        </w:rPr>
        <w:t>Convención sobre los derechos del niño.</w:t>
      </w:r>
    </w:p>
    <w:p w:rsidR="00080599" w:rsidRPr="000A2024" w:rsidRDefault="00080599" w:rsidP="00080599">
      <w:pPr>
        <w:pStyle w:val="Prrafodelista"/>
        <w:numPr>
          <w:ilvl w:val="1"/>
          <w:numId w:val="45"/>
        </w:numPr>
        <w:spacing w:after="120" w:line="360" w:lineRule="auto"/>
        <w:contextualSpacing w:val="0"/>
        <w:jc w:val="both"/>
        <w:rPr>
          <w:rFonts w:ascii="Arial" w:hAnsi="Arial" w:cs="Arial"/>
          <w:sz w:val="24"/>
          <w:szCs w:val="24"/>
        </w:rPr>
      </w:pPr>
      <w:r w:rsidRPr="000A2024">
        <w:rPr>
          <w:rFonts w:ascii="Arial" w:hAnsi="Arial" w:cs="Arial"/>
          <w:sz w:val="24"/>
          <w:szCs w:val="24"/>
        </w:rPr>
        <w:t>Convención sobre los derechos de las personas con discapacidad.</w:t>
      </w:r>
    </w:p>
    <w:p w:rsidR="00080599" w:rsidRPr="000A2024" w:rsidRDefault="00080599" w:rsidP="00080599">
      <w:pPr>
        <w:pStyle w:val="Prrafodelista"/>
        <w:numPr>
          <w:ilvl w:val="1"/>
          <w:numId w:val="45"/>
        </w:numPr>
        <w:spacing w:after="120" w:line="360" w:lineRule="auto"/>
        <w:contextualSpacing w:val="0"/>
        <w:jc w:val="both"/>
        <w:rPr>
          <w:rFonts w:ascii="Arial" w:hAnsi="Arial" w:cs="Arial"/>
          <w:sz w:val="24"/>
          <w:szCs w:val="24"/>
        </w:rPr>
      </w:pPr>
      <w:r w:rsidRPr="000A2024">
        <w:rPr>
          <w:rFonts w:ascii="Arial" w:hAnsi="Arial" w:cs="Arial"/>
          <w:sz w:val="24"/>
          <w:szCs w:val="24"/>
        </w:rPr>
        <w:t>Observaciones y recomendaciones generales de los órganos de tratados de las Naciones Unidas.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Debido al carácter de su importancia, su aplicación posee una cobertura mundial sin importar la fase de desarrollo económico en que se encuentre el país, pero sí dependiendo de sus características específicas.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Su enfoque se centra en quienes viven en la pobreza extrema y que demuestran que las políticas y servicios públicos no poseen el alcance necesario ya que estos individuos padecen de altos niveles de marginación, exclusión y tal estigmatización.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la relatora especial, Magdalena Sepúlveda Carmona, los principios básicos de los </w:t>
      </w:r>
      <w:r w:rsidRPr="008A78F4">
        <w:rPr>
          <w:rFonts w:ascii="Arial" w:hAnsi="Arial" w:cs="Arial"/>
          <w:sz w:val="24"/>
          <w:szCs w:val="24"/>
        </w:rPr>
        <w:t>Principios Rectores</w:t>
      </w:r>
      <w:r w:rsidRPr="000A2024">
        <w:rPr>
          <w:rFonts w:ascii="Arial" w:hAnsi="Arial" w:cs="Arial"/>
          <w:i/>
          <w:sz w:val="24"/>
          <w:szCs w:val="24"/>
        </w:rPr>
        <w:t>,</w:t>
      </w:r>
      <w:r w:rsidRPr="000A2024">
        <w:rPr>
          <w:rFonts w:ascii="Arial" w:hAnsi="Arial" w:cs="Arial"/>
          <w:sz w:val="24"/>
          <w:szCs w:val="24"/>
        </w:rPr>
        <w:t xml:space="preserve"> son principios esenciales dentro de un estudio de pobreza con un enfoque basado en los derechos humanos. </w:t>
      </w:r>
    </w:p>
    <w:p w:rsidR="00080599" w:rsidRPr="000A2024" w:rsidRDefault="00080599" w:rsidP="008A78F4">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En base a estos, afirma la relatora especial, las políticas y servicios públicos que buscan fungir como instrumentos de erradicación de la pobreza deberían estar elaborados y aplicados.</w:t>
      </w:r>
    </w:p>
    <w:p w:rsidR="00080599" w:rsidRPr="000A2024" w:rsidRDefault="00080599" w:rsidP="008A78F4">
      <w:pPr>
        <w:pStyle w:val="SubTema"/>
        <w:spacing w:before="0" w:after="120"/>
        <w:rPr>
          <w:rFonts w:ascii="Arial" w:hAnsi="Arial" w:cs="Arial"/>
        </w:rPr>
      </w:pPr>
      <w:bookmarkStart w:id="30" w:name="_Toc450230505"/>
      <w:r w:rsidRPr="000A2024">
        <w:rPr>
          <w:rFonts w:ascii="Arial" w:hAnsi="Arial" w:cs="Arial"/>
        </w:rPr>
        <w:t>Principios básicos de los Principios Rectores.</w:t>
      </w:r>
      <w:bookmarkEnd w:id="30"/>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Son estos principios la verdadera importancia del combate a la pobreza ya que aquellos que son privados o no poseen el conocimiento de cómo ejercerlos no podrán contemplar sus oportunidades para vivir una vida digna y plena, y con esto no desarrollar su potencial humano.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importancia del combate a la pobreza radica en aquellos derechos básicos que impiden a las personas alcanzar sus objetivos o si quiera poder formularlos.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Las decisiones de las personas en base a sus alternativas que se encuentran en función a su objetivo que es maximizar su propia función como humano, son efectos micro que en conjunto tal y como lo indica la ciencia económica poseen una reacción macro por lo que aquellas personas que son privadas de alternativas que maximicen su función perjudicarán en agregado a la economía nacional. Es esto la primicia del combate a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 continuación, se enumeran los principios básicos de los PR que son redactados por la </w:t>
      </w:r>
      <w:r w:rsidRPr="008A78F4">
        <w:rPr>
          <w:rFonts w:ascii="Arial" w:hAnsi="Arial" w:cs="Arial"/>
          <w:sz w:val="24"/>
          <w:szCs w:val="24"/>
        </w:rPr>
        <w:t xml:space="preserve">relatora especial </w:t>
      </w:r>
      <w:r w:rsidRPr="000A2024">
        <w:rPr>
          <w:rFonts w:ascii="Arial" w:hAnsi="Arial" w:cs="Arial"/>
          <w:sz w:val="24"/>
          <w:szCs w:val="24"/>
        </w:rPr>
        <w:t>Magdalena Sepúlveda Carmona en el informe “</w:t>
      </w:r>
      <w:r w:rsidRPr="008A78F4">
        <w:rPr>
          <w:rFonts w:ascii="Arial" w:hAnsi="Arial" w:cs="Arial"/>
          <w:sz w:val="24"/>
          <w:szCs w:val="24"/>
        </w:rPr>
        <w:t>Proyecto final de los Principios Rectores sobre la extrema pobreza y los derechos humanos</w:t>
      </w:r>
      <w:r w:rsidRPr="000A2024">
        <w:rPr>
          <w:rFonts w:ascii="Arial" w:hAnsi="Arial" w:cs="Arial"/>
          <w:i/>
          <w:sz w:val="24"/>
          <w:szCs w:val="24"/>
        </w:rPr>
        <w:t>”</w:t>
      </w:r>
      <w:r w:rsidRPr="000A2024">
        <w:rPr>
          <w:rFonts w:ascii="Arial" w:hAnsi="Arial" w:cs="Arial"/>
          <w:sz w:val="24"/>
          <w:szCs w:val="24"/>
        </w:rPr>
        <w:t>, Julio 2012.</w:t>
      </w:r>
    </w:p>
    <w:p w:rsidR="00080599" w:rsidRPr="008A78F4" w:rsidRDefault="00080599" w:rsidP="008A78F4">
      <w:pPr>
        <w:pStyle w:val="Prrafodelista"/>
        <w:numPr>
          <w:ilvl w:val="0"/>
          <w:numId w:val="35"/>
        </w:numPr>
        <w:tabs>
          <w:tab w:val="left" w:pos="1455"/>
        </w:tabs>
        <w:spacing w:after="120"/>
        <w:jc w:val="both"/>
        <w:rPr>
          <w:rFonts w:ascii="Arial" w:hAnsi="Arial" w:cs="Arial"/>
          <w:sz w:val="24"/>
          <w:szCs w:val="24"/>
        </w:rPr>
      </w:pPr>
      <w:r w:rsidRPr="008A78F4">
        <w:rPr>
          <w:rFonts w:ascii="Arial" w:hAnsi="Arial" w:cs="Arial"/>
          <w:sz w:val="24"/>
          <w:szCs w:val="24"/>
        </w:rPr>
        <w:t>Dignidad, universalidad, indivisibilidad, relación mutua e interdependencia de todos los derechos.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La dignidad humana, vinculada a los principios de igualdad y no discriminación, es realmente el fundamento de los derechos humanos. Sin ella nada de aquello que genera felicidad en el ser humano tendría sentido o perdería su valor de inmediato. La ausencia de dignidad es la principal característica que genera la degradación, exclusión de uno mismo ante la sociedad y umbral de la pobreza extrema.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Todas las políticas públicas deben poseer la cualidad de tener como base que absolutamente todas las personas que viven en pobreza, por naturaleza humana y como un derecho desde el nacimiento, deben contar en sus vidas y en su autoconcepción, con dignidad.</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Magdalena Sepúlveda Carmona la pobreza extrema es una prueba de la indivisibilidad, relación mutua e interdependencia de los derechos humanos.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Estados tienen el papel crucial de crear un ambiente propicio para generar la lucha contra la pobreza y la protección de los derechos humanos. Es por esto que las políticas públicas deben procurar que todas aquellas personas sumergidas dentro de la pobreza se les proporcionen respeto, protección y la efectividad de todos los derechos humanos.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Ninguna política viable puede agravar el nivel de pobreza del país.</w:t>
      </w:r>
    </w:p>
    <w:p w:rsidR="00080599" w:rsidRPr="008A78F4" w:rsidRDefault="00080599" w:rsidP="008A78F4">
      <w:pPr>
        <w:pStyle w:val="Prrafodelista"/>
        <w:numPr>
          <w:ilvl w:val="0"/>
          <w:numId w:val="35"/>
        </w:numPr>
        <w:tabs>
          <w:tab w:val="left" w:pos="1455"/>
        </w:tabs>
        <w:spacing w:after="120"/>
        <w:jc w:val="both"/>
        <w:rPr>
          <w:rFonts w:ascii="Arial" w:hAnsi="Arial" w:cs="Arial"/>
          <w:sz w:val="24"/>
          <w:szCs w:val="24"/>
        </w:rPr>
      </w:pPr>
      <w:r w:rsidRPr="008A78F4">
        <w:rPr>
          <w:rFonts w:ascii="Arial" w:hAnsi="Arial" w:cs="Arial"/>
          <w:sz w:val="24"/>
          <w:szCs w:val="24"/>
        </w:rPr>
        <w:t>Disfrute en condiciones de igualdad de todos los derechos humanos por las personas que viven en la pobreza extrema.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la relatora especial Sepúlveda Carmona, la pobreza puede tener un punto de partida que encamina el </w:t>
      </w:r>
      <w:r w:rsidRPr="000A2024">
        <w:rPr>
          <w:rFonts w:ascii="Arial" w:hAnsi="Arial" w:cs="Arial"/>
          <w:i/>
          <w:sz w:val="24"/>
          <w:szCs w:val="24"/>
        </w:rPr>
        <w:t>modus de vida</w:t>
      </w:r>
      <w:r w:rsidRPr="000A2024">
        <w:rPr>
          <w:rFonts w:ascii="Arial" w:hAnsi="Arial" w:cs="Arial"/>
          <w:sz w:val="24"/>
          <w:szCs w:val="24"/>
        </w:rPr>
        <w:t xml:space="preserve"> hacia la discriminación. Asegura que la discriminación es una causa y al mismo tiempo consecuencia de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Quienes viven en pobreza se ven discriminados por parte de las autoridades gubernamentales, por la misma sociedad civil y por aquellos agentes del sector privado, simplemente por el hecho de ser pobres y más específicamente por su situación económica.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Bajo este principio el Estado se ve obligado a garantizar que existirá la igualdad ante la ley y en una misma medida para todos aquellos que viven dentro de él. Además debe retirar o modificar las leyes y/o reglamentos que puedan prestarse </w:t>
      </w:r>
      <w:r w:rsidRPr="000A2024">
        <w:rPr>
          <w:rFonts w:ascii="Arial" w:hAnsi="Arial" w:cs="Arial"/>
          <w:sz w:val="24"/>
          <w:szCs w:val="24"/>
        </w:rPr>
        <w:lastRenderedPageBreak/>
        <w:t xml:space="preserve">para actividades o conductas participes en la disminución de la importancia de los derechos, intereses y medios de sustento de aquellos que viven en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Estados deben darse a la tarea de identificar a todos sus ciudadanos que se encuentren en condiciones de pobreza dentro de la sociedad, y concederles la prioridad de la lista de otorgamiento de garantía del goce de los derechos humanos.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También posee la obligación de prohibirle a todo tipo autoridad, servidores públicos o toda aquella persona física o moral que posea subordinados, que discriminen de cualquier forma a las personas que viven dentro de la pobreza, esto mediante el derecho de ser protegidos contra el estigma negativo de su propia situación.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Para que exista equidad entre las personas las condiciones exigen estar preestablecidas antes y es por esto que se deben establecer políticas fiscales, programas o medidas que utilicen instrumentos legislativos, ejecutivos, administrativos, con presupuestos y personal que se encargue de su regulación y ejecución en el campo de la pobreza que suministren a la población universal de los derechos básicos como el de la vivienda, la alimentación, seguridad social, salud, educación, cultura y que fomenten la participación pública.</w:t>
      </w:r>
    </w:p>
    <w:p w:rsidR="00080599" w:rsidRPr="008A78F4" w:rsidRDefault="00080599" w:rsidP="00080599">
      <w:pPr>
        <w:pStyle w:val="Prrafodelista"/>
        <w:numPr>
          <w:ilvl w:val="0"/>
          <w:numId w:val="35"/>
        </w:numPr>
        <w:tabs>
          <w:tab w:val="left" w:pos="1455"/>
        </w:tabs>
        <w:jc w:val="both"/>
        <w:rPr>
          <w:rFonts w:ascii="Arial" w:hAnsi="Arial" w:cs="Arial"/>
          <w:sz w:val="24"/>
          <w:szCs w:val="24"/>
        </w:rPr>
      </w:pPr>
      <w:r w:rsidRPr="008A78F4">
        <w:rPr>
          <w:rFonts w:ascii="Arial" w:hAnsi="Arial" w:cs="Arial"/>
          <w:sz w:val="24"/>
          <w:szCs w:val="24"/>
        </w:rPr>
        <w:t>Igualdad de género.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Estados se ven obligados a eliminar la disparidad entre hombres y mujeres, así como la discriminación y violencia de género.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En esta última se tiene la primicia que para las mujeres que viven en pobreza y que son víctimas de violencia de género se les es más difícil acudir a un tribunal de justicia en un Estado que no procura la paridad   de género.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estados deben proveer a la mujer del acceso a una capacidad legal plena, y del control y administración de sus propios recursos económicos y activos. Además de también garantizar un estado de bienestar tal y como ya lo habíamos definido, el cual consta de servicios públicos, salud, educación, protección social, condiciones y potencial de empleo y prestaciones de seguridad social.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El Estado también debe proveer de mecanismos sociales que permitan a las mujeres participar si así lo desean, en la vida política y en cualquier otro organismo de la sociedad.</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normativa que se practica a nivel internacional de derechos humanos en materia de igualdad de género indica que se deben eliminar cualquier práctica cultural y tradiciones nocivas que difundan la idea de la inferioridad de alguno de los sexos o de la función de estereotipo del hombre o la mujer.</w:t>
      </w:r>
    </w:p>
    <w:p w:rsidR="00080599" w:rsidRPr="008A78F4" w:rsidRDefault="00080599" w:rsidP="00080599">
      <w:pPr>
        <w:pStyle w:val="Prrafodelista"/>
        <w:numPr>
          <w:ilvl w:val="0"/>
          <w:numId w:val="35"/>
        </w:numPr>
        <w:tabs>
          <w:tab w:val="left" w:pos="1455"/>
        </w:tabs>
        <w:jc w:val="both"/>
        <w:rPr>
          <w:rFonts w:ascii="Arial" w:hAnsi="Arial" w:cs="Arial"/>
          <w:sz w:val="24"/>
          <w:szCs w:val="24"/>
        </w:rPr>
      </w:pPr>
      <w:r w:rsidRPr="008A78F4">
        <w:rPr>
          <w:rFonts w:ascii="Arial" w:hAnsi="Arial" w:cs="Arial"/>
          <w:sz w:val="24"/>
          <w:szCs w:val="24"/>
        </w:rPr>
        <w:t>Derechos del niño.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Magdalena Sepúlveda Carmona afirma que la mayor parte de la población en pobreza son infantes y como la pobreza en la infancia es considerada como una causa de la pobreza en la vida adulta se debe considerar garantizar primero los derechos de los niños en el combate a la pobreza.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por esto que si los Estados se colocan el objetivo de erradicar la pobreza es necesario adoptar medidas inmediatas para el combate de la pobreza infantil desde las primeras fases de la política elegida.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Los niños deben contar con el acceso a los servicios básicos, buscando que cuenten y gocen de su uso en el hogar. Estos servicios e materia de los derechos humanos son la atención de su salud en un ambiente de alta calidad, nutrición bajo una estricta regulación, una vivienda digna y una educación hasta el nivel primaria. La pobreza coloca a los infantes, sobre todo a las niñas, en condiciones que los exponen a explotación, abandono y/o maltrato.</w:t>
      </w:r>
    </w:p>
    <w:p w:rsidR="00080599" w:rsidRPr="008A78F4" w:rsidRDefault="00080599" w:rsidP="00080599">
      <w:pPr>
        <w:pStyle w:val="Prrafodelista"/>
        <w:numPr>
          <w:ilvl w:val="0"/>
          <w:numId w:val="35"/>
        </w:numPr>
        <w:tabs>
          <w:tab w:val="left" w:pos="1455"/>
        </w:tabs>
        <w:jc w:val="both"/>
        <w:rPr>
          <w:rFonts w:ascii="Arial" w:hAnsi="Arial" w:cs="Arial"/>
          <w:sz w:val="24"/>
          <w:szCs w:val="24"/>
        </w:rPr>
      </w:pPr>
      <w:r w:rsidRPr="008A78F4">
        <w:rPr>
          <w:rFonts w:ascii="Arial" w:hAnsi="Arial" w:cs="Arial"/>
          <w:sz w:val="24"/>
          <w:szCs w:val="24"/>
        </w:rPr>
        <w:t>Capacidad de actuación y autonomía de las personas que viven en la extrema pobreza.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Estado debe promover la libertad y la autonomía de los individuos que viven en pobreza, considerando a éstos como potenciales ciudadanos en la participación pública.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Las políticas deben ser encaminadas a conceder o suministrar poder a las personas que se encuentren a su alcance, en el sentido de que puedan tomar sus propias decisiones y posean una visión clara de su capacidad con el único objetivo de alcanzar su propio potencial.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Con esto ellos se pueden garantizar a sí mismos su propia dignidad y el derecho a influir hasta donde ellos lo decidan en las decisiones que afectan en su vida.</w:t>
      </w:r>
    </w:p>
    <w:p w:rsidR="00387211" w:rsidRPr="000A2024" w:rsidRDefault="00387211" w:rsidP="00080599">
      <w:pPr>
        <w:pStyle w:val="Prrafodelista"/>
        <w:spacing w:after="120" w:line="360" w:lineRule="auto"/>
        <w:ind w:left="0"/>
        <w:contextualSpacing w:val="0"/>
        <w:jc w:val="both"/>
        <w:rPr>
          <w:rFonts w:ascii="Arial" w:hAnsi="Arial" w:cs="Arial"/>
          <w:sz w:val="24"/>
          <w:szCs w:val="24"/>
        </w:rPr>
      </w:pPr>
    </w:p>
    <w:p w:rsidR="00080599" w:rsidRPr="008A78F4" w:rsidRDefault="00080599" w:rsidP="00080599">
      <w:pPr>
        <w:pStyle w:val="Prrafodelista"/>
        <w:numPr>
          <w:ilvl w:val="0"/>
          <w:numId w:val="35"/>
        </w:numPr>
        <w:tabs>
          <w:tab w:val="left" w:pos="1455"/>
        </w:tabs>
        <w:jc w:val="both"/>
        <w:rPr>
          <w:rFonts w:ascii="Arial" w:hAnsi="Arial" w:cs="Arial"/>
          <w:sz w:val="24"/>
          <w:szCs w:val="24"/>
        </w:rPr>
      </w:pPr>
      <w:r w:rsidRPr="008A78F4">
        <w:rPr>
          <w:rFonts w:ascii="Arial" w:hAnsi="Arial" w:cs="Arial"/>
          <w:sz w:val="24"/>
          <w:szCs w:val="24"/>
        </w:rPr>
        <w:t>Participación y empoderamiento.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Dentro de una democracia la participación en los ámbitos políticos debe ser efectiva y tener potenciales frutos a futuro de ejercerse. El Estado debe garantizar que, al momento de la elaboración de políticas, así como en el momento de ser implementadas, en su aplicación, vigilancia y evaluación, la población que se encuentra en condiciones de pobreza cuente con una participación activa, libre, informada y provechosa en estas políticas.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 participación ciudadana incentiva la inclusión social y es clave en el combate a la pobreza, ya que al incluir a los miembros más rezagados de la sociedad, que por lo general se encuentran bajo condiciones de pobreza, permiten que las políticas que se implementan sean potencialmente sostenibles y se diseñan para atender las verdaderas necesidades expresadas por los mismos individuos.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estado debe procurar por aquellas personas que se encuentren en grupos expuestos a la discriminación por cualquier tipo de racismo y debe brindarles representación en todos los procesos que los mencione y concierne para así también tengan poder y apoyo en la expresión de sus opiniones.</w:t>
      </w:r>
    </w:p>
    <w:p w:rsidR="00080599" w:rsidRPr="008A78F4" w:rsidRDefault="00080599" w:rsidP="00080599">
      <w:pPr>
        <w:pStyle w:val="Prrafodelista"/>
        <w:numPr>
          <w:ilvl w:val="0"/>
          <w:numId w:val="35"/>
        </w:numPr>
        <w:tabs>
          <w:tab w:val="left" w:pos="1455"/>
        </w:tabs>
        <w:jc w:val="both"/>
        <w:rPr>
          <w:rFonts w:ascii="Arial" w:hAnsi="Arial" w:cs="Arial"/>
          <w:sz w:val="24"/>
          <w:szCs w:val="24"/>
        </w:rPr>
      </w:pPr>
      <w:r w:rsidRPr="008A78F4">
        <w:rPr>
          <w:rFonts w:ascii="Arial" w:hAnsi="Arial" w:cs="Arial"/>
          <w:sz w:val="24"/>
          <w:szCs w:val="24"/>
        </w:rPr>
        <w:t>Transparencia y acceso a la información.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Aquellos en pobreza generalmente se encuentran excluidos de los medios de información y de la información que los afecta, además carecer de información obstaculiza el acceso a sus servicios sociales o a las oportunidades de empleo y esto propicia que se encuentren fuertemente expuestos a explotación o corrupción.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acceso a la información permite conectar a la sociedad y también es una herramienta que estimula la soberanía del pueblo.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Estado debe procurar la transparencia en cualquier proceso, servicios o programas que lleve a cabo que involucre a la población bajo pobreza mediante promociones de información de carácter gratuito y accesible. La información debe </w:t>
      </w:r>
      <w:r w:rsidRPr="000A2024">
        <w:rPr>
          <w:rFonts w:ascii="Arial" w:hAnsi="Arial" w:cs="Arial"/>
          <w:sz w:val="24"/>
          <w:szCs w:val="24"/>
        </w:rPr>
        <w:lastRenderedPageBreak/>
        <w:t xml:space="preserve">ser divulgada y difundida activamente en toda la población, enfatizando los esfuerzos en aquella que se encuentra en condiciones de pobreza. </w:t>
      </w:r>
    </w:p>
    <w:p w:rsidR="00387211"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Como segunda obligación, el Estado debe garantizar que los ciudadanos cuenten con medios de información masiva accesibles y asequib</w:t>
      </w:r>
      <w:r w:rsidR="008A78F4">
        <w:rPr>
          <w:rFonts w:ascii="Arial" w:hAnsi="Arial" w:cs="Arial"/>
          <w:sz w:val="24"/>
          <w:szCs w:val="24"/>
        </w:rPr>
        <w:t>les en sus costos y locaciones.</w:t>
      </w:r>
    </w:p>
    <w:p w:rsidR="00080599" w:rsidRPr="008A78F4" w:rsidRDefault="00080599" w:rsidP="00080599">
      <w:pPr>
        <w:pStyle w:val="Prrafodelista"/>
        <w:numPr>
          <w:ilvl w:val="0"/>
          <w:numId w:val="35"/>
        </w:numPr>
        <w:tabs>
          <w:tab w:val="left" w:pos="1455"/>
        </w:tabs>
        <w:jc w:val="both"/>
        <w:rPr>
          <w:rFonts w:ascii="Arial" w:hAnsi="Arial" w:cs="Arial"/>
          <w:sz w:val="24"/>
          <w:szCs w:val="24"/>
        </w:rPr>
      </w:pPr>
      <w:r w:rsidRPr="008A78F4">
        <w:rPr>
          <w:rFonts w:ascii="Arial" w:hAnsi="Arial" w:cs="Arial"/>
          <w:sz w:val="24"/>
          <w:szCs w:val="24"/>
        </w:rPr>
        <w:t>Rendición de cuentas.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Las personas en condiciones de pobreza deben ser consideradas como titulares de derechos a quienes las políticas y otros tipos de programas deben rendir cuentas.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Estado, a través de mecanismos de poder de toda índole como jurídica, legislativa, administrativa y política, garantizará que las personas bajo condiciones de pobreza posean el derecho de poder obtener una reparación efectiva ante las acciones y omisiones que disminuyan o comprometan sus derechos humanos.</w:t>
      </w:r>
    </w:p>
    <w:p w:rsidR="00080599" w:rsidRPr="000A2024" w:rsidRDefault="00080599" w:rsidP="008A78F4">
      <w:pPr>
        <w:pStyle w:val="Prrafodelista"/>
        <w:spacing w:after="240" w:line="360" w:lineRule="auto"/>
        <w:ind w:left="0"/>
        <w:contextualSpacing w:val="0"/>
        <w:jc w:val="both"/>
        <w:rPr>
          <w:rFonts w:ascii="Arial" w:hAnsi="Arial" w:cs="Arial"/>
          <w:sz w:val="24"/>
          <w:szCs w:val="24"/>
        </w:rPr>
      </w:pPr>
      <w:r w:rsidRPr="000A2024">
        <w:rPr>
          <w:rFonts w:ascii="Arial" w:hAnsi="Arial" w:cs="Arial"/>
          <w:sz w:val="24"/>
          <w:szCs w:val="24"/>
        </w:rPr>
        <w:t>El Estado debe poseer instrumentos que en coordinación en conjunto mediante procedimientos permitan a las personas en calidad de pobreza poder denunciar, pero así prevenir, det</w:t>
      </w:r>
      <w:r w:rsidR="008A78F4">
        <w:rPr>
          <w:rFonts w:ascii="Arial" w:hAnsi="Arial" w:cs="Arial"/>
          <w:sz w:val="24"/>
          <w:szCs w:val="24"/>
        </w:rPr>
        <w:t>ectar y combatir la corrupción.</w:t>
      </w:r>
    </w:p>
    <w:p w:rsidR="00080599" w:rsidRPr="000A2024" w:rsidRDefault="00080599" w:rsidP="008A78F4">
      <w:pPr>
        <w:pStyle w:val="SubTema"/>
        <w:spacing w:before="0" w:after="120"/>
        <w:rPr>
          <w:rFonts w:ascii="Arial" w:hAnsi="Arial" w:cs="Arial"/>
        </w:rPr>
      </w:pPr>
      <w:bookmarkStart w:id="31" w:name="_Toc450230506"/>
      <w:r w:rsidRPr="000A2024">
        <w:rPr>
          <w:rFonts w:ascii="Arial" w:hAnsi="Arial" w:cs="Arial"/>
        </w:rPr>
        <w:t>Los Ocho Objetivos de desarrollo del milenio para el 2015 y el papel de las Naciones Unidas.</w:t>
      </w:r>
      <w:bookmarkEnd w:id="31"/>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objetivos de este milenio para el desarrollo se declaran en la </w:t>
      </w:r>
      <w:r w:rsidRPr="008A78F4">
        <w:rPr>
          <w:rFonts w:ascii="Arial" w:hAnsi="Arial" w:cs="Arial"/>
          <w:sz w:val="24"/>
          <w:szCs w:val="24"/>
        </w:rPr>
        <w:t xml:space="preserve">Cumbre del milenio de las Naciones Unidas </w:t>
      </w:r>
      <w:r w:rsidRPr="000A2024">
        <w:rPr>
          <w:rFonts w:ascii="Arial" w:hAnsi="Arial" w:cs="Arial"/>
          <w:sz w:val="24"/>
          <w:szCs w:val="24"/>
        </w:rPr>
        <w:t xml:space="preserve">que se celebró en septiembre del año 2000 en Nueva York. Asistieron los líderes de 189 naciones pertenecientes a la Organización de las Naciones Unidas con el único fin de establecer y acordar objetivos que puedan ser medidos por medio de indicadores y metas alcanzables a cumplir en un determinado plazo de tiempo.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líderes mundiales reconocieron que además de los compromisos de sus correspondientes sociedades en su calidad de dirigentes poseen una responsabilidad con el resto de los habitantes del planeta priorizando a aquellos que son más vulnerables.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Así concordaron que debían utilizar aquella globalización o mundialización como una fuerza positiva que sea universal; en general aceptaron que la riqueza y bienestar estaba distribuida de una manera muy desigual.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Las Naciones Unidas ya poseían para entonces una serie de propósitos y principios que se habían preestablecido con anterioridad en la </w:t>
      </w:r>
      <w:r w:rsidRPr="000A2024">
        <w:rPr>
          <w:rFonts w:ascii="Arial" w:hAnsi="Arial" w:cs="Arial"/>
          <w:i/>
          <w:sz w:val="24"/>
          <w:szCs w:val="24"/>
        </w:rPr>
        <w:t>Carta de las Naciones Unidas</w:t>
      </w:r>
      <w:r w:rsidRPr="000A2024">
        <w:rPr>
          <w:rFonts w:ascii="Arial" w:hAnsi="Arial" w:cs="Arial"/>
          <w:sz w:val="24"/>
          <w:szCs w:val="24"/>
        </w:rPr>
        <w:t xml:space="preserve"> y es a esta a la que adhieren más esfuerzos en forma de objetivos que permitan que la globalización o mundialización sea equitativa a nivel global.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Dichos objetivos y metas buscarán establecer un desarrollo humano constante en el mundo y se ubican al centro de la agenda mundial desde entonces y son conocidos como </w:t>
      </w:r>
      <w:r w:rsidRPr="000A2024">
        <w:rPr>
          <w:rFonts w:ascii="Arial" w:hAnsi="Arial" w:cs="Arial"/>
          <w:i/>
          <w:sz w:val="24"/>
          <w:szCs w:val="24"/>
        </w:rPr>
        <w:t>Los Objetivos de Desarrollo del Milenio (ODM)</w:t>
      </w:r>
      <w:r w:rsidRPr="000A2024">
        <w:rPr>
          <w:rFonts w:ascii="Arial" w:hAnsi="Arial" w:cs="Arial"/>
          <w:sz w:val="24"/>
          <w:szCs w:val="24"/>
        </w:rPr>
        <w:t xml:space="preserv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líderes mundiales pactaron que no se escatimarían esfuerzos ni recursos para liberar a las personas que se encuentran en condiciones de pobreza extrema, definiendo a estas personas como </w:t>
      </w:r>
      <w:r w:rsidRPr="000A2024">
        <w:rPr>
          <w:rFonts w:ascii="Arial" w:hAnsi="Arial" w:cs="Arial"/>
          <w:i/>
          <w:sz w:val="24"/>
          <w:szCs w:val="24"/>
        </w:rPr>
        <w:t>“nuestros semejantes, hombres, mujeres y niños”</w:t>
      </w:r>
      <w:r w:rsidRPr="000A2024">
        <w:rPr>
          <w:rFonts w:ascii="Arial" w:hAnsi="Arial" w:cs="Arial"/>
          <w:sz w:val="24"/>
          <w:szCs w:val="24"/>
        </w:rPr>
        <w:t xml:space="preserve"> y a estas condiciones como </w:t>
      </w:r>
      <w:r w:rsidRPr="000A2024">
        <w:rPr>
          <w:rFonts w:ascii="Arial" w:hAnsi="Arial" w:cs="Arial"/>
          <w:i/>
          <w:sz w:val="24"/>
          <w:szCs w:val="24"/>
        </w:rPr>
        <w:t>”abyectas y deshumanizadoras”</w:t>
      </w:r>
      <w:r w:rsidRPr="000A2024">
        <w:rPr>
          <w:rFonts w:ascii="Arial" w:hAnsi="Arial" w:cs="Arial"/>
          <w:sz w:val="24"/>
          <w:szCs w:val="24"/>
        </w:rPr>
        <w:t xml:space="preserv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compromiso de los ODM se encuentra en el ámbito o conjunto de circunstancias de trabajo inspirado de ocho objetivos específicos y fue hasta principios del 2002 que los líderes de países desarrollados y en desarrollo se reunieron en Monterrey, México, para llevar a cabo el comienzo del cumplimiento de dichos compromisos con la humanidad.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líderes de los países desarrollados destinaron recursos y acciones a los países en desarrollo por medio de una </w:t>
      </w:r>
      <w:r w:rsidRPr="000A2024">
        <w:rPr>
          <w:rFonts w:ascii="Arial" w:hAnsi="Arial" w:cs="Arial"/>
          <w:i/>
          <w:sz w:val="24"/>
          <w:szCs w:val="24"/>
        </w:rPr>
        <w:t>asistencia</w:t>
      </w:r>
      <w:r w:rsidRPr="000A2024">
        <w:rPr>
          <w:rFonts w:ascii="Arial" w:hAnsi="Arial" w:cs="Arial"/>
          <w:sz w:val="24"/>
          <w:szCs w:val="24"/>
        </w:rPr>
        <w:t xml:space="preserve"> en forma de varias reformas políticas y económicas, de comercio y de alivio de deuda e inversión.  </w:t>
      </w:r>
    </w:p>
    <w:p w:rsidR="00080599" w:rsidRPr="000A2024" w:rsidRDefault="00080599" w:rsidP="00080599">
      <w:pPr>
        <w:pStyle w:val="Prrafodelista"/>
        <w:spacing w:after="120" w:line="360" w:lineRule="auto"/>
        <w:ind w:left="0"/>
        <w:contextualSpacing w:val="0"/>
        <w:jc w:val="both"/>
        <w:rPr>
          <w:rFonts w:ascii="Arial" w:eastAsia="Times New Roman" w:hAnsi="Arial" w:cs="Arial"/>
          <w:color w:val="222222"/>
          <w:sz w:val="24"/>
          <w:szCs w:val="24"/>
          <w:lang w:eastAsia="es-MX"/>
        </w:rPr>
      </w:pPr>
      <w:r w:rsidRPr="000A2024">
        <w:rPr>
          <w:rFonts w:ascii="Arial" w:eastAsia="Times New Roman" w:hAnsi="Arial" w:cs="Arial"/>
          <w:color w:val="222222"/>
          <w:sz w:val="24"/>
          <w:szCs w:val="24"/>
          <w:lang w:eastAsia="es-MX"/>
        </w:rPr>
        <w:t>Además, los </w:t>
      </w:r>
      <w:r w:rsidRPr="000A2024">
        <w:rPr>
          <w:rFonts w:ascii="Arial" w:eastAsia="Times New Roman" w:hAnsi="Arial" w:cs="Arial"/>
          <w:color w:val="222222"/>
          <w:sz w:val="24"/>
          <w:szCs w:val="24"/>
          <w:bdr w:val="none" w:sz="0" w:space="0" w:color="auto" w:frame="1"/>
          <w:lang w:eastAsia="es-MX"/>
        </w:rPr>
        <w:t>ODM</w:t>
      </w:r>
      <w:r w:rsidRPr="000A2024">
        <w:rPr>
          <w:rFonts w:ascii="Arial" w:eastAsia="Times New Roman" w:hAnsi="Arial" w:cs="Arial"/>
          <w:color w:val="222222"/>
          <w:sz w:val="24"/>
          <w:szCs w:val="24"/>
          <w:lang w:eastAsia="es-MX"/>
        </w:rPr>
        <w:t xml:space="preserve">´s se basan en una alianza mundial que hace hincapié en la responsabilidad de los países en desarrollo de poner orden en sus propios asuntos, así como en la de los países desarrollados de apoyar esos esfuerzos.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eastAsia="Times New Roman" w:hAnsi="Arial" w:cs="Arial"/>
          <w:color w:val="222222"/>
          <w:sz w:val="24"/>
          <w:szCs w:val="24"/>
          <w:lang w:eastAsia="es-MX"/>
        </w:rPr>
        <w:t>Estos Objetivos cuentan con un apoyo político sin precedentes, manifestado en los niveles más altos de los países desarrollados y en desarrollo, de la sociedad civil y de las principales instituciones de desarrollo.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 xml:space="preserve">La base de las metas y objetivos que establecen los objetivos de desarrollo del milenio son una serie de diversos tipos de compromisos en materia de derechos humanos que establecerán el diseño e implementación de políticas que combaten la pobreza, el hambre, las enfermedades, el analfabetismo, la degradación ambiental, la discriminación de las mujeres y algunos compromisos por parte de los Estados participantes de buen gobierno y democracia.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líderes consideraron que se debían determinar ciertos valores que son fundamentales para las relaciones internacionales en el siglo XXI los cuales son </w:t>
      </w:r>
      <w:r w:rsidRPr="000A2024">
        <w:rPr>
          <w:rFonts w:ascii="Arial" w:hAnsi="Arial" w:cs="Arial"/>
          <w:i/>
          <w:sz w:val="24"/>
          <w:szCs w:val="24"/>
        </w:rPr>
        <w:t>la libertad, igualdad, solidaridad, tolerancia, respeto de la naturaleza, responsabilidad común, la paz, seguridad y el desarme</w:t>
      </w:r>
      <w:r w:rsidRPr="000A2024">
        <w:rPr>
          <w:rFonts w:ascii="Arial" w:hAnsi="Arial" w:cs="Arial"/>
          <w:sz w:val="24"/>
          <w:szCs w:val="24"/>
        </w:rPr>
        <w:t>.</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En el informe de los Objetivos de Desarrollo del Milenio del año 2010 de las Naciones Unidas, en el prólogo del secretario general Ban Ki-Moon estipula que los ODM representan las </w:t>
      </w:r>
      <w:r w:rsidRPr="000A2024">
        <w:rPr>
          <w:rFonts w:ascii="Arial" w:hAnsi="Arial" w:cs="Arial"/>
          <w:i/>
          <w:sz w:val="24"/>
          <w:szCs w:val="24"/>
        </w:rPr>
        <w:t>“necesidades humanas y los derechos básicos que todos los individuos del planeta deberían poder disfrutar: ausencia de hambre y pobreza extrema; educación de buena calidad, empleo productivo y decente, buena salud y vivienda; el derecho de las mujeres a dar a luz sin correr peligro de muerte; y un mundo en el que la sostenibilidad del medio ambiente sea una prioridad, y en el que tanto mujeres como hombres vivan en igualdad</w:t>
      </w:r>
      <w:r w:rsidRPr="000A2024">
        <w:rPr>
          <w:rFonts w:ascii="Arial" w:hAnsi="Arial" w:cs="Arial"/>
          <w:sz w:val="24"/>
          <w:szCs w:val="24"/>
        </w:rPr>
        <w:t>”.</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el Departamento de Información Pública de las Naciones Unidas en su </w:t>
      </w:r>
      <w:r w:rsidRPr="000A2024">
        <w:rPr>
          <w:rFonts w:ascii="Arial" w:hAnsi="Arial" w:cs="Arial"/>
          <w:i/>
          <w:sz w:val="24"/>
          <w:szCs w:val="24"/>
        </w:rPr>
        <w:t>declaración de ejecución del milenio</w:t>
      </w:r>
      <w:r w:rsidRPr="000A2024">
        <w:rPr>
          <w:rFonts w:ascii="Arial" w:hAnsi="Arial" w:cs="Arial"/>
          <w:sz w:val="24"/>
          <w:szCs w:val="24"/>
        </w:rPr>
        <w:t xml:space="preserve">, trabajo publicado en el 2002 que declara el planteamiento y ejecución de los Objetivos de Desarrollo del Milenio, el Grupo de las Naciones Unidas para el Desarrollo es quien se asegurará que los objetivos para el desarrollo del milenio sigan siendo una prioridad para el grupo de países que conforman el sistema de las Naciones Unidas los cuales se encontrarán trabajando coherentemente y en conjunto ya que los ODM muestran un marco de objetivos en común y mutua realización.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grupo de las Naciones Unidas para el Desarrollo posee gran alcance y una excelente posición para impulsar el cambio en todos los países en desarrollo y coordina los esfuerzos a nivel de la nación – ya que en éstos la ONU se encuentra en el terreno según el Departamento de Información Pública de las Naciones Unidas </w:t>
      </w:r>
      <w:r w:rsidRPr="000A2024">
        <w:rPr>
          <w:rFonts w:ascii="Arial" w:hAnsi="Arial" w:cs="Arial"/>
          <w:sz w:val="24"/>
          <w:szCs w:val="24"/>
        </w:rPr>
        <w:lastRenderedPageBreak/>
        <w:t>– además el Departamento de Información Pública de las Naciones Unidas asegura que este grupo para el desarrollo posee la capacidad de conectar a los países con los conocimientos y recursos necesarios para llevar a cabo la ejecución de los ODM.</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Departamento de Información Pública de las Naciones Unidas asegura que los verdaderos desafíos son el movilizar el apoyo financiero y acrecentar la voluntad política para comprometer continuamente a los Estados para que sigan la persecución del cumplimiento de los ODM reorientando sus políticas y prioridades hacia el desarrollo humano.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Para algunas naciones les es muy complicado construir capacidades y establecer alianzas entre la sociedad civil y el sector privado y además orientarlas hacia el desarrollo humano sin la ayuda del exterior. </w:t>
      </w:r>
    </w:p>
    <w:p w:rsidR="00080599" w:rsidRPr="000A2024" w:rsidRDefault="00080599" w:rsidP="00080599">
      <w:pPr>
        <w:pStyle w:val="Prrafodelista"/>
        <w:spacing w:after="120" w:line="360" w:lineRule="auto"/>
        <w:ind w:left="0"/>
        <w:contextualSpacing w:val="0"/>
        <w:jc w:val="both"/>
        <w:rPr>
          <w:rFonts w:ascii="Arial" w:hAnsi="Arial" w:cs="Arial"/>
          <w:b/>
          <w:sz w:val="24"/>
          <w:szCs w:val="24"/>
        </w:rPr>
      </w:pPr>
      <w:r w:rsidRPr="000A2024">
        <w:rPr>
          <w:rFonts w:ascii="Arial" w:hAnsi="Arial" w:cs="Arial"/>
          <w:sz w:val="24"/>
          <w:szCs w:val="24"/>
        </w:rPr>
        <w:t>La mayoría de estas naciones son del tipo que siguen buscando el desarrollo y requieren asistencia de otras naciones en forma de recursos y capacitación para el cumplimiento de los ODM y es en esto donde existe la problemática.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ODM obligan por medio de tratados internacionales a que los países en desarrollo proporcionen a sus ciudadanos una situación correcta de bienestar social dentro de sus límites geográficos y políticos.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países desarrollados se ven obligados a proporcionar asistencia para apoyar estos esfuerzos.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Estos ocho objetivos constituyen los esfuerzos pactados con plazos establecidos para combatir la pobreza, el hambre, las enfermedades, el analfabetismo, la degradación del medio ambiente y la discriminación contra la mujer y crear una asociación mundial para el desarrollo. </w:t>
      </w:r>
    </w:p>
    <w:p w:rsidR="008A78F4"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 continuación se realiza un listado de los ocho objetivos acordados que abarcan los principales principios y derechos de desarrollo humano como la reducción de la pobreza extrema en un 50% a nivel global, la construcción de un sistema que permita obtener la enseñanza universal primaria y hasta la eliminación de la propagación de enfermedades venéreas como VIH/SIDA con una muy breve </w:t>
      </w:r>
      <w:r w:rsidRPr="000A2024">
        <w:rPr>
          <w:rFonts w:ascii="Arial" w:hAnsi="Arial" w:cs="Arial"/>
          <w:sz w:val="24"/>
          <w:szCs w:val="24"/>
        </w:rPr>
        <w:lastRenderedPageBreak/>
        <w:t>descripción seguida de los indicadores más comúnmente utilizados para cuantificar y medir el avance de las naciones con</w:t>
      </w:r>
      <w:r w:rsidR="008A78F4">
        <w:rPr>
          <w:rFonts w:ascii="Arial" w:hAnsi="Arial" w:cs="Arial"/>
          <w:sz w:val="24"/>
          <w:szCs w:val="24"/>
        </w:rPr>
        <w:t xml:space="preserve"> respecto al objetivo definido.</w:t>
      </w:r>
    </w:p>
    <w:p w:rsidR="00387211" w:rsidRPr="008A78F4" w:rsidRDefault="00080599" w:rsidP="008A78F4">
      <w:pPr>
        <w:pStyle w:val="Sub3"/>
        <w:numPr>
          <w:ilvl w:val="0"/>
          <w:numId w:val="82"/>
        </w:numPr>
        <w:spacing w:before="0" w:after="120"/>
        <w:rPr>
          <w:rFonts w:ascii="Arial" w:hAnsi="Arial" w:cs="Arial"/>
        </w:rPr>
      </w:pPr>
      <w:bookmarkStart w:id="32" w:name="_Toc450230507"/>
      <w:r w:rsidRPr="000A2024">
        <w:rPr>
          <w:rFonts w:ascii="Arial" w:hAnsi="Arial" w:cs="Arial"/>
        </w:rPr>
        <w:t>Reducir a la mitad la pobreza extrema y el hambre.</w:t>
      </w:r>
      <w:bookmarkEnd w:id="32"/>
    </w:p>
    <w:p w:rsidR="00387211" w:rsidRPr="000A2024" w:rsidRDefault="00080599" w:rsidP="008A78F4">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el departamento de Información Pública de las Naciones Unidas hoy en día 1,200 millones de personas todavía viven con menos de </w:t>
      </w:r>
      <w:r w:rsidRPr="000A2024">
        <w:rPr>
          <w:rFonts w:ascii="Arial" w:hAnsi="Arial" w:cs="Arial"/>
          <w:color w:val="222222"/>
          <w:sz w:val="24"/>
          <w:szCs w:val="24"/>
        </w:rPr>
        <w:t xml:space="preserve">$1 USA </w:t>
      </w:r>
      <w:r w:rsidRPr="000A2024">
        <w:rPr>
          <w:rFonts w:ascii="Arial" w:hAnsi="Arial" w:cs="Arial"/>
          <w:sz w:val="24"/>
          <w:szCs w:val="24"/>
        </w:rPr>
        <w:t>al día y afirma también que existen 43 países, miembros de las Naciones Unidas, que han conseguido o se encuentran en vías de alcanzar la meta de reducir a la mitad el hambre para el 2015. La población de estos 43 países en su agregación representa más d</w:t>
      </w:r>
      <w:r w:rsidR="008A78F4">
        <w:rPr>
          <w:rFonts w:ascii="Arial" w:hAnsi="Arial" w:cs="Arial"/>
          <w:sz w:val="24"/>
          <w:szCs w:val="24"/>
        </w:rPr>
        <w:t>el 60% de la población mundial.</w:t>
      </w:r>
    </w:p>
    <w:p w:rsidR="00080599" w:rsidRPr="000A2024" w:rsidRDefault="00080599" w:rsidP="00080599">
      <w:pPr>
        <w:jc w:val="both"/>
        <w:rPr>
          <w:rFonts w:ascii="Arial" w:hAnsi="Arial" w:cs="Arial"/>
          <w:sz w:val="24"/>
          <w:szCs w:val="24"/>
        </w:rPr>
      </w:pPr>
      <w:r w:rsidRPr="000A2024">
        <w:rPr>
          <w:rFonts w:ascii="Arial" w:hAnsi="Arial" w:cs="Arial"/>
          <w:sz w:val="24"/>
          <w:szCs w:val="24"/>
        </w:rPr>
        <w:t>Las metas pactadas que corresponde al objetivo de la reducción de la pobreza se dividen en dos:</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Style w:val="nfasis"/>
          <w:rFonts w:ascii="Arial" w:eastAsia="Arial" w:hAnsi="Arial" w:cs="Arial"/>
          <w:b/>
          <w:color w:val="222222"/>
          <w:sz w:val="24"/>
          <w:szCs w:val="24"/>
          <w:bdr w:val="none" w:sz="0" w:space="0" w:color="auto" w:frame="1"/>
        </w:rPr>
        <w:t>Meta 1A</w:t>
      </w:r>
      <w:r w:rsidRPr="000A2024">
        <w:rPr>
          <w:rFonts w:ascii="Arial" w:hAnsi="Arial" w:cs="Arial"/>
          <w:color w:val="222222"/>
          <w:sz w:val="24"/>
          <w:szCs w:val="24"/>
        </w:rPr>
        <w:t xml:space="preserve">: Alcanzar la reducción de la proporción de personas que perciben un ingreso para subsistir inferior a $1 USA por día dentro de un plazo pactado comenzando en 1990 al 2015 como límite.  Los indicadores que se utilizarán para medir el nivel de desarrollo de la </w:t>
      </w:r>
      <w:r w:rsidRPr="000A2024">
        <w:rPr>
          <w:rFonts w:ascii="Arial" w:hAnsi="Arial" w:cs="Arial"/>
          <w:i/>
          <w:color w:val="222222"/>
          <w:sz w:val="24"/>
          <w:szCs w:val="24"/>
        </w:rPr>
        <w:t>Meta1A</w:t>
      </w:r>
      <w:r w:rsidRPr="000A2024">
        <w:rPr>
          <w:rFonts w:ascii="Arial" w:hAnsi="Arial" w:cs="Arial"/>
          <w:color w:val="222222"/>
          <w:sz w:val="24"/>
          <w:szCs w:val="24"/>
        </w:rPr>
        <w:t xml:space="preserve">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Proporción de la población con ingresos inferiores a 1 dólar por día según la paridad del poder adquisitivo (PPA).</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Coeficiente de la brecha de pobreza.</w:t>
      </w:r>
    </w:p>
    <w:p w:rsidR="00080599" w:rsidRPr="000A2024" w:rsidRDefault="00080599" w:rsidP="00080599">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0A2024">
        <w:rPr>
          <w:rStyle w:val="nfasis"/>
          <w:rFonts w:ascii="Arial" w:eastAsia="Arial" w:hAnsi="Arial" w:cs="Arial"/>
          <w:sz w:val="24"/>
          <w:szCs w:val="24"/>
          <w:bdr w:val="none" w:sz="0" w:space="0" w:color="auto" w:frame="1"/>
        </w:rPr>
        <w:t>Proporción del consumo nacional que corresponde a la quinta parte más pobre de la población.</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Style w:val="nfasis"/>
          <w:rFonts w:ascii="Arial" w:eastAsia="Arial" w:hAnsi="Arial" w:cs="Arial"/>
          <w:b/>
          <w:color w:val="222222"/>
          <w:sz w:val="24"/>
          <w:szCs w:val="24"/>
          <w:bdr w:val="none" w:sz="0" w:space="0" w:color="auto" w:frame="1"/>
        </w:rPr>
        <w:t>Meta 1B</w:t>
      </w:r>
      <w:r w:rsidRPr="000A2024">
        <w:rPr>
          <w:rFonts w:ascii="Arial" w:hAnsi="Arial" w:cs="Arial"/>
          <w:color w:val="222222"/>
          <w:sz w:val="24"/>
          <w:szCs w:val="24"/>
        </w:rPr>
        <w:t xml:space="preserve">: Proporcionarle a todos nuestros semejantes, hombres, mujeres y jóvenes un empleo pleno y productivo, siendo el trabajo de calidad con un nivel decente y digno. Los indicadores que se utilizarán para medir el nivel de desarrollo de la </w:t>
      </w:r>
      <w:r w:rsidRPr="000A2024">
        <w:rPr>
          <w:rFonts w:ascii="Arial" w:hAnsi="Arial" w:cs="Arial"/>
          <w:i/>
          <w:color w:val="222222"/>
          <w:sz w:val="24"/>
          <w:szCs w:val="24"/>
        </w:rPr>
        <w:t xml:space="preserve">Meta1B </w:t>
      </w:r>
      <w:r w:rsidRPr="000A2024">
        <w:rPr>
          <w:rFonts w:ascii="Arial" w:hAnsi="Arial" w:cs="Arial"/>
          <w:color w:val="222222"/>
          <w:sz w:val="24"/>
          <w:szCs w:val="24"/>
        </w:rPr>
        <w:t xml:space="preserve">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Tasa de crecimiento del producto interno bruto por persona empleada.</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Tasa de población ocupada.</w:t>
      </w:r>
    </w:p>
    <w:p w:rsidR="00080599" w:rsidRPr="000A2024" w:rsidRDefault="00080599" w:rsidP="00080599">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0A2024">
        <w:rPr>
          <w:rStyle w:val="nfasis"/>
          <w:rFonts w:ascii="Arial" w:eastAsia="Arial" w:hAnsi="Arial" w:cs="Arial"/>
          <w:sz w:val="24"/>
          <w:szCs w:val="24"/>
          <w:bdr w:val="none" w:sz="0" w:space="0" w:color="auto" w:frame="1"/>
        </w:rPr>
        <w:t>Proporción de la población ocupada con ingresos inferiores a 1 dólar por día según la paridad del poder adquisitivo.</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Style w:val="nfasis"/>
          <w:rFonts w:ascii="Arial" w:eastAsia="Arial" w:hAnsi="Arial" w:cs="Arial"/>
          <w:b/>
          <w:color w:val="222222"/>
          <w:sz w:val="24"/>
          <w:szCs w:val="24"/>
          <w:bdr w:val="none" w:sz="0" w:space="0" w:color="auto" w:frame="1"/>
        </w:rPr>
        <w:lastRenderedPageBreak/>
        <w:t>Meta 1C</w:t>
      </w:r>
      <w:r w:rsidRPr="000A2024">
        <w:rPr>
          <w:rFonts w:ascii="Arial" w:hAnsi="Arial" w:cs="Arial"/>
          <w:color w:val="222222"/>
          <w:sz w:val="24"/>
          <w:szCs w:val="24"/>
        </w:rPr>
        <w:t xml:space="preserve">: Se fijará dentro del plazo 1990 al 2015 como límite la reducción del porcentaje de seres humanos que padecen hambre a la mitad. Los indicadores que se utilizarán para medir el nivel de desarrollo de la </w:t>
      </w:r>
      <w:r w:rsidRPr="000A2024">
        <w:rPr>
          <w:rFonts w:ascii="Arial" w:hAnsi="Arial" w:cs="Arial"/>
          <w:i/>
          <w:color w:val="222222"/>
          <w:sz w:val="24"/>
          <w:szCs w:val="24"/>
        </w:rPr>
        <w:t xml:space="preserve">Meta1C </w:t>
      </w:r>
      <w:r w:rsidRPr="000A2024">
        <w:rPr>
          <w:rFonts w:ascii="Arial" w:hAnsi="Arial" w:cs="Arial"/>
          <w:color w:val="222222"/>
          <w:sz w:val="24"/>
          <w:szCs w:val="24"/>
        </w:rPr>
        <w:t>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Niños menores de 5 años con peso inferior al normal.</w:t>
      </w:r>
    </w:p>
    <w:p w:rsidR="00387211" w:rsidRPr="00EC2372" w:rsidRDefault="00080599" w:rsidP="00C739A0">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EC2372">
        <w:rPr>
          <w:rStyle w:val="nfasis"/>
          <w:rFonts w:ascii="Arial" w:eastAsia="Arial" w:hAnsi="Arial" w:cs="Arial"/>
          <w:sz w:val="24"/>
          <w:szCs w:val="24"/>
          <w:bdr w:val="none" w:sz="0" w:space="0" w:color="auto" w:frame="1"/>
        </w:rPr>
        <w:t>Proporción de la población que no alcanza el nivel mínimo de consumo de calorías o de energía alimentaria.</w:t>
      </w:r>
    </w:p>
    <w:p w:rsidR="00387211" w:rsidRPr="00EC2372" w:rsidRDefault="00080599" w:rsidP="00EC2372">
      <w:pPr>
        <w:pStyle w:val="Sub3"/>
        <w:spacing w:before="0" w:after="120"/>
        <w:rPr>
          <w:rFonts w:ascii="Arial" w:hAnsi="Arial" w:cs="Arial"/>
        </w:rPr>
      </w:pPr>
      <w:bookmarkStart w:id="33" w:name="_Toc450230508"/>
      <w:r w:rsidRPr="000A2024">
        <w:rPr>
          <w:rFonts w:ascii="Arial" w:hAnsi="Arial" w:cs="Arial"/>
        </w:rPr>
        <w:t>Lograr la e</w:t>
      </w:r>
      <w:r w:rsidR="00387211" w:rsidRPr="000A2024">
        <w:rPr>
          <w:rFonts w:ascii="Arial" w:hAnsi="Arial" w:cs="Arial"/>
        </w:rPr>
        <w:t>nseñanza primaria universal.</w:t>
      </w:r>
      <w:bookmarkEnd w:id="33"/>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Para el año 2002, 113 millones de niños no asisten a la escuela, según departamento de Información Pública de las Naciones Unidas en su </w:t>
      </w:r>
      <w:r w:rsidRPr="000A2024">
        <w:rPr>
          <w:rFonts w:ascii="Arial" w:hAnsi="Arial" w:cs="Arial"/>
          <w:i/>
          <w:sz w:val="24"/>
          <w:szCs w:val="24"/>
        </w:rPr>
        <w:t xml:space="preserve">declaración de ejecución del milenio, </w:t>
      </w:r>
      <w:r w:rsidRPr="000A2024">
        <w:rPr>
          <w:rFonts w:ascii="Arial" w:hAnsi="Arial" w:cs="Arial"/>
          <w:sz w:val="24"/>
          <w:szCs w:val="24"/>
        </w:rPr>
        <w:t xml:space="preserve">buscando así para el 2015 incluir a la enseñanza un nivel primario en toda la población.    </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t>Meta 2A</w:t>
      </w:r>
      <w:r w:rsidRPr="000A2024">
        <w:rPr>
          <w:rFonts w:ascii="Arial" w:hAnsi="Arial" w:cs="Arial"/>
          <w:color w:val="222222"/>
          <w:sz w:val="24"/>
          <w:szCs w:val="24"/>
          <w:shd w:val="clear" w:color="auto" w:fill="FFFFFF"/>
        </w:rPr>
        <w:t xml:space="preserve">: Se estableció que la totalidad de los infantes, niños y niñas, en el mundo para el año 2015 deben tener la capacidad y disponibilidad para terminar un ciclo completo de enseñanza primaria. </w:t>
      </w:r>
      <w:r w:rsidRPr="000A2024">
        <w:rPr>
          <w:rFonts w:ascii="Arial" w:hAnsi="Arial" w:cs="Arial"/>
          <w:color w:val="222222"/>
          <w:sz w:val="24"/>
          <w:szCs w:val="24"/>
        </w:rPr>
        <w:t>Los indicadores que se utilizarán para medir el nivel la cantidad de niños que poseen un nivel alcanzado de primaria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 xml:space="preserve">Tasa neta de matriculación en la enseñanza primaria. </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 xml:space="preserve">Proporción de alumnos que comienzan el primer grado y llegan al último grado de la enseñanza primaria. </w:t>
      </w:r>
    </w:p>
    <w:p w:rsidR="00387211" w:rsidRPr="00EC2372" w:rsidRDefault="00080599" w:rsidP="00424B7A">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EC2372">
        <w:rPr>
          <w:rStyle w:val="nfasis"/>
          <w:rFonts w:ascii="Arial" w:eastAsia="Arial" w:hAnsi="Arial" w:cs="Arial"/>
          <w:sz w:val="24"/>
          <w:szCs w:val="24"/>
          <w:bdr w:val="none" w:sz="0" w:space="0" w:color="auto" w:frame="1"/>
        </w:rPr>
        <w:t>Tasa de alfabetización de las personas de entre 15 y 24 años, mujeres y hombres.</w:t>
      </w:r>
    </w:p>
    <w:p w:rsidR="00387211" w:rsidRPr="00EC2372" w:rsidRDefault="00080599" w:rsidP="00EC2372">
      <w:pPr>
        <w:pStyle w:val="Sub3"/>
        <w:spacing w:before="0" w:after="120"/>
        <w:rPr>
          <w:rFonts w:ascii="Arial" w:hAnsi="Arial" w:cs="Arial"/>
        </w:rPr>
      </w:pPr>
      <w:bookmarkStart w:id="34" w:name="_Toc450230509"/>
      <w:r w:rsidRPr="00EC2372">
        <w:rPr>
          <w:rFonts w:ascii="Arial" w:hAnsi="Arial" w:cs="Arial"/>
        </w:rPr>
        <w:t>Proporcionar autonomía y empoderamiento a las mujeres y además, promover la equidad entre mujeres y hombres.</w:t>
      </w:r>
      <w:bookmarkEnd w:id="34"/>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importancia de este objetivo recae en el gran porcentaje que representan las mujeres en otras variables multidimensionales de desarrollo humano, como un ejemplo, el departamento de Información Pública de las Naciones Unidas afirma que para el año 2002 tan solo el 66.66% de las personas con analfabetismo y el 80% de los refugiados (considerando también a niños), ambos a nivel mundial, son mujeres. </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lastRenderedPageBreak/>
        <w:t>Meta 3A</w:t>
      </w:r>
      <w:r w:rsidRPr="000A2024">
        <w:rPr>
          <w:rFonts w:ascii="Arial" w:hAnsi="Arial" w:cs="Arial"/>
          <w:color w:val="222222"/>
          <w:sz w:val="24"/>
          <w:szCs w:val="24"/>
          <w:shd w:val="clear" w:color="auto" w:fill="FFFFFF"/>
        </w:rPr>
        <w:t xml:space="preserve">: Se fijó el plazo para eliminar la desigualdad de géneros en los niveles de educación primarios y secundarios preferentemente, y como a largo plazo, al 2015 se debió haber eliminado la desigualdad en todos los niveles de enseñanza. </w:t>
      </w:r>
      <w:r w:rsidRPr="000A2024">
        <w:rPr>
          <w:rFonts w:ascii="Arial" w:hAnsi="Arial" w:cs="Arial"/>
          <w:color w:val="222222"/>
          <w:sz w:val="24"/>
          <w:szCs w:val="24"/>
        </w:rPr>
        <w:t>Los indicadores que se utilizarán para medir la cantidad de desigualdad en la educación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Proporción de niñas y niños que se encuentran en los niveles de enseñanza primaria, secundaria y superior.</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 xml:space="preserve">Proporción de mujeres en el sector no agrícola con empleos remunerados. </w:t>
      </w:r>
    </w:p>
    <w:p w:rsidR="00387211" w:rsidRPr="00EC2372" w:rsidRDefault="00080599" w:rsidP="00387211">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0A2024">
        <w:rPr>
          <w:rStyle w:val="nfasis"/>
          <w:rFonts w:ascii="Arial" w:eastAsia="Arial" w:hAnsi="Arial" w:cs="Arial"/>
          <w:sz w:val="24"/>
          <w:szCs w:val="24"/>
          <w:bdr w:val="none" w:sz="0" w:space="0" w:color="auto" w:frame="1"/>
        </w:rPr>
        <w:t>Proporción de plazas en los parlamentos nacionales que son ocupados por mujeres en el mundo.</w:t>
      </w:r>
    </w:p>
    <w:p w:rsidR="00387211" w:rsidRPr="00EC2372" w:rsidRDefault="00080599" w:rsidP="00EC2372">
      <w:pPr>
        <w:pStyle w:val="Sub3"/>
        <w:spacing w:before="0" w:after="120"/>
        <w:rPr>
          <w:rFonts w:ascii="Arial" w:hAnsi="Arial" w:cs="Arial"/>
        </w:rPr>
      </w:pPr>
      <w:bookmarkStart w:id="35" w:name="_Toc450230510"/>
      <w:r w:rsidRPr="000A2024">
        <w:rPr>
          <w:rFonts w:ascii="Arial" w:hAnsi="Arial" w:cs="Arial"/>
        </w:rPr>
        <w:t>Reducir en dos terceras partes la mortalidad</w:t>
      </w:r>
      <w:r w:rsidR="00387211" w:rsidRPr="000A2024">
        <w:rPr>
          <w:rFonts w:ascii="Arial" w:hAnsi="Arial" w:cs="Arial"/>
        </w:rPr>
        <w:t xml:space="preserve"> de niños menores de cinco años.</w:t>
      </w:r>
      <w:bookmarkEnd w:id="35"/>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Existen avances sustanciales para reducir la mortalidad pero aún no son suficientes ya que para el año 2002, 11 millones de niños morían todos los años, pero aún así, ese número está por debajo de los 15 millones que morían en el año 1980. Se es crucial que los esfuerzos sean encaminados y enfocado hacia los recién nacidos para así acrecentar el progreso de la supervivencia infantil. </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t>Meta 4A</w:t>
      </w:r>
      <w:r w:rsidRPr="000A2024">
        <w:rPr>
          <w:rFonts w:ascii="Arial" w:hAnsi="Arial" w:cs="Arial"/>
          <w:color w:val="222222"/>
          <w:sz w:val="24"/>
          <w:szCs w:val="24"/>
          <w:shd w:val="clear" w:color="auto" w:fill="FFFFFF"/>
        </w:rPr>
        <w:t xml:space="preserve">: El año 2015 se fija como plazo máximo para eliminar la mortalidad de los infantes menores de 5 años en un 66.66%. </w:t>
      </w:r>
      <w:r w:rsidRPr="000A2024">
        <w:rPr>
          <w:rFonts w:ascii="Arial" w:hAnsi="Arial" w:cs="Arial"/>
          <w:color w:val="222222"/>
          <w:sz w:val="24"/>
          <w:szCs w:val="24"/>
        </w:rPr>
        <w:t>Los indicadores que se utilizarán para medir la mortalidad de los niños menores de cinco años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 xml:space="preserve">Tasa de mortalidad de niños menores de 5 años. </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 xml:space="preserve">Tasa de mortalidad infantil. </w:t>
      </w:r>
    </w:p>
    <w:p w:rsidR="00387211" w:rsidRPr="00EC2372" w:rsidRDefault="00080599" w:rsidP="00387211">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0A2024">
        <w:rPr>
          <w:rStyle w:val="nfasis"/>
          <w:rFonts w:ascii="Arial" w:eastAsia="Arial" w:hAnsi="Arial" w:cs="Arial"/>
          <w:sz w:val="24"/>
          <w:szCs w:val="24"/>
          <w:bdr w:val="none" w:sz="0" w:space="0" w:color="auto" w:frame="1"/>
        </w:rPr>
        <w:t>Proporción de niños de 1 año inmunizados contra el sarampión.</w:t>
      </w:r>
    </w:p>
    <w:p w:rsidR="00387211" w:rsidRPr="00EC2372" w:rsidRDefault="00080599" w:rsidP="00EC2372">
      <w:pPr>
        <w:pStyle w:val="Sub3"/>
        <w:spacing w:before="0" w:after="120"/>
        <w:rPr>
          <w:rFonts w:ascii="Arial" w:hAnsi="Arial" w:cs="Arial"/>
        </w:rPr>
      </w:pPr>
      <w:bookmarkStart w:id="36" w:name="_Toc450230511"/>
      <w:r w:rsidRPr="000A2024">
        <w:rPr>
          <w:rFonts w:ascii="Arial" w:hAnsi="Arial" w:cs="Arial"/>
        </w:rPr>
        <w:t>Reducir en tres cuartas partes la mortalidad materna</w:t>
      </w:r>
      <w:bookmarkEnd w:id="36"/>
      <w:r w:rsidRPr="000A2024">
        <w:rPr>
          <w:rFonts w:ascii="Arial" w:hAnsi="Arial" w:cs="Arial"/>
        </w:rPr>
        <w:t xml:space="preserv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Según el informe presentado por la PNUD en el año 2015, desde 1990, la tasa de mortalidad materna se ha reducido en casi la mitad y la mayor parte de esta reducción se presenta desde el año 2000. Ahora, virtualmente por lo menos, todos los países tienen programas de maternidad segura y están logrando progresos sustanciales. </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lastRenderedPageBreak/>
        <w:t>Meta 5A</w:t>
      </w:r>
      <w:r w:rsidRPr="000A2024">
        <w:rPr>
          <w:rFonts w:ascii="Arial" w:hAnsi="Arial" w:cs="Arial"/>
          <w:color w:val="222222"/>
          <w:sz w:val="24"/>
          <w:szCs w:val="24"/>
          <w:shd w:val="clear" w:color="auto" w:fill="FFFFFF"/>
        </w:rPr>
        <w:t xml:space="preserve">: Para el año 2015 se deberá haber mejorado la salud materna reduciendo el 75% de la mortalidad materna. </w:t>
      </w:r>
      <w:r w:rsidRPr="000A2024">
        <w:rPr>
          <w:rFonts w:ascii="Arial" w:hAnsi="Arial" w:cs="Arial"/>
          <w:color w:val="222222"/>
          <w:sz w:val="24"/>
          <w:szCs w:val="24"/>
        </w:rPr>
        <w:t>Los indicadores que se utilizarán para medir qué tanto ha mejorado la salud materna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Tasa de mortalidad materna.</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Proporción de partos con asistencia de personal sanitario especializado.</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Tasa de uso de anticonceptivos.</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t>Meta 5B</w:t>
      </w:r>
      <w:r w:rsidRPr="000A2024">
        <w:rPr>
          <w:rFonts w:ascii="Arial" w:hAnsi="Arial" w:cs="Arial"/>
          <w:color w:val="222222"/>
          <w:sz w:val="24"/>
          <w:szCs w:val="24"/>
          <w:shd w:val="clear" w:color="auto" w:fill="FFFFFF"/>
        </w:rPr>
        <w:t xml:space="preserve">: Se estableció que para un plazo no mayor al año 2015 el acceso a la salud reproductiva debe ser universal. </w:t>
      </w:r>
      <w:r w:rsidRPr="000A2024">
        <w:rPr>
          <w:rFonts w:ascii="Arial" w:hAnsi="Arial" w:cs="Arial"/>
          <w:color w:val="222222"/>
          <w:sz w:val="24"/>
          <w:szCs w:val="24"/>
        </w:rPr>
        <w:t>Los indicadores que se utilizarán para medir el nivel de acceso a una salud reproductiva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Tasa de natalidad entre las adolescentes.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Cobertura de atención prenatal (al menos una consulta).</w:t>
      </w:r>
    </w:p>
    <w:p w:rsidR="00387211" w:rsidRPr="00EC2372" w:rsidRDefault="00080599" w:rsidP="00387211">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0A2024">
        <w:rPr>
          <w:rStyle w:val="nfasis"/>
          <w:rFonts w:ascii="Arial" w:eastAsia="Arial" w:hAnsi="Arial" w:cs="Arial"/>
          <w:sz w:val="24"/>
          <w:szCs w:val="24"/>
          <w:bdr w:val="none" w:sz="0" w:space="0" w:color="auto" w:frame="1"/>
        </w:rPr>
        <w:t>Necesidades insatisfechas en materia de planificación familiar.</w:t>
      </w:r>
    </w:p>
    <w:p w:rsidR="00387211" w:rsidRPr="00EC2372" w:rsidRDefault="00080599" w:rsidP="00EC2372">
      <w:pPr>
        <w:pStyle w:val="Sub3"/>
        <w:spacing w:before="0" w:after="120"/>
        <w:rPr>
          <w:rFonts w:ascii="Arial" w:hAnsi="Arial" w:cs="Arial"/>
        </w:rPr>
      </w:pPr>
      <w:bookmarkStart w:id="37" w:name="_Toc450230512"/>
      <w:r w:rsidRPr="000A2024">
        <w:rPr>
          <w:rFonts w:ascii="Arial" w:hAnsi="Arial" w:cs="Arial"/>
        </w:rPr>
        <w:t xml:space="preserve">Combatir la propagación de enfermedades, sobre </w:t>
      </w:r>
      <w:r w:rsidR="00387211" w:rsidRPr="000A2024">
        <w:rPr>
          <w:rFonts w:ascii="Arial" w:hAnsi="Arial" w:cs="Arial"/>
        </w:rPr>
        <w:t>todo el VIH/SIDA y el paludismo.</w:t>
      </w:r>
      <w:bookmarkEnd w:id="37"/>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En la actualidad existen casos de infecciones por VIH sin embargo desde 1995 se han salvado 6.6 millones de personas con la cobertura que ofrece la terapia antirretroviral, indica el informe 2015 de los ODM de la PNUD. Así, países como Brasil, Senegal, Tailandia y Uganda han demostrado que podemos detener al VIH.  </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Style w:val="nfasis"/>
          <w:rFonts w:ascii="Arial" w:hAnsi="Arial" w:cs="Arial"/>
          <w:b/>
          <w:color w:val="222222"/>
          <w:sz w:val="24"/>
          <w:szCs w:val="24"/>
          <w:bdr w:val="none" w:sz="0" w:space="0" w:color="auto" w:frame="1"/>
          <w:shd w:val="clear" w:color="auto" w:fill="FFFFFF"/>
        </w:rPr>
        <w:t>Meta 6A</w:t>
      </w:r>
      <w:r w:rsidRPr="000A2024">
        <w:rPr>
          <w:rFonts w:ascii="Arial" w:hAnsi="Arial" w:cs="Arial"/>
          <w:color w:val="222222"/>
          <w:sz w:val="24"/>
          <w:szCs w:val="24"/>
        </w:rPr>
        <w:t>: Detener y haber comenzado la reducción de la tasa de incidencia del VIH/SIDA en un plazo no mayor al 2015. Los indicadores que se utilizarán para medir la reducción de la tasa de incidencia del VIH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 xml:space="preserve">* Prevalencia del </w:t>
      </w:r>
      <w:r w:rsidRPr="000A2024">
        <w:rPr>
          <w:rStyle w:val="nfasis"/>
          <w:rFonts w:ascii="Arial" w:hAnsi="Arial" w:cs="Arial"/>
          <w:sz w:val="24"/>
          <w:szCs w:val="24"/>
        </w:rPr>
        <w:t xml:space="preserve">VIH </w:t>
      </w:r>
      <w:r w:rsidRPr="000A2024">
        <w:rPr>
          <w:rStyle w:val="nfasis"/>
          <w:rFonts w:ascii="Arial" w:eastAsia="Arial" w:hAnsi="Arial" w:cs="Arial"/>
          <w:sz w:val="24"/>
          <w:szCs w:val="24"/>
          <w:bdr w:val="none" w:sz="0" w:space="0" w:color="auto" w:frame="1"/>
        </w:rPr>
        <w:t>en las personas de entre 15 y 49 años.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Uso de preservativos en la última relación sexual de alto riesgo.</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Proporción de la población de entre 15 y 24 años que tiene conocimientos amplios y correctos sobre el</w:t>
      </w:r>
      <w:r w:rsidRPr="000A2024">
        <w:rPr>
          <w:rStyle w:val="nfasis"/>
          <w:rFonts w:ascii="Arial" w:hAnsi="Arial" w:cs="Arial"/>
          <w:sz w:val="24"/>
          <w:szCs w:val="24"/>
          <w:bdr w:val="none" w:sz="0" w:space="0" w:color="auto" w:frame="1"/>
        </w:rPr>
        <w:t> </w:t>
      </w:r>
      <w:r w:rsidRPr="000A2024">
        <w:rPr>
          <w:rStyle w:val="nfasis"/>
          <w:rFonts w:ascii="Arial" w:hAnsi="Arial" w:cs="Arial"/>
          <w:sz w:val="24"/>
          <w:szCs w:val="24"/>
        </w:rPr>
        <w:t>VIH</w:t>
      </w:r>
      <w:r w:rsidRPr="000A2024">
        <w:rPr>
          <w:rStyle w:val="nfasis"/>
          <w:rFonts w:ascii="Arial" w:eastAsia="Arial" w:hAnsi="Arial" w:cs="Arial"/>
          <w:sz w:val="24"/>
          <w:szCs w:val="24"/>
          <w:bdr w:val="none" w:sz="0" w:space="0" w:color="auto" w:frame="1"/>
        </w:rPr>
        <w:t>/SIDA.</w:t>
      </w:r>
    </w:p>
    <w:p w:rsidR="00080599" w:rsidRPr="000A2024" w:rsidRDefault="00080599" w:rsidP="00080599">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0A2024">
        <w:rPr>
          <w:rStyle w:val="nfasis"/>
          <w:rFonts w:ascii="Arial" w:eastAsia="Arial" w:hAnsi="Arial" w:cs="Arial"/>
          <w:sz w:val="24"/>
          <w:szCs w:val="24"/>
          <w:bdr w:val="none" w:sz="0" w:space="0" w:color="auto" w:frame="1"/>
        </w:rPr>
        <w:t>Relación entre la asistencia escolar de niños huérfanos y la de niños no huérfanos de entre 10 y 14 años.</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Style w:val="nfasis"/>
          <w:rFonts w:ascii="Arial" w:eastAsia="Arial" w:hAnsi="Arial" w:cs="Arial"/>
          <w:b/>
          <w:color w:val="222222"/>
          <w:sz w:val="24"/>
          <w:szCs w:val="24"/>
          <w:bdr w:val="none" w:sz="0" w:space="0" w:color="auto" w:frame="1"/>
        </w:rPr>
        <w:lastRenderedPageBreak/>
        <w:t>Meta 6B</w:t>
      </w:r>
      <w:r w:rsidRPr="000A2024">
        <w:rPr>
          <w:rFonts w:ascii="Arial" w:hAnsi="Arial" w:cs="Arial"/>
          <w:color w:val="222222"/>
          <w:sz w:val="24"/>
          <w:szCs w:val="24"/>
        </w:rPr>
        <w:t>: Proporcionar el acceso a todas las personas que necesiten de la terapia antirretroviral para el 2010. El indicador que se utilizará para medir el acceso a esta terapia es el siguiente:</w:t>
      </w:r>
    </w:p>
    <w:p w:rsidR="00080599" w:rsidRPr="000A2024" w:rsidRDefault="00080599" w:rsidP="00080599">
      <w:pPr>
        <w:pStyle w:val="Prrafodelista"/>
        <w:numPr>
          <w:ilvl w:val="0"/>
          <w:numId w:val="46"/>
        </w:numPr>
        <w:spacing w:after="120" w:line="360" w:lineRule="auto"/>
        <w:contextualSpacing w:val="0"/>
        <w:jc w:val="both"/>
        <w:rPr>
          <w:rFonts w:ascii="Arial" w:eastAsia="Arial" w:hAnsi="Arial" w:cs="Arial"/>
          <w:i/>
          <w:iCs/>
          <w:sz w:val="24"/>
          <w:szCs w:val="24"/>
          <w:bdr w:val="none" w:sz="0" w:space="0" w:color="auto" w:frame="1"/>
        </w:rPr>
      </w:pPr>
      <w:r w:rsidRPr="000A2024">
        <w:rPr>
          <w:rStyle w:val="nfasis"/>
          <w:rFonts w:ascii="Arial" w:eastAsia="Arial" w:hAnsi="Arial" w:cs="Arial"/>
          <w:sz w:val="24"/>
          <w:szCs w:val="24"/>
          <w:bdr w:val="none" w:sz="0" w:space="0" w:color="auto" w:frame="1"/>
        </w:rPr>
        <w:t>Proporción de la población portadora del</w:t>
      </w:r>
      <w:r w:rsidRPr="000A2024">
        <w:rPr>
          <w:rStyle w:val="nfasis"/>
          <w:rFonts w:ascii="Arial" w:hAnsi="Arial" w:cs="Arial"/>
          <w:sz w:val="24"/>
          <w:szCs w:val="24"/>
          <w:bdr w:val="none" w:sz="0" w:space="0" w:color="auto" w:frame="1"/>
        </w:rPr>
        <w:t xml:space="preserve"> </w:t>
      </w:r>
      <w:r w:rsidRPr="000A2024">
        <w:rPr>
          <w:rStyle w:val="nfasis"/>
          <w:rFonts w:ascii="Arial" w:hAnsi="Arial" w:cs="Arial"/>
          <w:sz w:val="24"/>
          <w:szCs w:val="24"/>
        </w:rPr>
        <w:t xml:space="preserve">VIH </w:t>
      </w:r>
      <w:r w:rsidRPr="000A2024">
        <w:rPr>
          <w:rStyle w:val="nfasis"/>
          <w:rFonts w:ascii="Arial" w:eastAsia="Arial" w:hAnsi="Arial" w:cs="Arial"/>
          <w:sz w:val="24"/>
          <w:szCs w:val="24"/>
          <w:bdr w:val="none" w:sz="0" w:space="0" w:color="auto" w:frame="1"/>
        </w:rPr>
        <w:t>con infección avanzada que tiene acceso a medicamentos antirretrovirales.</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Style w:val="nfasis"/>
          <w:rFonts w:ascii="Arial" w:eastAsia="Arial" w:hAnsi="Arial" w:cs="Arial"/>
          <w:b/>
          <w:color w:val="222222"/>
          <w:sz w:val="24"/>
          <w:szCs w:val="24"/>
          <w:bdr w:val="none" w:sz="0" w:space="0" w:color="auto" w:frame="1"/>
        </w:rPr>
        <w:t>Meta 6C</w:t>
      </w:r>
      <w:r w:rsidRPr="000A2024">
        <w:rPr>
          <w:rFonts w:ascii="Arial" w:hAnsi="Arial" w:cs="Arial"/>
          <w:color w:val="222222"/>
          <w:sz w:val="24"/>
          <w:szCs w:val="24"/>
        </w:rPr>
        <w:t>: Detener y haber comenzado la reducción de la tasa de incidencia de la malaria y otras enfermedades graves en un plazo no mayor al 2015. Los indicadores que se utilizarán para medir esta reducción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bdr w:val="none" w:sz="0" w:space="0" w:color="auto" w:frame="1"/>
        </w:rPr>
      </w:pPr>
      <w:r w:rsidRPr="000A2024">
        <w:rPr>
          <w:rStyle w:val="nfasis"/>
          <w:rFonts w:ascii="Arial" w:eastAsia="Arial" w:hAnsi="Arial" w:cs="Arial"/>
          <w:sz w:val="24"/>
          <w:bdr w:val="none" w:sz="0" w:space="0" w:color="auto" w:frame="1"/>
        </w:rPr>
        <w:t>Tasa de mortalidad asociadas a la malaria.</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bdr w:val="none" w:sz="0" w:space="0" w:color="auto" w:frame="1"/>
        </w:rPr>
      </w:pPr>
      <w:r w:rsidRPr="000A2024">
        <w:rPr>
          <w:rStyle w:val="nfasis"/>
          <w:rFonts w:ascii="Arial" w:eastAsia="Arial" w:hAnsi="Arial" w:cs="Arial"/>
          <w:sz w:val="24"/>
          <w:bdr w:val="none" w:sz="0" w:space="0" w:color="auto" w:frame="1"/>
        </w:rPr>
        <w:t>Proporción de niños menores de 5 años con fiebre que reciben tratamiento adecuados contra la malaria.</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bdr w:val="none" w:sz="0" w:space="0" w:color="auto" w:frame="1"/>
        </w:rPr>
      </w:pPr>
      <w:r w:rsidRPr="000A2024">
        <w:rPr>
          <w:rStyle w:val="nfasis"/>
          <w:rFonts w:ascii="Arial" w:eastAsia="Arial" w:hAnsi="Arial" w:cs="Arial"/>
          <w:sz w:val="24"/>
          <w:bdr w:val="none" w:sz="0" w:space="0" w:color="auto" w:frame="1"/>
        </w:rPr>
        <w:t>Tasa de mortalidad asociada a la tuberculosis.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bdr w:val="none" w:sz="0" w:space="0" w:color="auto" w:frame="1"/>
        </w:rPr>
      </w:pPr>
      <w:r w:rsidRPr="000A2024">
        <w:rPr>
          <w:rStyle w:val="nfasis"/>
          <w:rFonts w:ascii="Arial" w:eastAsia="Arial" w:hAnsi="Arial" w:cs="Arial"/>
          <w:sz w:val="24"/>
          <w:bdr w:val="none" w:sz="0" w:space="0" w:color="auto" w:frame="1"/>
        </w:rPr>
        <w:t>Proporción de casos de tuberculosis detectados.</w:t>
      </w:r>
    </w:p>
    <w:p w:rsidR="00080599" w:rsidRPr="000A2024" w:rsidRDefault="00080599" w:rsidP="00080599">
      <w:pPr>
        <w:pStyle w:val="Prrafodelista"/>
        <w:numPr>
          <w:ilvl w:val="0"/>
          <w:numId w:val="46"/>
        </w:numPr>
        <w:spacing w:after="120" w:line="360" w:lineRule="auto"/>
        <w:contextualSpacing w:val="0"/>
        <w:jc w:val="both"/>
        <w:rPr>
          <w:rFonts w:ascii="Arial" w:eastAsia="Arial" w:hAnsi="Arial" w:cs="Arial"/>
          <w:i/>
          <w:iCs/>
          <w:sz w:val="24"/>
          <w:bdr w:val="none" w:sz="0" w:space="0" w:color="auto" w:frame="1"/>
        </w:rPr>
      </w:pPr>
      <w:r w:rsidRPr="000A2024">
        <w:rPr>
          <w:rStyle w:val="nfasis"/>
          <w:rFonts w:ascii="Arial" w:eastAsia="Arial" w:hAnsi="Arial" w:cs="Arial"/>
          <w:sz w:val="24"/>
          <w:bdr w:val="none" w:sz="0" w:space="0" w:color="auto" w:frame="1"/>
        </w:rPr>
        <w:t>Proporción de casos curados de tuberculosis detectados con el tratamiento breve bajo observación directa.</w:t>
      </w:r>
    </w:p>
    <w:p w:rsidR="00387211" w:rsidRPr="00EC2372" w:rsidRDefault="00080599" w:rsidP="00EC2372">
      <w:pPr>
        <w:pStyle w:val="Sub3"/>
        <w:spacing w:before="0" w:after="120"/>
        <w:rPr>
          <w:rFonts w:ascii="Arial" w:hAnsi="Arial" w:cs="Arial"/>
        </w:rPr>
      </w:pPr>
      <w:bookmarkStart w:id="38" w:name="_Toc450230513"/>
      <w:r w:rsidRPr="000A2024">
        <w:rPr>
          <w:rFonts w:ascii="Arial" w:hAnsi="Arial" w:cs="Arial"/>
        </w:rPr>
        <w:t>Garantizar la sostenibilidad medioambiental</w:t>
      </w:r>
      <w:bookmarkEnd w:id="38"/>
      <w:r w:rsidRPr="000A2024">
        <w:rPr>
          <w:rFonts w:ascii="Arial" w:hAnsi="Arial" w:cs="Arial"/>
        </w:rPr>
        <w:t xml:space="preserv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En el portal virtual de la PNUD se muestra información recolectada del informe ODM 2015 donde se afirma que en la actualidad las emisiones de gases que producen el efecto invernadero en el mundo es un 50% más alta en comparación con el año 1990. Otro dato obtenido del informe ODM del 2015 es que el 91% de la población mundial puede gozar de una fuente mejorada de agua potable en comparación con el año 1990 que solamente 76% lo hacía.</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t>Meta 7A</w:t>
      </w:r>
      <w:r w:rsidRPr="000A2024">
        <w:rPr>
          <w:rFonts w:ascii="Arial" w:hAnsi="Arial" w:cs="Arial"/>
          <w:color w:val="222222"/>
          <w:sz w:val="24"/>
          <w:szCs w:val="24"/>
          <w:shd w:val="clear" w:color="auto" w:fill="FFFFFF"/>
        </w:rPr>
        <w:t xml:space="preserve">: A partir del año 2002 se buscó incorporar a las políticas y programas nacionales principios basados en un desarrollo sostenible y además se estipuló que para el año 2015 se debía haber presentado alguna reducción en la pérdida de recursos del medio ambiente. </w:t>
      </w:r>
      <w:r w:rsidRPr="000A2024">
        <w:rPr>
          <w:rFonts w:ascii="Arial" w:hAnsi="Arial" w:cs="Arial"/>
          <w:color w:val="222222"/>
          <w:sz w:val="24"/>
          <w:szCs w:val="24"/>
        </w:rPr>
        <w:t>Los indicadores que se utilizarán para verificar dichas reducciones son los siguientes:</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shd w:val="clear" w:color="auto" w:fill="FFFFFF"/>
        </w:rPr>
      </w:pPr>
      <w:r w:rsidRPr="000A2024">
        <w:rPr>
          <w:rFonts w:ascii="Arial" w:hAnsi="Arial" w:cs="Arial"/>
          <w:i/>
          <w:color w:val="222222"/>
          <w:sz w:val="24"/>
          <w:szCs w:val="24"/>
          <w:shd w:val="clear" w:color="auto" w:fill="FFFFFF"/>
        </w:rPr>
        <w:lastRenderedPageBreak/>
        <w:t>La proporción de la tierra que se encuentra cubierta por busques en los años 1990, 2009 y 2011.</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shd w:val="clear" w:color="auto" w:fill="FFFFFF"/>
        </w:rPr>
      </w:pPr>
      <w:r w:rsidRPr="000A2024">
        <w:rPr>
          <w:rFonts w:ascii="Arial" w:hAnsi="Arial" w:cs="Arial"/>
          <w:i/>
          <w:color w:val="222222"/>
          <w:sz w:val="24"/>
          <w:szCs w:val="24"/>
          <w:shd w:val="clear" w:color="auto" w:fill="FFFFFF"/>
        </w:rPr>
        <w:t>Emisiones de dióxido de carbono (CO2) en 1990, 2009 y 2011.</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shd w:val="clear" w:color="auto" w:fill="FFFFFF"/>
        </w:rPr>
      </w:pPr>
      <w:r w:rsidRPr="000A2024">
        <w:rPr>
          <w:rFonts w:ascii="Arial" w:hAnsi="Arial" w:cs="Arial"/>
          <w:i/>
          <w:color w:val="222222"/>
          <w:sz w:val="24"/>
          <w:szCs w:val="24"/>
          <w:shd w:val="clear" w:color="auto" w:fill="FFFFFF"/>
        </w:rPr>
        <w:t>Consumo de sustancias que agotan la capa de ozono.</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shd w:val="clear" w:color="auto" w:fill="FFFFFF"/>
        </w:rPr>
      </w:pPr>
      <w:r w:rsidRPr="000A2024">
        <w:rPr>
          <w:rFonts w:ascii="Arial" w:hAnsi="Arial" w:cs="Arial"/>
          <w:i/>
          <w:color w:val="222222"/>
          <w:sz w:val="24"/>
          <w:szCs w:val="24"/>
          <w:shd w:val="clear" w:color="auto" w:fill="FFFFFF"/>
        </w:rPr>
        <w:t>Se establecen límites en ciertos ambientes y se mide la proporción de poblaciones de peces que están dentro. Nuevamente se comparan los años 1990, 2009 y 2011.</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shd w:val="clear" w:color="auto" w:fill="FFFFFF"/>
        </w:rPr>
      </w:pPr>
      <w:r w:rsidRPr="000A2024">
        <w:rPr>
          <w:rFonts w:ascii="Arial" w:hAnsi="Arial" w:cs="Arial"/>
          <w:i/>
          <w:color w:val="222222"/>
          <w:sz w:val="24"/>
          <w:szCs w:val="24"/>
          <w:shd w:val="clear" w:color="auto" w:fill="FFFFFF"/>
        </w:rPr>
        <w:t>Proporción del total de recursos hídricos utilizada.</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Style w:val="nfasis"/>
          <w:rFonts w:ascii="Arial" w:hAnsi="Arial" w:cs="Arial"/>
          <w:b/>
          <w:color w:val="222222"/>
          <w:sz w:val="24"/>
          <w:szCs w:val="24"/>
          <w:bdr w:val="none" w:sz="0" w:space="0" w:color="auto" w:frame="1"/>
          <w:shd w:val="clear" w:color="auto" w:fill="FFFFFF"/>
        </w:rPr>
        <w:t>Meta 7B</w:t>
      </w:r>
      <w:r w:rsidRPr="000A2024">
        <w:rPr>
          <w:rFonts w:ascii="Arial" w:hAnsi="Arial" w:cs="Arial"/>
          <w:color w:val="222222"/>
          <w:sz w:val="24"/>
          <w:szCs w:val="24"/>
          <w:shd w:val="clear" w:color="auto" w:fill="FFFFFF"/>
        </w:rPr>
        <w:t xml:space="preserve">: </w:t>
      </w:r>
      <w:r w:rsidRPr="000A2024">
        <w:rPr>
          <w:rFonts w:ascii="Arial" w:hAnsi="Arial" w:cs="Arial"/>
          <w:color w:val="222222"/>
          <w:sz w:val="24"/>
          <w:szCs w:val="24"/>
        </w:rPr>
        <w:t xml:space="preserve">Detener y haber comenzado la reducción </w:t>
      </w:r>
      <w:r w:rsidRPr="000A2024">
        <w:rPr>
          <w:rFonts w:ascii="Arial" w:hAnsi="Arial" w:cs="Arial"/>
          <w:color w:val="222222"/>
          <w:sz w:val="24"/>
          <w:szCs w:val="24"/>
          <w:shd w:val="clear" w:color="auto" w:fill="FFFFFF"/>
        </w:rPr>
        <w:t xml:space="preserve">la pérdida de diversidad biológica </w:t>
      </w:r>
      <w:r w:rsidRPr="000A2024">
        <w:rPr>
          <w:rFonts w:ascii="Arial" w:hAnsi="Arial" w:cs="Arial"/>
          <w:color w:val="222222"/>
          <w:sz w:val="24"/>
          <w:szCs w:val="24"/>
        </w:rPr>
        <w:t>en un plazo no mayor al 2010.</w:t>
      </w:r>
      <w:r w:rsidRPr="000A2024">
        <w:rPr>
          <w:rFonts w:ascii="Arial" w:hAnsi="Arial" w:cs="Arial"/>
          <w:color w:val="222222"/>
          <w:sz w:val="24"/>
          <w:szCs w:val="24"/>
          <w:shd w:val="clear" w:color="auto" w:fill="FFFFFF"/>
        </w:rPr>
        <w:t xml:space="preserve"> </w:t>
      </w:r>
      <w:r w:rsidRPr="000A2024">
        <w:rPr>
          <w:rFonts w:ascii="Arial" w:hAnsi="Arial" w:cs="Arial"/>
          <w:color w:val="222222"/>
          <w:sz w:val="24"/>
          <w:szCs w:val="24"/>
        </w:rPr>
        <w:t>Los indicadores que se utilizarán para medir el nivel de desarrollo del objetivo son los siguientes: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Proporción de zonas terrestres y marinas protegidas.</w:t>
      </w:r>
    </w:p>
    <w:p w:rsidR="00080599" w:rsidRPr="000A2024" w:rsidRDefault="00080599" w:rsidP="00080599">
      <w:pPr>
        <w:pStyle w:val="Prrafodelista"/>
        <w:numPr>
          <w:ilvl w:val="0"/>
          <w:numId w:val="46"/>
        </w:numPr>
        <w:spacing w:after="120" w:line="360" w:lineRule="auto"/>
        <w:contextualSpacing w:val="0"/>
        <w:jc w:val="both"/>
        <w:rPr>
          <w:rStyle w:val="nfasis"/>
          <w:rFonts w:ascii="Arial" w:eastAsia="Arial" w:hAnsi="Arial" w:cs="Arial"/>
          <w:sz w:val="24"/>
          <w:szCs w:val="24"/>
          <w:bdr w:val="none" w:sz="0" w:space="0" w:color="auto" w:frame="1"/>
        </w:rPr>
      </w:pPr>
      <w:r w:rsidRPr="000A2024">
        <w:rPr>
          <w:rStyle w:val="nfasis"/>
          <w:rFonts w:ascii="Arial" w:eastAsia="Arial" w:hAnsi="Arial" w:cs="Arial"/>
          <w:sz w:val="24"/>
          <w:szCs w:val="24"/>
          <w:bdr w:val="none" w:sz="0" w:space="0" w:color="auto" w:frame="1"/>
        </w:rPr>
        <w:t>Proporción de especies en peligro de extinción.</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t>Meta 7C</w:t>
      </w:r>
      <w:r w:rsidRPr="000A2024">
        <w:rPr>
          <w:rFonts w:ascii="Arial" w:hAnsi="Arial" w:cs="Arial"/>
          <w:color w:val="222222"/>
          <w:sz w:val="24"/>
          <w:szCs w:val="24"/>
          <w:shd w:val="clear" w:color="auto" w:fill="FFFFFF"/>
        </w:rPr>
        <w:t>: Aumentar un 50% para el año 2015 la proporción de personas que poseen acceso al agua potable y de servicios de saneamientos.</w:t>
      </w:r>
      <w:r w:rsidRPr="000A2024">
        <w:rPr>
          <w:rFonts w:ascii="Arial" w:hAnsi="Arial" w:cs="Arial"/>
          <w:color w:val="222222"/>
          <w:sz w:val="24"/>
          <w:szCs w:val="24"/>
        </w:rPr>
        <w:t xml:space="preserve"> Los indicadores que se utilizarán para medir el aumento al acceso a estos servicios son los siguientes:</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rPr>
      </w:pPr>
      <w:r w:rsidRPr="000A2024">
        <w:rPr>
          <w:rFonts w:ascii="Arial" w:hAnsi="Arial" w:cs="Arial"/>
          <w:i/>
          <w:color w:val="222222"/>
          <w:sz w:val="24"/>
          <w:szCs w:val="24"/>
          <w:shd w:val="clear" w:color="auto" w:fill="FFFFFF"/>
        </w:rPr>
        <w:t>Proporción de la población con acceso a mejores fuentes de agua potable.</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sz w:val="24"/>
          <w:szCs w:val="24"/>
        </w:rPr>
      </w:pPr>
      <w:r w:rsidRPr="000A2024">
        <w:rPr>
          <w:rFonts w:ascii="Arial" w:hAnsi="Arial" w:cs="Arial"/>
          <w:i/>
          <w:color w:val="222222"/>
          <w:sz w:val="24"/>
          <w:szCs w:val="24"/>
          <w:shd w:val="clear" w:color="auto" w:fill="FFFFFF"/>
        </w:rPr>
        <w:t>Proporción de la población con acceso a mejores servicios de saneamiento.</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shd w:val="clear" w:color="auto" w:fill="FFFFFF"/>
        </w:rPr>
      </w:pPr>
      <w:r w:rsidRPr="000A2024">
        <w:rPr>
          <w:rStyle w:val="nfasis"/>
          <w:rFonts w:ascii="Arial" w:hAnsi="Arial" w:cs="Arial"/>
          <w:b/>
          <w:color w:val="222222"/>
          <w:sz w:val="24"/>
          <w:szCs w:val="24"/>
          <w:bdr w:val="none" w:sz="0" w:space="0" w:color="auto" w:frame="1"/>
          <w:shd w:val="clear" w:color="auto" w:fill="FFFFFF"/>
        </w:rPr>
        <w:t>Meta 7D</w:t>
      </w:r>
      <w:r w:rsidRPr="000A2024">
        <w:rPr>
          <w:rFonts w:ascii="Arial" w:hAnsi="Arial" w:cs="Arial"/>
          <w:color w:val="222222"/>
          <w:sz w:val="24"/>
          <w:szCs w:val="24"/>
          <w:shd w:val="clear" w:color="auto" w:fill="FFFFFF"/>
        </w:rPr>
        <w:t xml:space="preserve">: Se pacta que para el año 2020 se deberá de haber mejorado </w:t>
      </w:r>
      <w:r w:rsidRPr="000A2024">
        <w:rPr>
          <w:rFonts w:ascii="Arial" w:hAnsi="Arial" w:cs="Arial"/>
          <w:i/>
          <w:color w:val="222222"/>
          <w:sz w:val="24"/>
          <w:szCs w:val="24"/>
          <w:shd w:val="clear" w:color="auto" w:fill="FFFFFF"/>
        </w:rPr>
        <w:t>considerablemente</w:t>
      </w:r>
      <w:r w:rsidRPr="000A2024">
        <w:rPr>
          <w:rFonts w:ascii="Arial" w:hAnsi="Arial" w:cs="Arial"/>
          <w:color w:val="222222"/>
          <w:sz w:val="24"/>
          <w:szCs w:val="24"/>
          <w:shd w:val="clear" w:color="auto" w:fill="FFFFFF"/>
        </w:rPr>
        <w:t xml:space="preserve"> la calidad de vida de no menos de 100 millones de habitantes de barrios marginados. </w:t>
      </w:r>
      <w:r w:rsidRPr="000A2024">
        <w:rPr>
          <w:rFonts w:ascii="Arial" w:hAnsi="Arial" w:cs="Arial"/>
          <w:color w:val="222222"/>
          <w:sz w:val="24"/>
          <w:szCs w:val="24"/>
        </w:rPr>
        <w:t>Los indicadores que se utilizarán para el aumento de la calidad de vida de los habitantes son los siguientes:</w:t>
      </w:r>
    </w:p>
    <w:p w:rsidR="00387211" w:rsidRPr="00EC2372" w:rsidRDefault="00080599" w:rsidP="00387211">
      <w:pPr>
        <w:pStyle w:val="Prrafodelista"/>
        <w:numPr>
          <w:ilvl w:val="0"/>
          <w:numId w:val="46"/>
        </w:numPr>
        <w:spacing w:after="120" w:line="360" w:lineRule="auto"/>
        <w:contextualSpacing w:val="0"/>
        <w:jc w:val="both"/>
        <w:rPr>
          <w:rFonts w:ascii="Arial" w:eastAsia="Arial" w:hAnsi="Arial" w:cs="Arial"/>
          <w:i/>
          <w:iCs/>
          <w:sz w:val="24"/>
          <w:bdr w:val="none" w:sz="0" w:space="0" w:color="auto" w:frame="1"/>
        </w:rPr>
      </w:pPr>
      <w:r w:rsidRPr="000A2024">
        <w:rPr>
          <w:rStyle w:val="nfasis"/>
          <w:rFonts w:ascii="Arial" w:eastAsia="Arial" w:hAnsi="Arial" w:cs="Arial"/>
          <w:sz w:val="24"/>
          <w:bdr w:val="none" w:sz="0" w:space="0" w:color="auto" w:frame="1"/>
        </w:rPr>
        <w:t>Proporción de la población urbana que vive en barrios marginales.</w:t>
      </w:r>
    </w:p>
    <w:p w:rsidR="00387211" w:rsidRPr="00EC2372" w:rsidRDefault="00080599" w:rsidP="00EC2372">
      <w:pPr>
        <w:pStyle w:val="Sub3"/>
        <w:spacing w:after="120"/>
        <w:rPr>
          <w:rFonts w:ascii="Arial" w:hAnsi="Arial" w:cs="Arial"/>
        </w:rPr>
      </w:pPr>
      <w:bookmarkStart w:id="39" w:name="_Toc450230514"/>
      <w:r w:rsidRPr="00EC2372">
        <w:rPr>
          <w:rFonts w:ascii="Arial" w:hAnsi="Arial" w:cs="Arial"/>
        </w:rPr>
        <w:t>Establecer una asociación mundial para el desarrollo, con objetivos sobre ayuda, comercio y alivio de la deuda</w:t>
      </w:r>
      <w:bookmarkEnd w:id="39"/>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Demasiados países en desarrollo están gastando más en el pago de la deuda que en servicios sociales.  La asistencia por parte de los países desarrollados se ha visto </w:t>
      </w:r>
      <w:r w:rsidRPr="000A2024">
        <w:rPr>
          <w:rFonts w:ascii="Arial" w:hAnsi="Arial" w:cs="Arial"/>
          <w:sz w:val="24"/>
          <w:szCs w:val="24"/>
        </w:rPr>
        <w:lastRenderedPageBreak/>
        <w:t>estancada en el último lustro, después de haber tenido un aumento significativo desde el año 2000 hasta el 2010.</w:t>
      </w: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Fonts w:ascii="Arial" w:eastAsia="Times New Roman" w:hAnsi="Arial" w:cs="Arial"/>
          <w:b/>
          <w:i/>
          <w:iCs/>
          <w:color w:val="222222"/>
          <w:sz w:val="24"/>
          <w:szCs w:val="24"/>
          <w:bdr w:val="none" w:sz="0" w:space="0" w:color="auto" w:frame="1"/>
          <w:lang w:eastAsia="es-MX"/>
        </w:rPr>
        <w:t>Meta 8A</w:t>
      </w:r>
      <w:r w:rsidRPr="000A2024">
        <w:rPr>
          <w:rFonts w:ascii="Arial" w:eastAsia="Times New Roman" w:hAnsi="Arial" w:cs="Arial"/>
          <w:color w:val="222222"/>
          <w:sz w:val="24"/>
          <w:szCs w:val="24"/>
          <w:lang w:eastAsia="es-MX"/>
        </w:rPr>
        <w:t>: Se ha pactado que para el diseño de los sistemas comerciales y financieros se debe optar por desarrollarlos aún más abiertos, que estén basados en normas y que promuevan la no discriminación en los pr</w:t>
      </w:r>
      <w:r w:rsidR="00536CD1" w:rsidRPr="000A2024">
        <w:rPr>
          <w:rFonts w:ascii="Arial" w:eastAsia="Times New Roman" w:hAnsi="Arial" w:cs="Arial"/>
          <w:color w:val="222222"/>
          <w:sz w:val="24"/>
          <w:szCs w:val="24"/>
          <w:lang w:eastAsia="es-MX"/>
        </w:rPr>
        <w:t>esta</w:t>
      </w:r>
      <w:r w:rsidRPr="000A2024">
        <w:rPr>
          <w:rFonts w:ascii="Arial" w:eastAsia="Times New Roman" w:hAnsi="Arial" w:cs="Arial"/>
          <w:color w:val="222222"/>
          <w:sz w:val="24"/>
          <w:szCs w:val="24"/>
          <w:lang w:eastAsia="es-MX"/>
        </w:rPr>
        <w:t xml:space="preserve">mos de créditos nacionales. </w:t>
      </w:r>
      <w:r w:rsidRPr="000A2024">
        <w:rPr>
          <w:rFonts w:ascii="Arial" w:hAnsi="Arial" w:cs="Arial"/>
          <w:color w:val="222222"/>
          <w:sz w:val="24"/>
          <w:szCs w:val="24"/>
        </w:rPr>
        <w:t>Los indicadores que se utilizarán para medir el nivel de asistencia por parte de los países desarrollados son los siguientes:</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shd w:val="clear" w:color="auto" w:fill="FFFFFF"/>
        </w:rPr>
      </w:pPr>
      <w:r w:rsidRPr="000A2024">
        <w:rPr>
          <w:rFonts w:ascii="Arial" w:hAnsi="Arial" w:cs="Arial"/>
          <w:i/>
          <w:color w:val="222222"/>
          <w:sz w:val="24"/>
          <w:szCs w:val="24"/>
          <w:shd w:val="clear" w:color="auto" w:fill="FFFFFF"/>
        </w:rPr>
        <w:t>AOD neta (la asistencia oficial neta para el desarrollo) como una proporción del ingreso nacional bruto de los países padrinos que proporcionan la asistencia que son miembros del Comité de Asistencia para el Desarrollo de la Organización de Cooperación y Desarrollo Económicos (CAD/OCDE).</w:t>
      </w:r>
    </w:p>
    <w:p w:rsidR="00080599" w:rsidRPr="000A2024" w:rsidRDefault="00080599" w:rsidP="00080599">
      <w:pPr>
        <w:spacing w:after="0" w:line="315" w:lineRule="atLeast"/>
        <w:jc w:val="both"/>
        <w:textAlignment w:val="baseline"/>
        <w:rPr>
          <w:rFonts w:ascii="Arial" w:eastAsia="Times New Roman" w:hAnsi="Arial" w:cs="Arial"/>
          <w:color w:val="222222"/>
          <w:sz w:val="24"/>
          <w:szCs w:val="24"/>
          <w:lang w:eastAsia="es-MX"/>
        </w:rPr>
      </w:pPr>
    </w:p>
    <w:p w:rsidR="00080599" w:rsidRPr="000A2024" w:rsidRDefault="00080599" w:rsidP="00080599">
      <w:pPr>
        <w:pStyle w:val="Prrafodelista"/>
        <w:spacing w:after="120" w:line="360" w:lineRule="auto"/>
        <w:ind w:left="0"/>
        <w:contextualSpacing w:val="0"/>
        <w:jc w:val="both"/>
        <w:rPr>
          <w:rFonts w:ascii="Arial" w:hAnsi="Arial" w:cs="Arial"/>
          <w:color w:val="222222"/>
          <w:sz w:val="24"/>
          <w:szCs w:val="24"/>
        </w:rPr>
      </w:pPr>
      <w:r w:rsidRPr="000A2024">
        <w:rPr>
          <w:rFonts w:ascii="Arial" w:eastAsia="Times New Roman" w:hAnsi="Arial" w:cs="Arial"/>
          <w:b/>
          <w:i/>
          <w:iCs/>
          <w:color w:val="222222"/>
          <w:sz w:val="24"/>
          <w:szCs w:val="24"/>
          <w:bdr w:val="none" w:sz="0" w:space="0" w:color="auto" w:frame="1"/>
          <w:lang w:eastAsia="es-MX"/>
        </w:rPr>
        <w:t>Meta 8B</w:t>
      </w:r>
      <w:r w:rsidRPr="000A2024">
        <w:rPr>
          <w:rFonts w:ascii="Arial" w:eastAsia="Times New Roman" w:hAnsi="Arial" w:cs="Arial"/>
          <w:color w:val="222222"/>
          <w:sz w:val="24"/>
          <w:szCs w:val="24"/>
          <w:lang w:eastAsia="es-MX"/>
        </w:rPr>
        <w:t xml:space="preserve">: Atender las necesidades especiales de los países menos adelantados. </w:t>
      </w:r>
      <w:r w:rsidRPr="000A2024">
        <w:rPr>
          <w:rFonts w:ascii="Arial" w:hAnsi="Arial" w:cs="Arial"/>
          <w:color w:val="222222"/>
          <w:sz w:val="24"/>
          <w:szCs w:val="24"/>
        </w:rPr>
        <w:t>Los indicadores que se utilizarán para medir el nivel de desarrollo del objetivo son los siguientes:</w:t>
      </w:r>
    </w:p>
    <w:p w:rsidR="00080599" w:rsidRPr="000A2024" w:rsidRDefault="00080599" w:rsidP="00080599">
      <w:pPr>
        <w:pStyle w:val="Prrafodelista"/>
        <w:numPr>
          <w:ilvl w:val="0"/>
          <w:numId w:val="46"/>
        </w:numPr>
        <w:spacing w:after="120" w:line="360" w:lineRule="auto"/>
        <w:contextualSpacing w:val="0"/>
        <w:jc w:val="both"/>
        <w:rPr>
          <w:rFonts w:ascii="Arial" w:hAnsi="Arial" w:cs="Arial"/>
          <w:i/>
          <w:color w:val="222222"/>
          <w:sz w:val="24"/>
          <w:szCs w:val="24"/>
          <w:shd w:val="clear" w:color="auto" w:fill="FFFFFF"/>
        </w:rPr>
      </w:pPr>
      <w:r w:rsidRPr="000A2024">
        <w:rPr>
          <w:rFonts w:ascii="Arial" w:hAnsi="Arial" w:cs="Arial"/>
          <w:i/>
          <w:color w:val="222222"/>
          <w:sz w:val="24"/>
          <w:szCs w:val="24"/>
          <w:shd w:val="clear" w:color="auto" w:fill="FFFFFF"/>
        </w:rPr>
        <w:t>Proporción del AOD bilateral asistido por parte de los miembros donantes del CAD/OCDE y clasificado por sectores que los destinan a servicios como educación, salud, alimentación y nutrición, agua potable y saneamiento.</w:t>
      </w:r>
    </w:p>
    <w:p w:rsidR="00EC2372" w:rsidRPr="00EC2372" w:rsidRDefault="00080599" w:rsidP="00EC2372">
      <w:pPr>
        <w:pStyle w:val="Prrafodelista"/>
        <w:numPr>
          <w:ilvl w:val="0"/>
          <w:numId w:val="46"/>
        </w:numPr>
        <w:spacing w:after="240" w:line="315" w:lineRule="atLeast"/>
        <w:contextualSpacing w:val="0"/>
        <w:jc w:val="both"/>
        <w:textAlignment w:val="baseline"/>
        <w:rPr>
          <w:rFonts w:ascii="Arial" w:eastAsia="Times New Roman" w:hAnsi="Arial" w:cs="Arial"/>
          <w:color w:val="222222"/>
          <w:sz w:val="24"/>
          <w:szCs w:val="24"/>
          <w:lang w:eastAsia="es-MX"/>
        </w:rPr>
      </w:pPr>
      <w:r w:rsidRPr="00EC2372">
        <w:rPr>
          <w:rFonts w:ascii="Arial" w:hAnsi="Arial" w:cs="Arial"/>
          <w:i/>
          <w:color w:val="222222"/>
          <w:sz w:val="24"/>
          <w:szCs w:val="24"/>
          <w:shd w:val="clear" w:color="auto" w:fill="FFFFFF"/>
        </w:rPr>
        <w:t>Comparar el ingreso bruto nacional con respecto AOD recibida por los países en desarrollo que no tienen costa como una proporción.</w:t>
      </w:r>
    </w:p>
    <w:p w:rsidR="00080599" w:rsidRPr="000A2024" w:rsidRDefault="00080599" w:rsidP="00387211">
      <w:pPr>
        <w:pStyle w:val="SubTema"/>
        <w:rPr>
          <w:rFonts w:ascii="Arial" w:hAnsi="Arial" w:cs="Arial"/>
        </w:rPr>
      </w:pPr>
      <w:bookmarkStart w:id="40" w:name="_Toc450230515"/>
      <w:r w:rsidRPr="000A2024">
        <w:rPr>
          <w:rFonts w:ascii="Arial" w:hAnsi="Arial" w:cs="Arial"/>
        </w:rPr>
        <w:t>La fase final del combate contra la pobreza en los nuevos objetivos del milenio.</w:t>
      </w:r>
      <w:bookmarkEnd w:id="40"/>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Desde entonces esta serie de objetivos han tenido cada uno su progreso alrededor del globo y es también cierto que ciertos de ellos no han presentado un constante avance en su cumplimiento, pero la perseverancia de los Estados para alcanzarlos debe ser lo último en verse detenerse.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La PUND ha presentado varios informes a lo largo de estos 15 años y el de este año es importante debido a la calidad pactada del plazo.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lastRenderedPageBreak/>
        <w:t>Los ODM presentados fueron un éxito en el consenso mundial y en la participación colectiva para logros y es quizá por esto que los comienzos de este milenio, con la ayuda de la tecnología las agenda para el desarrollo tuvo la oportunidad de poder extenderse un poco más.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Los ODM se extendieron hacia el desarrollo sostenible y esto significó un nuevo enfoque y la reformulación de nuevas obligaciones para los Estados con 17 nuevos objetivos llamados los </w:t>
      </w:r>
      <w:r w:rsidRPr="000A2024">
        <w:rPr>
          <w:rFonts w:ascii="Arial" w:hAnsi="Arial" w:cs="Arial"/>
          <w:i/>
          <w:sz w:val="24"/>
          <w:szCs w:val="24"/>
        </w:rPr>
        <w:t>Objetivos de Desarrollo Sostenible</w:t>
      </w:r>
      <w:r w:rsidRPr="000A2024">
        <w:rPr>
          <w:rFonts w:ascii="Arial" w:hAnsi="Arial" w:cs="Arial"/>
          <w:sz w:val="24"/>
          <w:szCs w:val="24"/>
        </w:rPr>
        <w:t xml:space="preserve"> (ODS) y el plazo ahora a cumplir se extenderá hasta el año 2030, otros quince años de búsqueda por mejorar la calidad de vida y cómo desde un principio buscaban los ODM, se requiere que éstos también lleguen a niveles universales.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Estos nuevos 17 objetivos de desarrollo sostenible se basan en los ODM que son objetivos que buscan eliminar la pobreza en el mundo para el 2015 como ya había descrito con anterioridad.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No planeo indagar mucho en lo que son estos nuevos objetivos puesto que el enfoque de este trabajo está encaminado hacia la pobreza y es por esto que solo los mencionare brevemente:</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Poner fin a la pobreza en todas sus formas en todo el mundo.</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Poner fin al hambre, lograr la seguridad alimentaria y la mejora de la nutrición y promover la agricultura sostenible.</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Garantizar una vida sana y promover el bienestar para todos en todas las edades.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Garantizar una educación inclusiva, equitativa y de calidad y promover oportunidades de aprendizaje durante toda la vida para todos.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Lograr la igualdad entre los géneros y empoderar a todas las mujeres y niñas.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Garantizar la disponibilidad de agua y su gestión sostenible y el saneamiento para todos.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Garantizar el acceso a una energía asequible, segura, sostenible y moderna para todos.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lastRenderedPageBreak/>
        <w:t>Promover el crecimiento económico sostenido, inclusivo y sostenible, el empleo pleno y productivo y el trabajo decente para todos.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Construir infraestructuras resilientes, promover la industrialización inclusiva y sostenible y fomentar la innovación.</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Reducir la desigualdad en y entre los países.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Conseguir que las ciudades y los asentamientos humanos sean inclusivos, seguros, resilientes y sostenibles.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Garantizar modalidades de consumo y protección sostenibles.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Adoptar medidas urgentes para combatir el cambio climático y sus efectos.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Conservar y utilizar en forma sostenible los océanos, los mares y los recursos marinos para el desarrollo sostenible.</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Proteger, restablecer y promover el uso sostenible de los ecosistemas terrestres, efectuar una ordenación sostenible de los bosques, luchar contra la desertificación, detener y revertir la degradación de las tierras y poner freno a la pérdida de diversidad biológica.</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Promover sociedades pacíficas e inclusivas para el desarrollo sostenible, facilitar el acceso a la justicia para todos y crear instituciones eficaces, responsables e inclusivas a todos los niveles.</w:t>
      </w:r>
    </w:p>
    <w:p w:rsidR="00080599" w:rsidRPr="000A2024" w:rsidRDefault="00080599" w:rsidP="00080599">
      <w:pPr>
        <w:pStyle w:val="Prrafodelista"/>
        <w:numPr>
          <w:ilvl w:val="0"/>
          <w:numId w:val="47"/>
        </w:numPr>
        <w:spacing w:after="120" w:line="360" w:lineRule="auto"/>
        <w:contextualSpacing w:val="0"/>
        <w:jc w:val="both"/>
        <w:rPr>
          <w:rFonts w:ascii="Arial" w:hAnsi="Arial" w:cs="Arial"/>
          <w:sz w:val="24"/>
          <w:szCs w:val="24"/>
        </w:rPr>
      </w:pPr>
      <w:r w:rsidRPr="000A2024">
        <w:rPr>
          <w:rFonts w:ascii="Arial" w:hAnsi="Arial" w:cs="Arial"/>
          <w:sz w:val="24"/>
          <w:szCs w:val="24"/>
        </w:rPr>
        <w:t>Fortalecer los medios de ejecución y revitalizar la alianza mundial para el desarrollo sostenible.</w:t>
      </w:r>
    </w:p>
    <w:p w:rsidR="00080599" w:rsidRPr="000A2024" w:rsidRDefault="00080599" w:rsidP="00080599">
      <w:pPr>
        <w:spacing w:line="259" w:lineRule="auto"/>
        <w:rPr>
          <w:rFonts w:ascii="Arial" w:hAnsi="Arial" w:cs="Arial"/>
          <w:sz w:val="24"/>
          <w:szCs w:val="24"/>
        </w:rPr>
      </w:pPr>
      <w:r w:rsidRPr="000A2024">
        <w:rPr>
          <w:rFonts w:ascii="Arial" w:hAnsi="Arial" w:cs="Arial"/>
          <w:sz w:val="24"/>
          <w:szCs w:val="24"/>
        </w:rPr>
        <w:br w:type="page"/>
      </w:r>
    </w:p>
    <w:p w:rsidR="00080599" w:rsidRPr="00EC2372" w:rsidRDefault="00EC2372" w:rsidP="00387211">
      <w:pPr>
        <w:pStyle w:val="Capitulos"/>
        <w:rPr>
          <w:rFonts w:ascii="Arial" w:hAnsi="Arial" w:cs="Arial"/>
          <w:sz w:val="24"/>
        </w:rPr>
      </w:pPr>
      <w:bookmarkStart w:id="41" w:name="_Toc450230516"/>
      <w:r w:rsidRPr="00EC2372">
        <w:rPr>
          <w:rFonts w:ascii="Arial" w:hAnsi="Arial" w:cs="Arial"/>
          <w:sz w:val="24"/>
        </w:rPr>
        <w:lastRenderedPageBreak/>
        <w:t>CAPÍTULO III: URUGUAY.</w:t>
      </w:r>
      <w:bookmarkEnd w:id="41"/>
    </w:p>
    <w:p w:rsidR="00080599" w:rsidRPr="000A2024" w:rsidRDefault="00080599" w:rsidP="00080599">
      <w:pPr>
        <w:spacing w:line="360" w:lineRule="auto"/>
        <w:jc w:val="both"/>
        <w:rPr>
          <w:rFonts w:ascii="Arial" w:hAnsi="Arial" w:cs="Arial"/>
          <w:b/>
          <w:sz w:val="24"/>
          <w:szCs w:val="24"/>
        </w:rPr>
      </w:pPr>
    </w:p>
    <w:p w:rsidR="00080599" w:rsidRPr="000A2024" w:rsidRDefault="00080599" w:rsidP="000C2E3C">
      <w:pPr>
        <w:pStyle w:val="SubTema"/>
        <w:numPr>
          <w:ilvl w:val="0"/>
          <w:numId w:val="83"/>
        </w:numPr>
        <w:spacing w:before="0" w:after="120"/>
        <w:rPr>
          <w:rFonts w:ascii="Arial" w:hAnsi="Arial" w:cs="Arial"/>
        </w:rPr>
      </w:pPr>
      <w:bookmarkStart w:id="42" w:name="_Toc450230517"/>
      <w:r w:rsidRPr="000A2024">
        <w:rPr>
          <w:rFonts w:ascii="Arial" w:hAnsi="Arial" w:cs="Arial"/>
        </w:rPr>
        <w:t>Estructura determinante de la pobreza en Uruguay en los noventas.</w:t>
      </w:r>
      <w:bookmarkEnd w:id="42"/>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A principios de los noventas Uruguay modifica su modelo económico abriéndose a los mercados extranjeros como una reacción a la caída de los aranceles internacionales y toma como motor principal de su economía a la diversificación de las exportaciones y la esquematización jerarquizada del sector agro-exportador. Fernández, T. y Longhi, A. (2002).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Durante el año de 1991 se firma el tratado entre Argentina, Brasil, Paraguay y Uruguay que da inicio al Mercado Común del Sur (MERCOSUR) el cual es un bloque que establece la libre circulación de bienes y servicios entre estos países.</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Según Fernández, T. y Longhi, A. (2002) a principio de los noventas existieron diversas fluctuaciones en la evolución de la pobreza: del año 1991 a 1994 existe un estable descenso de la pobreza donde el porcentaje de hogares pobres en áreas urbanas se encuentra por un 17.9% durante 1991 y baja hasta 12.7% en 1994. Durante los siguientes años el nivel de pobreza alcanza el 15.7% en el año de 1997 con un incremento del 3% en tan solo cuatro años.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Las crisis externas que afectaron a Uruguay fueron:</w:t>
      </w:r>
    </w:p>
    <w:p w:rsidR="00080599" w:rsidRPr="000A2024" w:rsidRDefault="00080599" w:rsidP="00080599">
      <w:pPr>
        <w:pStyle w:val="Prrafodelista"/>
        <w:numPr>
          <w:ilvl w:val="0"/>
          <w:numId w:val="50"/>
        </w:numPr>
        <w:spacing w:after="120" w:line="360" w:lineRule="auto"/>
        <w:jc w:val="both"/>
        <w:rPr>
          <w:rFonts w:ascii="Arial" w:hAnsi="Arial" w:cs="Arial"/>
          <w:sz w:val="24"/>
          <w:szCs w:val="24"/>
        </w:rPr>
      </w:pPr>
      <w:r w:rsidRPr="000A2024">
        <w:rPr>
          <w:rFonts w:ascii="Arial" w:hAnsi="Arial" w:cs="Arial"/>
          <w:sz w:val="24"/>
          <w:szCs w:val="24"/>
        </w:rPr>
        <w:t>Enero 1999, crisis externa por la devaluación de cambio real en Brasil.</w:t>
      </w:r>
    </w:p>
    <w:p w:rsidR="00080599" w:rsidRPr="000A2024" w:rsidRDefault="00080599" w:rsidP="00080599">
      <w:pPr>
        <w:pStyle w:val="Prrafodelista"/>
        <w:numPr>
          <w:ilvl w:val="0"/>
          <w:numId w:val="50"/>
        </w:numPr>
        <w:spacing w:after="120" w:line="360" w:lineRule="auto"/>
        <w:jc w:val="both"/>
        <w:rPr>
          <w:rFonts w:ascii="Arial" w:hAnsi="Arial" w:cs="Arial"/>
          <w:sz w:val="24"/>
          <w:szCs w:val="24"/>
        </w:rPr>
      </w:pPr>
      <w:r w:rsidRPr="000A2024">
        <w:rPr>
          <w:rFonts w:ascii="Arial" w:hAnsi="Arial" w:cs="Arial"/>
          <w:sz w:val="24"/>
          <w:szCs w:val="24"/>
        </w:rPr>
        <w:t>Crisis mexicana de diciembre de 1994.</w:t>
      </w:r>
    </w:p>
    <w:p w:rsidR="00080599" w:rsidRPr="000A2024" w:rsidRDefault="00080599" w:rsidP="00080599">
      <w:pPr>
        <w:pStyle w:val="Prrafodelista"/>
        <w:numPr>
          <w:ilvl w:val="0"/>
          <w:numId w:val="50"/>
        </w:numPr>
        <w:spacing w:after="120" w:line="360" w:lineRule="auto"/>
        <w:jc w:val="both"/>
        <w:rPr>
          <w:rFonts w:ascii="Arial" w:hAnsi="Arial" w:cs="Arial"/>
          <w:sz w:val="24"/>
          <w:szCs w:val="24"/>
        </w:rPr>
      </w:pPr>
      <w:r w:rsidRPr="000A2024">
        <w:rPr>
          <w:rFonts w:ascii="Arial" w:hAnsi="Arial" w:cs="Arial"/>
          <w:sz w:val="24"/>
          <w:szCs w:val="24"/>
        </w:rPr>
        <w:t>Crisis rusa de 1995.</w:t>
      </w:r>
    </w:p>
    <w:p w:rsidR="00080599" w:rsidRPr="000A2024" w:rsidRDefault="00080599" w:rsidP="00080599">
      <w:pPr>
        <w:pStyle w:val="Prrafodelista"/>
        <w:numPr>
          <w:ilvl w:val="0"/>
          <w:numId w:val="50"/>
        </w:numPr>
        <w:spacing w:after="120" w:line="360" w:lineRule="auto"/>
        <w:jc w:val="both"/>
        <w:rPr>
          <w:rFonts w:ascii="Arial" w:hAnsi="Arial" w:cs="Arial"/>
          <w:sz w:val="24"/>
          <w:szCs w:val="24"/>
        </w:rPr>
      </w:pPr>
      <w:r w:rsidRPr="000A2024">
        <w:rPr>
          <w:rFonts w:ascii="Arial" w:hAnsi="Arial" w:cs="Arial"/>
          <w:sz w:val="24"/>
          <w:szCs w:val="24"/>
        </w:rPr>
        <w:t>Crisis de los mercados asiáticos de 1997.</w:t>
      </w:r>
    </w:p>
    <w:p w:rsidR="00080599" w:rsidRPr="000A2024" w:rsidRDefault="00080599" w:rsidP="00080599">
      <w:pPr>
        <w:pStyle w:val="Prrafodelista"/>
        <w:numPr>
          <w:ilvl w:val="0"/>
          <w:numId w:val="50"/>
        </w:numPr>
        <w:spacing w:after="120" w:line="360" w:lineRule="auto"/>
        <w:jc w:val="both"/>
        <w:rPr>
          <w:rFonts w:ascii="Arial" w:hAnsi="Arial" w:cs="Arial"/>
          <w:sz w:val="24"/>
          <w:szCs w:val="24"/>
        </w:rPr>
      </w:pPr>
      <w:r w:rsidRPr="000A2024">
        <w:rPr>
          <w:rFonts w:ascii="Arial" w:hAnsi="Arial" w:cs="Arial"/>
          <w:sz w:val="24"/>
          <w:szCs w:val="24"/>
        </w:rPr>
        <w:t>Bancarrota de Argentina en el año 2000.</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Uruguay se encuentra entre los países con el índice de desarrollo humano</w:t>
      </w:r>
      <w:r w:rsidRPr="000A2024">
        <w:rPr>
          <w:rStyle w:val="Refdenotaalpie"/>
          <w:rFonts w:ascii="Arial" w:hAnsi="Arial" w:cs="Arial"/>
        </w:rPr>
        <w:footnoteReference w:id="5"/>
      </w:r>
      <w:r w:rsidRPr="000A2024">
        <w:rPr>
          <w:rFonts w:ascii="Arial" w:hAnsi="Arial" w:cs="Arial"/>
          <w:sz w:val="24"/>
          <w:szCs w:val="24"/>
        </w:rPr>
        <w:t xml:space="preserve"> más alto desde los últimos 15 años. Han llegado a 0.79 en el 2014 según el portal en línea </w:t>
      </w:r>
      <w:r w:rsidRPr="000A2024">
        <w:rPr>
          <w:rFonts w:ascii="Arial" w:hAnsi="Arial" w:cs="Arial"/>
          <w:sz w:val="24"/>
          <w:szCs w:val="24"/>
        </w:rPr>
        <w:lastRenderedPageBreak/>
        <w:t>de la PNUD</w:t>
      </w:r>
      <w:r w:rsidRPr="000A2024">
        <w:rPr>
          <w:rStyle w:val="Refdenotaalpie"/>
          <w:rFonts w:ascii="Arial" w:hAnsi="Arial" w:cs="Arial"/>
        </w:rPr>
        <w:footnoteReference w:id="6"/>
      </w:r>
      <w:r w:rsidRPr="000A2024">
        <w:rPr>
          <w:rFonts w:ascii="Arial" w:hAnsi="Arial" w:cs="Arial"/>
          <w:sz w:val="24"/>
          <w:szCs w:val="24"/>
        </w:rPr>
        <w:t xml:space="preserve"> y durante el 2011 se presentó el menor número de casos de pobreza por ingresos desde hace 21 años.</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Este capítulo tiene como propósito mostrar cómo el Uruguay contemporáneo ha estado estudiando la dinámica de la pobreza y la desigualdad a niveles multidimensionales.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El estudio que se escogió fue el cuaderno sobre desarrollo humano de la PNUD “Desigualdad multidimensional y dinámica de la pobreza en Uruguay en los años recientes” de Colafranceschi, M., Failache, E. y Vigorito, A., (2013) el cual pretende mostrar, determinar y medir los avances de los objetivos de desarrollo del milenio en términos de desigualdad y pobreza multidimensional.</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Colafranceschi et al. (2013), utilizan como herramienta o métrica a la relación existente entre la mejora de la equidad del ingreso y el empleo en diferentes dimensiones.</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rPr>
        <w:t>El trabajo de Colafranceschi et al. (2013) fue realizado utilizando datos de las Encuestas Continuas de Hogares (ECH) que son realizadas anualmente por el Instituto Nacional de Estadística (INE) de Uruguay y está dirigido al estudio de los niveles y evolución de la desigualdad multidimensional del bienestar para el periodo 2006 - 2011.</w:t>
      </w:r>
      <w:r w:rsidRPr="000A2024">
        <w:rPr>
          <w:rFonts w:ascii="Arial" w:hAnsi="Arial" w:cs="Arial"/>
          <w:sz w:val="24"/>
          <w:szCs w:val="24"/>
        </w:rPr>
        <w:t xml:space="preserve">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Las dimensiones tomadas para dar cuenta de la privación de derechos económicos, sociales y culturales fueron basadas en lo siguiente:</w:t>
      </w:r>
    </w:p>
    <w:p w:rsidR="00080599" w:rsidRPr="000A2024" w:rsidRDefault="00080599" w:rsidP="00080599">
      <w:pPr>
        <w:pStyle w:val="Prrafodelista"/>
        <w:numPr>
          <w:ilvl w:val="0"/>
          <w:numId w:val="51"/>
        </w:numPr>
        <w:spacing w:after="120" w:line="360" w:lineRule="auto"/>
        <w:jc w:val="both"/>
        <w:rPr>
          <w:rFonts w:ascii="Arial" w:hAnsi="Arial" w:cs="Arial"/>
          <w:sz w:val="24"/>
          <w:szCs w:val="24"/>
        </w:rPr>
      </w:pPr>
      <w:r w:rsidRPr="000A2024">
        <w:rPr>
          <w:rFonts w:ascii="Arial" w:hAnsi="Arial" w:cs="Arial"/>
          <w:sz w:val="24"/>
          <w:szCs w:val="24"/>
        </w:rPr>
        <w:t xml:space="preserve">La lista de capacidades de Alkire (citado en Colafranceschi et al., 2013), </w:t>
      </w:r>
    </w:p>
    <w:p w:rsidR="00080599" w:rsidRPr="000A2024" w:rsidRDefault="00080599" w:rsidP="00080599">
      <w:pPr>
        <w:pStyle w:val="Prrafodelista"/>
        <w:numPr>
          <w:ilvl w:val="0"/>
          <w:numId w:val="51"/>
        </w:numPr>
        <w:spacing w:after="120" w:line="360" w:lineRule="auto"/>
        <w:jc w:val="both"/>
        <w:rPr>
          <w:rFonts w:ascii="Arial" w:hAnsi="Arial" w:cs="Arial"/>
          <w:sz w:val="24"/>
          <w:szCs w:val="24"/>
        </w:rPr>
      </w:pPr>
      <w:r w:rsidRPr="000A2024">
        <w:rPr>
          <w:rFonts w:ascii="Arial" w:hAnsi="Arial" w:cs="Arial"/>
          <w:sz w:val="24"/>
          <w:szCs w:val="24"/>
        </w:rPr>
        <w:t xml:space="preserve">Las dimensiones o variables elegidas de las ECH; educación, ingreso, condiciones de vivienda y acceso a bienes durables y </w:t>
      </w:r>
    </w:p>
    <w:p w:rsidR="00080599" w:rsidRPr="000A2024" w:rsidRDefault="00080599" w:rsidP="00080599">
      <w:pPr>
        <w:pStyle w:val="Prrafodelista"/>
        <w:numPr>
          <w:ilvl w:val="0"/>
          <w:numId w:val="51"/>
        </w:numPr>
        <w:spacing w:after="120" w:line="360" w:lineRule="auto"/>
        <w:jc w:val="both"/>
        <w:rPr>
          <w:rFonts w:ascii="Arial" w:hAnsi="Arial" w:cs="Arial"/>
          <w:sz w:val="24"/>
          <w:szCs w:val="24"/>
        </w:rPr>
      </w:pPr>
      <w:r w:rsidRPr="000A2024">
        <w:rPr>
          <w:rFonts w:ascii="Arial" w:hAnsi="Arial" w:cs="Arial"/>
          <w:sz w:val="24"/>
          <w:szCs w:val="24"/>
        </w:rPr>
        <w:t>El estado de salud es la dimensión tomada de la Encuesta de Situación Nutricional de los Niños (ESNN) el cual requiere de una aproximación basándose en indicadores antropométricos</w:t>
      </w:r>
      <w:r w:rsidRPr="000A2024">
        <w:rPr>
          <w:rFonts w:ascii="Arial" w:hAnsi="Arial" w:cs="Arial"/>
        </w:rPr>
        <w:footnoteReference w:id="7"/>
      </w:r>
      <w:r w:rsidRPr="000A2024">
        <w:rPr>
          <w:rFonts w:ascii="Arial" w:hAnsi="Arial" w:cs="Arial"/>
          <w:sz w:val="24"/>
          <w:szCs w:val="24"/>
        </w:rPr>
        <w:t>.</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lastRenderedPageBreak/>
        <w:t>Un ejemplo del análisis de Colafranceschi et al. es que toman el promedio de la dimensión educación y afirman que este presentó una tendencia positiva creciente debido a los efectos de generación que presenta la demografía de Uruguay. Esta es la forma en la que pueden hacer cierto tipo de inferencias con la información disponible.</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Otro ejemplo es la mejora sustancial en la calidad de los materiales de los pisos y techos que se encuentran en cada vivienda de Uruguay, así como una disminución de hogares que presentan condiciones de una acumulación excesiva de personas bajo un mismo techo y esta disminución se explica con el incremento del ingreso y con otros factores demográficos.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pretenden medir qué características tienen las familias que transitan de la pobreza a la no pobreza y la situación de la vulnerabilidad del ingreso mediante datos longitudinales</w:t>
      </w:r>
      <w:r w:rsidRPr="000A2024">
        <w:rPr>
          <w:rStyle w:val="Refdenotaalpie"/>
          <w:rFonts w:ascii="Arial" w:hAnsi="Arial" w:cs="Arial"/>
        </w:rPr>
        <w:footnoteReference w:id="8"/>
      </w:r>
      <w:r w:rsidRPr="000A2024">
        <w:rPr>
          <w:rFonts w:ascii="Arial" w:hAnsi="Arial" w:cs="Arial"/>
          <w:sz w:val="24"/>
        </w:rPr>
        <w:t xml:space="preserve"> obtenidos de las ESNN.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La ESNN es representativa en los hogares con niños que cursaban primero de primaria durante el año del 2004, el estudio indica que el 85% de la población de esta generación cursaba primero de primaria. Colafranceschi et al. buscan también realizar un análisis de la desigualdad de logros dentro de las diferentes dimensiones que se consideran dentro del bienestar en Uruguay.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El estudio de Colafranceschi et al. plantean la trayectoria que presentan las privaciones y la vulnerabilidad de los ingresos en los hogares de Uruguay y muestra una disminución heterogénea de desigualdad en casi todas las dimensiones consideradas a lo largo del periodo 2006 – 2011.</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La dimensión que tuvo la mayor mejora fue el acceso a bienes durables y se determina que la probable razón del decremento se debió al aumento del ingreso y el abaratamiento que se presentó.</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En general, Colafranceschi et al. advierten que existe una disminución de la desigualdad multidimensional dentro del periodo 2006 – 2011 y afirman que el </w:t>
      </w:r>
      <w:r w:rsidRPr="000A2024">
        <w:rPr>
          <w:rFonts w:ascii="Arial" w:hAnsi="Arial" w:cs="Arial"/>
          <w:sz w:val="24"/>
        </w:rPr>
        <w:lastRenderedPageBreak/>
        <w:t xml:space="preserve">ingreso es la dimensión que presenta menor tasa de transición hacia la pobreza a lo largo del periodo. </w:t>
      </w:r>
    </w:p>
    <w:p w:rsidR="00080599" w:rsidRPr="000A2024" w:rsidRDefault="00080599" w:rsidP="000C2E3C">
      <w:pPr>
        <w:spacing w:after="240" w:line="360" w:lineRule="auto"/>
        <w:jc w:val="both"/>
        <w:rPr>
          <w:rFonts w:ascii="Arial" w:hAnsi="Arial" w:cs="Arial"/>
          <w:sz w:val="24"/>
        </w:rPr>
      </w:pPr>
      <w:r w:rsidRPr="000A2024">
        <w:rPr>
          <w:rFonts w:ascii="Arial" w:hAnsi="Arial" w:cs="Arial"/>
          <w:sz w:val="24"/>
        </w:rPr>
        <w:t xml:space="preserve">Según el INE desde el 2005 a la fecha la pobreza de ingresos ha sido reducida sustancialmente en Uruguay. Amarante et al. </w:t>
      </w:r>
      <w:r w:rsidRPr="000A2024">
        <w:rPr>
          <w:rFonts w:ascii="Arial" w:hAnsi="Arial" w:cs="Arial"/>
          <w:sz w:val="24"/>
          <w:szCs w:val="24"/>
        </w:rPr>
        <w:t xml:space="preserve">(citado en </w:t>
      </w:r>
      <w:r w:rsidRPr="000A2024">
        <w:rPr>
          <w:rFonts w:ascii="Arial" w:hAnsi="Arial" w:cs="Arial"/>
          <w:sz w:val="24"/>
        </w:rPr>
        <w:t>Colafranceschi et al., 2013) afirman que los responsables de que los indicadores de pobreza mejorasen en Uruguay son el incremento de ingresos, la expansión económica, el alza de empleos y la implementación de una serie de políticas redistributivas. Cabe a destacar que estas políticas apuntaron a volver a calcular los salarios mínimos en Uruguay para renovar una negociación salarial de carácter tripartita y centralizada.</w:t>
      </w:r>
    </w:p>
    <w:p w:rsidR="00080599" w:rsidRPr="000A2024" w:rsidRDefault="00080599" w:rsidP="000C2E3C">
      <w:pPr>
        <w:pStyle w:val="SubTema"/>
        <w:spacing w:before="0" w:after="120"/>
        <w:rPr>
          <w:rFonts w:ascii="Arial" w:hAnsi="Arial" w:cs="Arial"/>
        </w:rPr>
      </w:pPr>
      <w:bookmarkStart w:id="43" w:name="_Toc450230518"/>
      <w:r w:rsidRPr="000A2024">
        <w:rPr>
          <w:rFonts w:ascii="Arial" w:hAnsi="Arial" w:cs="Arial"/>
        </w:rPr>
        <w:t>Dinámica de la pobreza en Uruguay.</w:t>
      </w:r>
      <w:bookmarkEnd w:id="43"/>
    </w:p>
    <w:p w:rsidR="00080599" w:rsidRPr="000A2024" w:rsidRDefault="00080599" w:rsidP="00080599">
      <w:pPr>
        <w:spacing w:after="120" w:line="360" w:lineRule="auto"/>
        <w:jc w:val="both"/>
        <w:rPr>
          <w:rFonts w:ascii="Arial" w:hAnsi="Arial" w:cs="Arial"/>
          <w:b/>
          <w:sz w:val="24"/>
          <w:szCs w:val="24"/>
        </w:rPr>
      </w:pPr>
      <w:r w:rsidRPr="000A2024">
        <w:rPr>
          <w:rFonts w:ascii="Arial" w:hAnsi="Arial" w:cs="Arial"/>
          <w:sz w:val="24"/>
        </w:rPr>
        <w:t>Colafranceschi et al. mencionan la pluralidad de las dimensiones que posee el enfoque de capacidades, el cual permite ampliar la perspectiva del análisis a diferencia de los enfoques basados únicamente en el ingreso que se encuentran restringidos en muchos aspectos.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Por otro lado, Colafranceschi et al. plantean que el enfoque de los derechos humanos, la mejora de las capacidades en cuanto al acceso de oportunidades mediante la disponibilidad de recursos, no garantiza mejora en otras dimensionas dentro del bienestar multidimensional.</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dicen que los índices de pobreza multidimensional son más agudizados y altos en comparación a los índices provenientes de un estudio de pobreza por ingresos. Esto se debe a que en un estudio multidimensional se consideran variables o dimensiones cuyos efectos no son constantes en el tiempo. Algunas dimensiones que presentan este tipo de comportamiento podrían ser la educación, acceso a cuidados de salud o condiciones de vivienda.</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Antía et al. (citado en Colafranceschi et al., 2013) en uno de sus trabajos de pobreza multidimensional en Uruguay concluye que a pesar de que gran proporción de los hogares hayan superado la pobreza de ingresos muchos siguen vulnerables a la pobreza multidimensional en dimensiones como las condiciones de vivienda, educación y generación de ingresos.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lastRenderedPageBreak/>
        <w:t>La Figura 1 presenta el valor mínimo que alcanzó la pobreza de ingresos durante un periodo de 21 años; este valor se encuentra como puede notarse durante el año 2011 y presenta niveles menores a la crisis del 2002. Por otro lado, cabe a destacar que, aunque la desigualdad ha presentado disminuciones constantes no ha tenido decrementos tan abruptos como la pobreza por ingresos.</w:t>
      </w:r>
    </w:p>
    <w:p w:rsidR="00387211" w:rsidRPr="000C2E3C" w:rsidRDefault="00080599" w:rsidP="000C2E3C">
      <w:pPr>
        <w:pStyle w:val="Prrafodelista"/>
        <w:spacing w:after="240"/>
        <w:jc w:val="center"/>
        <w:rPr>
          <w:rFonts w:ascii="Arial" w:hAnsi="Arial" w:cs="Arial"/>
          <w:sz w:val="24"/>
          <w:szCs w:val="24"/>
        </w:rPr>
      </w:pPr>
      <w:r w:rsidRPr="000A2024">
        <w:rPr>
          <w:rFonts w:ascii="Arial" w:hAnsi="Arial" w:cs="Arial"/>
          <w:b/>
          <w:noProof/>
          <w:sz w:val="24"/>
          <w:szCs w:val="24"/>
          <w:lang w:eastAsia="es-MX"/>
        </w:rPr>
        <w:drawing>
          <wp:inline distT="0" distB="0" distL="0" distR="0" wp14:anchorId="3ED4041D" wp14:editId="66AEA074">
            <wp:extent cx="3990975" cy="2133107"/>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028090" cy="2152944"/>
                    </a:xfrm>
                    <a:prstGeom prst="rect">
                      <a:avLst/>
                    </a:prstGeom>
                    <a:noFill/>
                    <a:ln w="9525">
                      <a:noFill/>
                      <a:miter lim="800000"/>
                      <a:headEnd/>
                      <a:tailEnd/>
                    </a:ln>
                  </pic:spPr>
                </pic:pic>
              </a:graphicData>
            </a:graphic>
          </wp:inline>
        </w:drawing>
      </w:r>
      <w:r w:rsidRPr="000A2024">
        <w:rPr>
          <w:rFonts w:ascii="Arial" w:hAnsi="Arial" w:cs="Arial"/>
          <w:sz w:val="24"/>
          <w:szCs w:val="24"/>
        </w:rPr>
        <w:br/>
        <w:t>Figura 1</w:t>
      </w:r>
      <w:r w:rsidRPr="000A2024">
        <w:rPr>
          <w:rStyle w:val="Refdenotaalpie"/>
          <w:rFonts w:ascii="Arial" w:hAnsi="Arial" w:cs="Arial"/>
        </w:rPr>
        <w:footnoteReference w:id="9"/>
      </w:r>
    </w:p>
    <w:p w:rsidR="00080599" w:rsidRPr="000A2024" w:rsidRDefault="00080599" w:rsidP="000C2E3C">
      <w:pPr>
        <w:pStyle w:val="SubTema"/>
        <w:spacing w:before="0" w:after="120"/>
        <w:rPr>
          <w:rFonts w:ascii="Arial" w:hAnsi="Arial" w:cs="Arial"/>
        </w:rPr>
      </w:pPr>
      <w:bookmarkStart w:id="44" w:name="_Toc450230519"/>
      <w:r w:rsidRPr="000A2024">
        <w:rPr>
          <w:rFonts w:ascii="Arial" w:hAnsi="Arial" w:cs="Arial"/>
        </w:rPr>
        <w:t>La multidimensionalidad de la pobreza y la desigualdad en Uruguay.</w:t>
      </w:r>
      <w:bookmarkEnd w:id="44"/>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szCs w:val="24"/>
        </w:rPr>
        <w:t xml:space="preserve">Según </w:t>
      </w:r>
      <w:r w:rsidRPr="000A2024">
        <w:rPr>
          <w:rFonts w:ascii="Arial" w:hAnsi="Arial" w:cs="Arial"/>
          <w:sz w:val="24"/>
        </w:rPr>
        <w:t>Colafranceschi et al. los estudios contemporáneos multidimensionales de la pobreza y la desigualdad se basan en los trabajos de Amartya Sen cuyo enfoque era dirigido hacia las capacidades y funcionamientos, es decir, si las capacidades para poder utilizar las oportunidades de alcanzar cualquier tipo de logro difieren en cada persona entonces la pobreza consiste en la falta de capacidades que permiten alcanzar logros mínimos en las distintas dimensiones consideradas.</w:t>
      </w:r>
    </w:p>
    <w:p w:rsidR="00080599" w:rsidRPr="000C2E3C" w:rsidRDefault="00080599" w:rsidP="000C2E3C">
      <w:pPr>
        <w:pStyle w:val="SubTema3SinNum"/>
        <w:spacing w:before="0" w:after="120"/>
        <w:rPr>
          <w:rFonts w:ascii="Arial" w:hAnsi="Arial" w:cs="Arial"/>
          <w:b w:val="0"/>
        </w:rPr>
      </w:pPr>
      <w:bookmarkStart w:id="45" w:name="_Toc450230520"/>
      <w:r w:rsidRPr="000C2E3C">
        <w:rPr>
          <w:rFonts w:ascii="Arial" w:hAnsi="Arial" w:cs="Arial"/>
          <w:b w:val="0"/>
        </w:rPr>
        <w:t>Las dimensiones y los indicadores utilizados en el trabajo de Colafranceschi et al. (2013).</w:t>
      </w:r>
      <w:bookmarkEnd w:id="45"/>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realizan una recopilación de distintos autores que previamente han realizado mediciones de la pobreza y la desigualdad en Uruguay bajo un enfoque multidimensional. Como se podrá apreciar, cada uno de estos autores posee una diferencia mínima en cuanto a las dimensiones utilizadas en el análisis.</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lastRenderedPageBreak/>
        <w:t>Antía et al. (2012)</w:t>
      </w:r>
    </w:p>
    <w:p w:rsidR="00080599" w:rsidRPr="000A2024" w:rsidRDefault="00080599" w:rsidP="00080599">
      <w:pPr>
        <w:pStyle w:val="Prrafodelista"/>
        <w:numPr>
          <w:ilvl w:val="0"/>
          <w:numId w:val="53"/>
        </w:numPr>
        <w:spacing w:after="120" w:line="360" w:lineRule="auto"/>
        <w:jc w:val="both"/>
        <w:rPr>
          <w:rFonts w:ascii="Arial" w:hAnsi="Arial" w:cs="Arial"/>
          <w:b/>
          <w:sz w:val="24"/>
          <w:szCs w:val="24"/>
        </w:rPr>
      </w:pPr>
      <w:r w:rsidRPr="000A2024">
        <w:rPr>
          <w:rFonts w:ascii="Arial" w:hAnsi="Arial" w:cs="Arial"/>
          <w:sz w:val="24"/>
          <w:szCs w:val="24"/>
        </w:rPr>
        <w:t>Para la medición de la pobreza y desigualdad multidimensionales, Antía toma como fuente de información a la ECH realizada durante el 2011.</w:t>
      </w:r>
    </w:p>
    <w:p w:rsidR="00080599" w:rsidRPr="000A2024" w:rsidRDefault="00080599" w:rsidP="00080599">
      <w:pPr>
        <w:pStyle w:val="Prrafodelista"/>
        <w:numPr>
          <w:ilvl w:val="0"/>
          <w:numId w:val="53"/>
        </w:numPr>
        <w:spacing w:after="120" w:line="360" w:lineRule="auto"/>
        <w:jc w:val="both"/>
        <w:rPr>
          <w:rFonts w:ascii="Arial" w:hAnsi="Arial" w:cs="Arial"/>
          <w:b/>
          <w:sz w:val="24"/>
          <w:szCs w:val="24"/>
        </w:rPr>
      </w:pPr>
      <w:r w:rsidRPr="000A2024">
        <w:rPr>
          <w:rFonts w:ascii="Arial" w:hAnsi="Arial" w:cs="Arial"/>
          <w:sz w:val="24"/>
          <w:szCs w:val="24"/>
        </w:rPr>
        <w:t>Utiliza las siguientes dimensiones:</w:t>
      </w:r>
    </w:p>
    <w:p w:rsidR="00080599" w:rsidRPr="000A2024" w:rsidRDefault="00080599" w:rsidP="00080599">
      <w:pPr>
        <w:pStyle w:val="Prrafodelista"/>
        <w:numPr>
          <w:ilvl w:val="2"/>
          <w:numId w:val="53"/>
        </w:numPr>
        <w:spacing w:after="120" w:line="360" w:lineRule="auto"/>
        <w:jc w:val="both"/>
        <w:rPr>
          <w:rFonts w:ascii="Arial" w:hAnsi="Arial" w:cs="Arial"/>
          <w:sz w:val="24"/>
          <w:szCs w:val="24"/>
        </w:rPr>
      </w:pPr>
      <w:r w:rsidRPr="000A2024">
        <w:rPr>
          <w:rFonts w:ascii="Arial" w:hAnsi="Arial" w:cs="Arial"/>
          <w:sz w:val="24"/>
          <w:szCs w:val="24"/>
        </w:rPr>
        <w:t>Educación: Cuyo indicador es el clima educativo.</w:t>
      </w:r>
    </w:p>
    <w:p w:rsidR="00080599" w:rsidRPr="000A2024" w:rsidRDefault="00080599" w:rsidP="00080599">
      <w:pPr>
        <w:pStyle w:val="Prrafodelista"/>
        <w:numPr>
          <w:ilvl w:val="2"/>
          <w:numId w:val="53"/>
        </w:numPr>
        <w:spacing w:after="120" w:line="360" w:lineRule="auto"/>
        <w:jc w:val="both"/>
        <w:rPr>
          <w:rFonts w:ascii="Arial" w:hAnsi="Arial" w:cs="Arial"/>
          <w:sz w:val="24"/>
          <w:szCs w:val="24"/>
        </w:rPr>
      </w:pPr>
      <w:r w:rsidRPr="000A2024">
        <w:rPr>
          <w:rFonts w:ascii="Arial" w:hAnsi="Arial" w:cs="Arial"/>
          <w:sz w:val="24"/>
          <w:szCs w:val="24"/>
        </w:rPr>
        <w:t>Trabajo: Toma por indicadores el clima laboral, el promedio de ingreso laboral y los menores de edad que son trabajadores.</w:t>
      </w:r>
    </w:p>
    <w:p w:rsidR="00080599" w:rsidRPr="000A2024" w:rsidRDefault="00080599" w:rsidP="00080599">
      <w:pPr>
        <w:pStyle w:val="Prrafodelista"/>
        <w:numPr>
          <w:ilvl w:val="2"/>
          <w:numId w:val="53"/>
        </w:numPr>
        <w:spacing w:after="120" w:line="360" w:lineRule="auto"/>
        <w:jc w:val="both"/>
        <w:rPr>
          <w:rFonts w:ascii="Arial" w:hAnsi="Arial" w:cs="Arial"/>
          <w:sz w:val="24"/>
          <w:szCs w:val="24"/>
        </w:rPr>
      </w:pPr>
      <w:r w:rsidRPr="000A2024">
        <w:rPr>
          <w:rFonts w:ascii="Arial" w:hAnsi="Arial" w:cs="Arial"/>
          <w:sz w:val="24"/>
          <w:szCs w:val="24"/>
        </w:rPr>
        <w:t>Confort: El cual es medido mediante un indicador de tenencia de bienes de confort.</w:t>
      </w:r>
    </w:p>
    <w:p w:rsidR="00080599" w:rsidRPr="000A2024" w:rsidRDefault="00080599" w:rsidP="00080599">
      <w:pPr>
        <w:pStyle w:val="Prrafodelista"/>
        <w:numPr>
          <w:ilvl w:val="2"/>
          <w:numId w:val="53"/>
        </w:numPr>
        <w:spacing w:after="120" w:line="360" w:lineRule="auto"/>
        <w:jc w:val="both"/>
        <w:rPr>
          <w:rFonts w:ascii="Arial" w:hAnsi="Arial" w:cs="Arial"/>
          <w:sz w:val="24"/>
          <w:szCs w:val="24"/>
        </w:rPr>
      </w:pPr>
      <w:r w:rsidRPr="000A2024">
        <w:rPr>
          <w:rFonts w:ascii="Arial" w:hAnsi="Arial" w:cs="Arial"/>
          <w:sz w:val="24"/>
          <w:szCs w:val="24"/>
        </w:rPr>
        <w:t>Vivienda: En este caso se utilizaron indicadores basados en materiales de la vivienda, tenencia de la vivienda y hacinamiento.</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Borrás et al. (2012)</w:t>
      </w:r>
    </w:p>
    <w:p w:rsidR="00080599" w:rsidRPr="000A2024" w:rsidRDefault="00080599" w:rsidP="00080599">
      <w:pPr>
        <w:pStyle w:val="Prrafodelista"/>
        <w:numPr>
          <w:ilvl w:val="0"/>
          <w:numId w:val="55"/>
        </w:numPr>
        <w:spacing w:after="120" w:line="360" w:lineRule="auto"/>
        <w:jc w:val="both"/>
        <w:rPr>
          <w:rFonts w:ascii="Arial" w:hAnsi="Arial" w:cs="Arial"/>
          <w:sz w:val="24"/>
          <w:szCs w:val="24"/>
        </w:rPr>
      </w:pPr>
      <w:r w:rsidRPr="000A2024">
        <w:rPr>
          <w:rFonts w:ascii="Arial" w:hAnsi="Arial" w:cs="Arial"/>
          <w:sz w:val="24"/>
          <w:szCs w:val="24"/>
        </w:rPr>
        <w:t>Borrás también toma como fuente de información a la ECH realizada durante el 2011.</w:t>
      </w:r>
    </w:p>
    <w:p w:rsidR="00080599" w:rsidRPr="000A2024" w:rsidRDefault="00080599" w:rsidP="00080599">
      <w:pPr>
        <w:pStyle w:val="Prrafodelista"/>
        <w:numPr>
          <w:ilvl w:val="0"/>
          <w:numId w:val="55"/>
        </w:numPr>
        <w:spacing w:after="120" w:line="360" w:lineRule="auto"/>
        <w:jc w:val="both"/>
        <w:rPr>
          <w:rFonts w:ascii="Arial" w:hAnsi="Arial" w:cs="Arial"/>
          <w:sz w:val="24"/>
          <w:szCs w:val="24"/>
        </w:rPr>
      </w:pPr>
      <w:r w:rsidRPr="000A2024">
        <w:rPr>
          <w:rFonts w:ascii="Arial" w:hAnsi="Arial" w:cs="Arial"/>
          <w:sz w:val="24"/>
          <w:szCs w:val="24"/>
        </w:rPr>
        <w:t>Utiliza las siguientes dimensiones:</w:t>
      </w:r>
    </w:p>
    <w:p w:rsidR="00080599" w:rsidRPr="000A2024" w:rsidRDefault="00080599" w:rsidP="00080599">
      <w:pPr>
        <w:pStyle w:val="Prrafodelista"/>
        <w:numPr>
          <w:ilvl w:val="0"/>
          <w:numId w:val="54"/>
        </w:numPr>
        <w:spacing w:after="120" w:line="360" w:lineRule="auto"/>
        <w:jc w:val="both"/>
        <w:rPr>
          <w:rFonts w:ascii="Arial" w:hAnsi="Arial" w:cs="Arial"/>
          <w:sz w:val="24"/>
          <w:szCs w:val="24"/>
        </w:rPr>
      </w:pPr>
      <w:r w:rsidRPr="000A2024">
        <w:rPr>
          <w:rFonts w:ascii="Arial" w:hAnsi="Arial" w:cs="Arial"/>
          <w:sz w:val="24"/>
          <w:szCs w:val="24"/>
        </w:rPr>
        <w:t>Educación: Cuyo indicador es el incumplimiento de la escolaridad mínima obligatoria que se encontraba vigente dentro de la normativa uruguaya.</w:t>
      </w:r>
    </w:p>
    <w:p w:rsidR="00080599" w:rsidRPr="000A2024" w:rsidRDefault="00080599" w:rsidP="00080599">
      <w:pPr>
        <w:pStyle w:val="Prrafodelista"/>
        <w:numPr>
          <w:ilvl w:val="0"/>
          <w:numId w:val="54"/>
        </w:numPr>
        <w:spacing w:after="120" w:line="360" w:lineRule="auto"/>
        <w:jc w:val="both"/>
        <w:rPr>
          <w:rFonts w:ascii="Arial" w:hAnsi="Arial" w:cs="Arial"/>
          <w:sz w:val="24"/>
          <w:szCs w:val="24"/>
        </w:rPr>
      </w:pPr>
      <w:r w:rsidRPr="000A2024">
        <w:rPr>
          <w:rFonts w:ascii="Arial" w:hAnsi="Arial" w:cs="Arial"/>
          <w:sz w:val="24"/>
          <w:szCs w:val="24"/>
        </w:rPr>
        <w:t>Vivienda y servicios: Borrás construye 10 indicadores para esta dimensión basados en mínimos definidos por el Plan Nacional de Viviendas</w:t>
      </w:r>
      <w:r w:rsidRPr="000A2024">
        <w:rPr>
          <w:rFonts w:ascii="Arial" w:hAnsi="Arial" w:cs="Arial"/>
          <w:sz w:val="24"/>
          <w:szCs w:val="24"/>
        </w:rPr>
        <w:footnoteReference w:id="10"/>
      </w:r>
      <w:r w:rsidRPr="000A2024">
        <w:rPr>
          <w:rFonts w:ascii="Arial" w:hAnsi="Arial" w:cs="Arial"/>
          <w:sz w:val="24"/>
          <w:szCs w:val="24"/>
        </w:rPr>
        <w:t xml:space="preserve"> dentro de la Ley 13,728.</w:t>
      </w:r>
    </w:p>
    <w:p w:rsidR="00080599" w:rsidRPr="000A2024" w:rsidRDefault="00080599" w:rsidP="00080599">
      <w:pPr>
        <w:pStyle w:val="Prrafodelista"/>
        <w:numPr>
          <w:ilvl w:val="0"/>
          <w:numId w:val="54"/>
        </w:numPr>
        <w:spacing w:after="120" w:line="360" w:lineRule="auto"/>
        <w:jc w:val="both"/>
        <w:rPr>
          <w:rFonts w:ascii="Arial" w:hAnsi="Arial" w:cs="Arial"/>
          <w:sz w:val="24"/>
          <w:szCs w:val="24"/>
        </w:rPr>
      </w:pPr>
      <w:r w:rsidRPr="000A2024">
        <w:rPr>
          <w:rFonts w:ascii="Arial" w:hAnsi="Arial" w:cs="Arial"/>
          <w:sz w:val="24"/>
          <w:szCs w:val="24"/>
        </w:rPr>
        <w:t>Salud: El indicador para Borrás son las personas cuyos derechos vigentes en instituciones de asistencia médica son privados.</w:t>
      </w:r>
    </w:p>
    <w:p w:rsidR="00080599" w:rsidRPr="000A2024" w:rsidRDefault="00080599" w:rsidP="00080599">
      <w:pPr>
        <w:pStyle w:val="Prrafodelista"/>
        <w:numPr>
          <w:ilvl w:val="0"/>
          <w:numId w:val="54"/>
        </w:numPr>
        <w:spacing w:after="120" w:line="360" w:lineRule="auto"/>
        <w:jc w:val="both"/>
        <w:rPr>
          <w:rFonts w:ascii="Arial" w:hAnsi="Arial" w:cs="Arial"/>
          <w:sz w:val="24"/>
          <w:szCs w:val="24"/>
        </w:rPr>
      </w:pPr>
      <w:r w:rsidRPr="000A2024">
        <w:rPr>
          <w:rFonts w:ascii="Arial" w:hAnsi="Arial" w:cs="Arial"/>
          <w:sz w:val="24"/>
          <w:szCs w:val="24"/>
        </w:rPr>
        <w:t>Derechos laborales y a la seguridad social: Los indicadores para esta dimensión se basan en las coberturas básicas que posee el ciudadano uruguayo, las cuales son dos.</w:t>
      </w:r>
    </w:p>
    <w:p w:rsidR="00080599" w:rsidRPr="000A2024" w:rsidRDefault="00080599" w:rsidP="00080599">
      <w:pPr>
        <w:pStyle w:val="Prrafodelista"/>
        <w:numPr>
          <w:ilvl w:val="0"/>
          <w:numId w:val="56"/>
        </w:numPr>
        <w:spacing w:after="120" w:line="360" w:lineRule="auto"/>
        <w:jc w:val="both"/>
        <w:rPr>
          <w:rFonts w:ascii="Arial" w:hAnsi="Arial" w:cs="Arial"/>
          <w:sz w:val="24"/>
          <w:szCs w:val="24"/>
        </w:rPr>
      </w:pPr>
      <w:r w:rsidRPr="000A2024">
        <w:rPr>
          <w:rFonts w:ascii="Arial" w:hAnsi="Arial" w:cs="Arial"/>
          <w:sz w:val="24"/>
          <w:szCs w:val="24"/>
        </w:rPr>
        <w:lastRenderedPageBreak/>
        <w:t>Cobertura de seguridad social directa. Cubre el aporte de un plan de jubilación para jubilados y pensionistas y beneficios a menores de alguna asignación familiar.</w:t>
      </w:r>
    </w:p>
    <w:p w:rsidR="00080599" w:rsidRPr="000A2024" w:rsidRDefault="00080599" w:rsidP="00080599">
      <w:pPr>
        <w:pStyle w:val="Prrafodelista"/>
        <w:numPr>
          <w:ilvl w:val="0"/>
          <w:numId w:val="56"/>
        </w:numPr>
        <w:spacing w:after="120" w:line="360" w:lineRule="auto"/>
        <w:jc w:val="both"/>
        <w:rPr>
          <w:rFonts w:ascii="Arial" w:hAnsi="Arial" w:cs="Arial"/>
          <w:sz w:val="24"/>
          <w:szCs w:val="24"/>
        </w:rPr>
      </w:pPr>
      <w:r w:rsidRPr="000A2024">
        <w:rPr>
          <w:rFonts w:ascii="Arial" w:hAnsi="Arial" w:cs="Arial"/>
          <w:sz w:val="24"/>
          <w:szCs w:val="24"/>
        </w:rPr>
        <w:t>Cobertura de seguridad social indirecta. Cuya cobertura son los beneficiarios de una cobertura mutual derivada de la adscripción a la seguridad social de otra persona.</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Lavalleja et al. (2012)</w:t>
      </w:r>
    </w:p>
    <w:p w:rsidR="00080599" w:rsidRPr="000A2024" w:rsidRDefault="00080599" w:rsidP="00080599">
      <w:pPr>
        <w:pStyle w:val="Prrafodelista"/>
        <w:numPr>
          <w:ilvl w:val="0"/>
          <w:numId w:val="57"/>
        </w:numPr>
        <w:spacing w:after="120" w:line="360" w:lineRule="auto"/>
        <w:jc w:val="both"/>
        <w:rPr>
          <w:rFonts w:ascii="Arial" w:hAnsi="Arial" w:cs="Arial"/>
          <w:sz w:val="24"/>
          <w:szCs w:val="24"/>
        </w:rPr>
      </w:pPr>
      <w:r w:rsidRPr="000A2024">
        <w:rPr>
          <w:rFonts w:ascii="Arial" w:hAnsi="Arial" w:cs="Arial"/>
          <w:sz w:val="24"/>
          <w:szCs w:val="24"/>
        </w:rPr>
        <w:t>Lavalleja se basa en la ECH realizada durante el 2010 como fuente de información para su estudio multidimensional.</w:t>
      </w:r>
    </w:p>
    <w:p w:rsidR="00080599" w:rsidRPr="000A2024" w:rsidRDefault="00080599" w:rsidP="00080599">
      <w:pPr>
        <w:pStyle w:val="Prrafodelista"/>
        <w:numPr>
          <w:ilvl w:val="0"/>
          <w:numId w:val="57"/>
        </w:numPr>
        <w:spacing w:after="120" w:line="360" w:lineRule="auto"/>
        <w:jc w:val="both"/>
        <w:rPr>
          <w:rFonts w:ascii="Arial" w:hAnsi="Arial" w:cs="Arial"/>
          <w:sz w:val="24"/>
          <w:szCs w:val="24"/>
        </w:rPr>
      </w:pPr>
      <w:r w:rsidRPr="000A2024">
        <w:rPr>
          <w:rFonts w:ascii="Arial" w:hAnsi="Arial" w:cs="Arial"/>
          <w:sz w:val="24"/>
          <w:szCs w:val="24"/>
        </w:rPr>
        <w:t>Utilizando las siguientes dimensiones:</w:t>
      </w:r>
    </w:p>
    <w:p w:rsidR="00080599" w:rsidRPr="000A2024" w:rsidRDefault="00080599" w:rsidP="00080599">
      <w:pPr>
        <w:pStyle w:val="Prrafodelista"/>
        <w:numPr>
          <w:ilvl w:val="0"/>
          <w:numId w:val="58"/>
        </w:numPr>
        <w:spacing w:after="120" w:line="360" w:lineRule="auto"/>
        <w:jc w:val="both"/>
        <w:rPr>
          <w:rFonts w:ascii="Arial" w:hAnsi="Arial" w:cs="Arial"/>
          <w:sz w:val="24"/>
          <w:szCs w:val="24"/>
        </w:rPr>
      </w:pPr>
      <w:r w:rsidRPr="000A2024">
        <w:rPr>
          <w:rFonts w:ascii="Arial" w:hAnsi="Arial" w:cs="Arial"/>
          <w:sz w:val="24"/>
          <w:szCs w:val="24"/>
        </w:rPr>
        <w:t>Educación: Similar a Antía, toma al clima educativo como indicador para esta dimensión.</w:t>
      </w:r>
    </w:p>
    <w:p w:rsidR="00080599" w:rsidRPr="000A2024" w:rsidRDefault="00080599" w:rsidP="00080599">
      <w:pPr>
        <w:pStyle w:val="Prrafodelista"/>
        <w:numPr>
          <w:ilvl w:val="0"/>
          <w:numId w:val="58"/>
        </w:numPr>
        <w:spacing w:after="120" w:line="360" w:lineRule="auto"/>
        <w:jc w:val="both"/>
        <w:rPr>
          <w:rFonts w:ascii="Arial" w:hAnsi="Arial" w:cs="Arial"/>
          <w:sz w:val="24"/>
          <w:szCs w:val="24"/>
        </w:rPr>
      </w:pPr>
      <w:r w:rsidRPr="000A2024">
        <w:rPr>
          <w:rFonts w:ascii="Arial" w:hAnsi="Arial" w:cs="Arial"/>
          <w:sz w:val="24"/>
          <w:szCs w:val="24"/>
        </w:rPr>
        <w:t>Vivienda: Es medida a través de los indicadores de Hacinamiento y la Situación estructural y coyuntural de la vivienda.</w:t>
      </w:r>
    </w:p>
    <w:p w:rsidR="00080599" w:rsidRPr="000A2024" w:rsidRDefault="00080599" w:rsidP="00080599">
      <w:pPr>
        <w:pStyle w:val="Prrafodelista"/>
        <w:numPr>
          <w:ilvl w:val="0"/>
          <w:numId w:val="58"/>
        </w:numPr>
        <w:spacing w:after="120" w:line="360" w:lineRule="auto"/>
        <w:jc w:val="both"/>
        <w:rPr>
          <w:rFonts w:ascii="Arial" w:hAnsi="Arial" w:cs="Arial"/>
          <w:sz w:val="24"/>
          <w:szCs w:val="24"/>
        </w:rPr>
      </w:pPr>
      <w:r w:rsidRPr="000A2024">
        <w:rPr>
          <w:rFonts w:ascii="Arial" w:hAnsi="Arial" w:cs="Arial"/>
          <w:sz w:val="24"/>
          <w:szCs w:val="24"/>
        </w:rPr>
        <w:t>Salud: Sus indicadores son la disponibilidad de los servicios sanitarios de la vivienda y aquellas personas que cuentan con atención en salud.</w:t>
      </w:r>
    </w:p>
    <w:p w:rsidR="00080599" w:rsidRPr="000A2024" w:rsidRDefault="00080599" w:rsidP="00080599">
      <w:pPr>
        <w:pStyle w:val="Prrafodelista"/>
        <w:numPr>
          <w:ilvl w:val="0"/>
          <w:numId w:val="58"/>
        </w:numPr>
        <w:spacing w:after="120" w:line="360" w:lineRule="auto"/>
        <w:jc w:val="both"/>
        <w:rPr>
          <w:rFonts w:ascii="Arial" w:hAnsi="Arial" w:cs="Arial"/>
          <w:sz w:val="24"/>
          <w:szCs w:val="24"/>
        </w:rPr>
      </w:pPr>
      <w:r w:rsidRPr="000A2024">
        <w:rPr>
          <w:rFonts w:ascii="Arial" w:hAnsi="Arial" w:cs="Arial"/>
          <w:sz w:val="24"/>
          <w:szCs w:val="24"/>
        </w:rPr>
        <w:t>Afiliación: En este caso se utilizaron indicadores basados en el acceso a medios de comunicación como teléfono o internet y en algunas de las afiliaciones institucionales uruguayas como por ejemplo;</w:t>
      </w:r>
    </w:p>
    <w:p w:rsidR="00080599" w:rsidRPr="000A2024" w:rsidRDefault="00080599" w:rsidP="00080599">
      <w:pPr>
        <w:pStyle w:val="Prrafodelista"/>
        <w:numPr>
          <w:ilvl w:val="0"/>
          <w:numId w:val="56"/>
        </w:numPr>
        <w:spacing w:after="120" w:line="360" w:lineRule="auto"/>
        <w:jc w:val="both"/>
        <w:rPr>
          <w:rFonts w:ascii="Arial" w:hAnsi="Arial" w:cs="Arial"/>
          <w:sz w:val="24"/>
          <w:szCs w:val="24"/>
        </w:rPr>
      </w:pPr>
      <w:r w:rsidRPr="000A2024">
        <w:rPr>
          <w:rFonts w:ascii="Arial" w:hAnsi="Arial" w:cs="Arial"/>
          <w:sz w:val="24"/>
          <w:szCs w:val="24"/>
        </w:rPr>
        <w:t>Asistencia al sistema educativo (menores de 15 años).</w:t>
      </w:r>
    </w:p>
    <w:p w:rsidR="00080599" w:rsidRPr="000A2024" w:rsidRDefault="00080599" w:rsidP="00080599">
      <w:pPr>
        <w:pStyle w:val="Prrafodelista"/>
        <w:numPr>
          <w:ilvl w:val="0"/>
          <w:numId w:val="56"/>
        </w:numPr>
        <w:spacing w:after="120" w:line="360" w:lineRule="auto"/>
        <w:jc w:val="both"/>
        <w:rPr>
          <w:rFonts w:ascii="Arial" w:hAnsi="Arial" w:cs="Arial"/>
          <w:sz w:val="24"/>
          <w:szCs w:val="24"/>
        </w:rPr>
      </w:pPr>
      <w:r w:rsidRPr="000A2024">
        <w:rPr>
          <w:rFonts w:ascii="Arial" w:hAnsi="Arial" w:cs="Arial"/>
          <w:sz w:val="24"/>
          <w:szCs w:val="24"/>
        </w:rPr>
        <w:t>Asistencia al sistema educativo o trabajo renumerado (entre 15 y 17 años).</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Nathan y Zerpa (2011)</w:t>
      </w:r>
    </w:p>
    <w:p w:rsidR="00080599" w:rsidRPr="000A2024" w:rsidRDefault="00080599" w:rsidP="00080599">
      <w:pPr>
        <w:pStyle w:val="Prrafodelista"/>
        <w:numPr>
          <w:ilvl w:val="0"/>
          <w:numId w:val="59"/>
        </w:numPr>
        <w:spacing w:after="120" w:line="360" w:lineRule="auto"/>
        <w:jc w:val="both"/>
        <w:rPr>
          <w:rFonts w:ascii="Arial" w:hAnsi="Arial" w:cs="Arial"/>
          <w:sz w:val="24"/>
          <w:szCs w:val="24"/>
        </w:rPr>
      </w:pPr>
      <w:r w:rsidRPr="000A2024">
        <w:rPr>
          <w:rFonts w:ascii="Arial" w:hAnsi="Arial" w:cs="Arial"/>
          <w:sz w:val="24"/>
          <w:szCs w:val="24"/>
        </w:rPr>
        <w:t>Nathan y Zerpa realizan su medición de pobreza y desigualdad multidimensional en base a la Encuesta de Situaciones Familiares y Desempeños Sociales realizada durante el periodo 2007 - 2008.</w:t>
      </w:r>
    </w:p>
    <w:p w:rsidR="00080599" w:rsidRPr="000A2024" w:rsidRDefault="00080599" w:rsidP="00080599">
      <w:pPr>
        <w:pStyle w:val="Prrafodelista"/>
        <w:numPr>
          <w:ilvl w:val="0"/>
          <w:numId w:val="59"/>
        </w:numPr>
        <w:spacing w:after="120" w:line="360" w:lineRule="auto"/>
        <w:jc w:val="both"/>
        <w:rPr>
          <w:rFonts w:ascii="Arial" w:hAnsi="Arial" w:cs="Arial"/>
          <w:sz w:val="24"/>
          <w:szCs w:val="24"/>
        </w:rPr>
      </w:pPr>
      <w:r w:rsidRPr="000A2024">
        <w:rPr>
          <w:rFonts w:ascii="Arial" w:hAnsi="Arial" w:cs="Arial"/>
          <w:sz w:val="24"/>
          <w:szCs w:val="24"/>
        </w:rPr>
        <w:t>Utilizan las siguientes 7 dimensiones:</w:t>
      </w:r>
    </w:p>
    <w:p w:rsidR="00080599" w:rsidRPr="000A2024" w:rsidRDefault="00080599" w:rsidP="00080599">
      <w:pPr>
        <w:pStyle w:val="Prrafodelista"/>
        <w:numPr>
          <w:ilvl w:val="0"/>
          <w:numId w:val="60"/>
        </w:numPr>
        <w:spacing w:after="120" w:line="360" w:lineRule="auto"/>
        <w:jc w:val="both"/>
        <w:rPr>
          <w:rFonts w:ascii="Arial" w:hAnsi="Arial" w:cs="Arial"/>
          <w:sz w:val="24"/>
          <w:szCs w:val="24"/>
        </w:rPr>
      </w:pPr>
      <w:r w:rsidRPr="000A2024">
        <w:rPr>
          <w:rFonts w:ascii="Arial" w:hAnsi="Arial" w:cs="Arial"/>
          <w:sz w:val="24"/>
          <w:szCs w:val="24"/>
        </w:rPr>
        <w:lastRenderedPageBreak/>
        <w:t>Estado de Salud: Cuyo indicador es la percepción que posee una madre del estado general de salud del niño.</w:t>
      </w:r>
    </w:p>
    <w:p w:rsidR="00080599" w:rsidRPr="000A2024" w:rsidRDefault="00080599" w:rsidP="00080599">
      <w:pPr>
        <w:pStyle w:val="Prrafodelista"/>
        <w:numPr>
          <w:ilvl w:val="0"/>
          <w:numId w:val="60"/>
        </w:numPr>
        <w:spacing w:after="120" w:line="360" w:lineRule="auto"/>
        <w:jc w:val="both"/>
        <w:rPr>
          <w:rFonts w:ascii="Arial" w:hAnsi="Arial" w:cs="Arial"/>
          <w:sz w:val="24"/>
          <w:szCs w:val="24"/>
        </w:rPr>
      </w:pPr>
      <w:r w:rsidRPr="000A2024">
        <w:rPr>
          <w:rFonts w:ascii="Arial" w:hAnsi="Arial" w:cs="Arial"/>
          <w:sz w:val="24"/>
          <w:szCs w:val="24"/>
        </w:rPr>
        <w:t>Violencia familiar: El indicador es la frecuencia de las prácticas de aplicar castigos físicos a los niños por parte de sus madres.</w:t>
      </w:r>
    </w:p>
    <w:p w:rsidR="00080599" w:rsidRPr="000A2024" w:rsidRDefault="00080599" w:rsidP="00080599">
      <w:pPr>
        <w:pStyle w:val="Prrafodelista"/>
        <w:numPr>
          <w:ilvl w:val="0"/>
          <w:numId w:val="60"/>
        </w:numPr>
        <w:spacing w:after="120" w:line="360" w:lineRule="auto"/>
        <w:jc w:val="both"/>
        <w:rPr>
          <w:rFonts w:ascii="Arial" w:hAnsi="Arial" w:cs="Arial"/>
          <w:sz w:val="24"/>
          <w:szCs w:val="24"/>
        </w:rPr>
      </w:pPr>
      <w:r w:rsidRPr="000A2024">
        <w:rPr>
          <w:rFonts w:ascii="Arial" w:hAnsi="Arial" w:cs="Arial"/>
          <w:sz w:val="24"/>
          <w:szCs w:val="24"/>
        </w:rPr>
        <w:t>Salud psicológica: El cual es medido mediante el resultado del Test SDQ como indicador.</w:t>
      </w:r>
    </w:p>
    <w:p w:rsidR="00080599" w:rsidRPr="000A2024" w:rsidRDefault="00080599" w:rsidP="00080599">
      <w:pPr>
        <w:pStyle w:val="Prrafodelista"/>
        <w:numPr>
          <w:ilvl w:val="0"/>
          <w:numId w:val="60"/>
        </w:numPr>
        <w:spacing w:after="120" w:line="360" w:lineRule="auto"/>
        <w:jc w:val="both"/>
        <w:rPr>
          <w:rFonts w:ascii="Arial" w:hAnsi="Arial" w:cs="Arial"/>
          <w:sz w:val="24"/>
          <w:szCs w:val="24"/>
        </w:rPr>
      </w:pPr>
      <w:r w:rsidRPr="000A2024">
        <w:rPr>
          <w:rFonts w:ascii="Arial" w:hAnsi="Arial" w:cs="Arial"/>
          <w:sz w:val="24"/>
          <w:szCs w:val="24"/>
        </w:rPr>
        <w:t>Educación (enfocada a la deserción o rezago escolar): El indicador para esta dimensión según Nathan y Zerpa es el nivel de asistencia y nivel educativo alcanzados con respecto a la edad.</w:t>
      </w:r>
    </w:p>
    <w:p w:rsidR="00080599" w:rsidRPr="000A2024" w:rsidRDefault="00080599" w:rsidP="00080599">
      <w:pPr>
        <w:pStyle w:val="Prrafodelista"/>
        <w:numPr>
          <w:ilvl w:val="0"/>
          <w:numId w:val="60"/>
        </w:numPr>
        <w:spacing w:after="120" w:line="360" w:lineRule="auto"/>
        <w:jc w:val="both"/>
        <w:rPr>
          <w:rFonts w:ascii="Arial" w:hAnsi="Arial" w:cs="Arial"/>
          <w:sz w:val="24"/>
          <w:szCs w:val="24"/>
        </w:rPr>
      </w:pPr>
      <w:r w:rsidRPr="000A2024">
        <w:rPr>
          <w:rFonts w:ascii="Arial" w:hAnsi="Arial" w:cs="Arial"/>
          <w:sz w:val="24"/>
          <w:szCs w:val="24"/>
        </w:rPr>
        <w:t>Trabajo infantil de tipo remunerado y doméstico: Condición de actividad económica infantil.</w:t>
      </w:r>
    </w:p>
    <w:p w:rsidR="00080599" w:rsidRPr="000A2024" w:rsidRDefault="00080599" w:rsidP="00080599">
      <w:pPr>
        <w:pStyle w:val="Prrafodelista"/>
        <w:numPr>
          <w:ilvl w:val="0"/>
          <w:numId w:val="60"/>
        </w:numPr>
        <w:spacing w:after="120" w:line="360" w:lineRule="auto"/>
        <w:jc w:val="both"/>
        <w:rPr>
          <w:rFonts w:ascii="Arial" w:hAnsi="Arial" w:cs="Arial"/>
          <w:sz w:val="24"/>
          <w:szCs w:val="24"/>
        </w:rPr>
      </w:pPr>
      <w:r w:rsidRPr="000A2024">
        <w:rPr>
          <w:rFonts w:ascii="Arial" w:hAnsi="Arial" w:cs="Arial"/>
          <w:sz w:val="24"/>
          <w:szCs w:val="24"/>
        </w:rPr>
        <w:t>Condiciones habitacionales: Hacinamiento.</w:t>
      </w:r>
    </w:p>
    <w:p w:rsidR="00080599" w:rsidRPr="000A2024" w:rsidRDefault="00080599" w:rsidP="00080599">
      <w:pPr>
        <w:pStyle w:val="Prrafodelista"/>
        <w:numPr>
          <w:ilvl w:val="0"/>
          <w:numId w:val="60"/>
        </w:numPr>
        <w:spacing w:after="120" w:line="360" w:lineRule="auto"/>
        <w:jc w:val="both"/>
        <w:rPr>
          <w:rFonts w:ascii="Arial" w:hAnsi="Arial" w:cs="Arial"/>
          <w:sz w:val="24"/>
          <w:szCs w:val="24"/>
        </w:rPr>
      </w:pPr>
      <w:r w:rsidRPr="000A2024">
        <w:rPr>
          <w:rFonts w:ascii="Arial" w:hAnsi="Arial" w:cs="Arial"/>
          <w:sz w:val="24"/>
          <w:szCs w:val="24"/>
        </w:rPr>
        <w:t>Participación en actividades extracurriculares y de tiempo libre: se construyeron cinco indicadores en base al nivel de participación en diversas actividades.</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Alves y Zerpa (2011)</w:t>
      </w:r>
    </w:p>
    <w:p w:rsidR="00080599" w:rsidRPr="000A2024" w:rsidRDefault="00080599" w:rsidP="00080599">
      <w:pPr>
        <w:pStyle w:val="Prrafodelista"/>
        <w:numPr>
          <w:ilvl w:val="0"/>
          <w:numId w:val="61"/>
        </w:numPr>
        <w:spacing w:after="120" w:line="360" w:lineRule="auto"/>
        <w:jc w:val="both"/>
        <w:rPr>
          <w:rFonts w:ascii="Arial" w:hAnsi="Arial" w:cs="Arial"/>
          <w:sz w:val="24"/>
          <w:szCs w:val="24"/>
        </w:rPr>
      </w:pPr>
      <w:r w:rsidRPr="000A2024">
        <w:rPr>
          <w:rFonts w:ascii="Arial" w:hAnsi="Arial" w:cs="Arial"/>
          <w:sz w:val="24"/>
          <w:szCs w:val="24"/>
        </w:rPr>
        <w:t>Para la medición de la pobreza y desigualdad multidimensionales, Alves y Zerpa tomaron como fuente de información a la ECH realizada durante el 2008.</w:t>
      </w:r>
    </w:p>
    <w:p w:rsidR="00080599" w:rsidRPr="000A2024" w:rsidRDefault="00080599" w:rsidP="00080599">
      <w:pPr>
        <w:pStyle w:val="Prrafodelista"/>
        <w:numPr>
          <w:ilvl w:val="0"/>
          <w:numId w:val="61"/>
        </w:numPr>
        <w:spacing w:after="120" w:line="360" w:lineRule="auto"/>
        <w:jc w:val="both"/>
        <w:rPr>
          <w:rFonts w:ascii="Arial" w:hAnsi="Arial" w:cs="Arial"/>
          <w:sz w:val="24"/>
          <w:szCs w:val="24"/>
        </w:rPr>
      </w:pPr>
      <w:r w:rsidRPr="000A2024">
        <w:rPr>
          <w:rFonts w:ascii="Arial" w:hAnsi="Arial" w:cs="Arial"/>
          <w:sz w:val="24"/>
          <w:szCs w:val="24"/>
        </w:rPr>
        <w:t>Utiliza las siguientes dimensiones:</w:t>
      </w:r>
    </w:p>
    <w:p w:rsidR="00080599" w:rsidRPr="000A2024" w:rsidRDefault="00080599" w:rsidP="00080599">
      <w:pPr>
        <w:pStyle w:val="Prrafodelista"/>
        <w:numPr>
          <w:ilvl w:val="0"/>
          <w:numId w:val="62"/>
        </w:numPr>
        <w:spacing w:after="120" w:line="360" w:lineRule="auto"/>
        <w:jc w:val="both"/>
        <w:rPr>
          <w:rFonts w:ascii="Arial" w:hAnsi="Arial" w:cs="Arial"/>
          <w:sz w:val="24"/>
          <w:szCs w:val="24"/>
        </w:rPr>
      </w:pPr>
      <w:r w:rsidRPr="000A2024">
        <w:rPr>
          <w:rFonts w:ascii="Arial" w:hAnsi="Arial" w:cs="Arial"/>
          <w:sz w:val="24"/>
          <w:szCs w:val="24"/>
        </w:rPr>
        <w:t>Educación: Los indicadores utilizados para medir esta dimensión son una combinación de asistencia al sistema educativo, rezago escolar y la culminación del ciclo básico escolar.</w:t>
      </w:r>
    </w:p>
    <w:p w:rsidR="00080599" w:rsidRPr="000A2024" w:rsidRDefault="00080599" w:rsidP="00080599">
      <w:pPr>
        <w:pStyle w:val="Prrafodelista"/>
        <w:numPr>
          <w:ilvl w:val="0"/>
          <w:numId w:val="62"/>
        </w:numPr>
        <w:spacing w:after="120" w:line="360" w:lineRule="auto"/>
        <w:jc w:val="both"/>
        <w:rPr>
          <w:rFonts w:ascii="Arial" w:hAnsi="Arial" w:cs="Arial"/>
          <w:sz w:val="24"/>
          <w:szCs w:val="24"/>
        </w:rPr>
      </w:pPr>
      <w:r w:rsidRPr="000A2024">
        <w:rPr>
          <w:rFonts w:ascii="Arial" w:hAnsi="Arial" w:cs="Arial"/>
          <w:sz w:val="24"/>
          <w:szCs w:val="24"/>
        </w:rPr>
        <w:t>Vivienda: Toma por indicadores la calidad estructural de la vivienda y el hacinamiento.</w:t>
      </w:r>
    </w:p>
    <w:p w:rsidR="00080599" w:rsidRPr="000A2024" w:rsidRDefault="00080599" w:rsidP="00080599">
      <w:pPr>
        <w:pStyle w:val="Prrafodelista"/>
        <w:numPr>
          <w:ilvl w:val="0"/>
          <w:numId w:val="62"/>
        </w:numPr>
        <w:spacing w:after="120" w:line="360" w:lineRule="auto"/>
        <w:jc w:val="both"/>
        <w:rPr>
          <w:rFonts w:ascii="Arial" w:hAnsi="Arial" w:cs="Arial"/>
          <w:sz w:val="24"/>
          <w:szCs w:val="24"/>
        </w:rPr>
      </w:pPr>
      <w:r w:rsidRPr="000A2024">
        <w:rPr>
          <w:rFonts w:ascii="Arial" w:hAnsi="Arial" w:cs="Arial"/>
          <w:sz w:val="24"/>
          <w:szCs w:val="24"/>
        </w:rPr>
        <w:t xml:space="preserve">Salud: Para Alves y Zerpa los indicadores de esta dimensión fueron basados en la disponibilidad del servicio sanitario en </w:t>
      </w:r>
      <w:r w:rsidRPr="000A2024">
        <w:rPr>
          <w:rFonts w:ascii="Arial" w:hAnsi="Arial" w:cs="Arial"/>
          <w:sz w:val="24"/>
          <w:szCs w:val="24"/>
        </w:rPr>
        <w:lastRenderedPageBreak/>
        <w:t>la vivienda y que los miembros de la familia cuenten con atención en salud.</w:t>
      </w:r>
    </w:p>
    <w:p w:rsidR="00080599" w:rsidRPr="000A2024" w:rsidRDefault="00080599" w:rsidP="00080599">
      <w:pPr>
        <w:pStyle w:val="Prrafodelista"/>
        <w:numPr>
          <w:ilvl w:val="0"/>
          <w:numId w:val="62"/>
        </w:numPr>
        <w:spacing w:after="120" w:line="360" w:lineRule="auto"/>
        <w:jc w:val="both"/>
        <w:rPr>
          <w:rFonts w:ascii="Arial" w:hAnsi="Arial" w:cs="Arial"/>
          <w:sz w:val="24"/>
          <w:szCs w:val="24"/>
        </w:rPr>
      </w:pPr>
      <w:r w:rsidRPr="000A2024">
        <w:rPr>
          <w:rFonts w:ascii="Arial" w:hAnsi="Arial" w:cs="Arial"/>
          <w:sz w:val="24"/>
          <w:szCs w:val="24"/>
        </w:rPr>
        <w:t>Afiliación: También utilizan indicadores basados en el acceso a medios de comunicación como teléfono o internet y en algunas de las afiliaciones institucionales uruguayas como por ejemplo;</w:t>
      </w:r>
    </w:p>
    <w:p w:rsidR="00080599" w:rsidRPr="000A2024" w:rsidRDefault="00080599" w:rsidP="00080599">
      <w:pPr>
        <w:pStyle w:val="Prrafodelista"/>
        <w:numPr>
          <w:ilvl w:val="0"/>
          <w:numId w:val="63"/>
        </w:numPr>
        <w:spacing w:after="120" w:line="360" w:lineRule="auto"/>
        <w:jc w:val="both"/>
        <w:rPr>
          <w:rFonts w:ascii="Arial" w:hAnsi="Arial" w:cs="Arial"/>
          <w:sz w:val="24"/>
          <w:szCs w:val="24"/>
        </w:rPr>
      </w:pPr>
      <w:r w:rsidRPr="000A2024">
        <w:rPr>
          <w:rFonts w:ascii="Arial" w:hAnsi="Arial" w:cs="Arial"/>
          <w:sz w:val="24"/>
          <w:szCs w:val="24"/>
        </w:rPr>
        <w:t>Asistencia al sistema educativo (menores de 15 años).</w:t>
      </w:r>
    </w:p>
    <w:p w:rsidR="00080599" w:rsidRPr="000A2024" w:rsidRDefault="00080599" w:rsidP="00E744DE">
      <w:pPr>
        <w:pStyle w:val="Prrafodelista"/>
        <w:numPr>
          <w:ilvl w:val="0"/>
          <w:numId w:val="63"/>
        </w:numPr>
        <w:spacing w:after="120" w:line="360" w:lineRule="auto"/>
        <w:jc w:val="both"/>
        <w:rPr>
          <w:rFonts w:ascii="Arial" w:hAnsi="Arial" w:cs="Arial"/>
          <w:sz w:val="24"/>
          <w:szCs w:val="24"/>
        </w:rPr>
      </w:pPr>
      <w:r w:rsidRPr="000A2024">
        <w:rPr>
          <w:rFonts w:ascii="Arial" w:hAnsi="Arial" w:cs="Arial"/>
          <w:sz w:val="24"/>
          <w:szCs w:val="24"/>
        </w:rPr>
        <w:t>Asistencia al sistema educativo o trabajo renumerado (entre 15 y 17 años).</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Battistón, Cruces, López-Calva, Lugo y Santos (2010)</w:t>
      </w:r>
    </w:p>
    <w:p w:rsidR="00080599" w:rsidRPr="000A2024" w:rsidRDefault="00080599" w:rsidP="00080599">
      <w:pPr>
        <w:pStyle w:val="Prrafodelista"/>
        <w:numPr>
          <w:ilvl w:val="0"/>
          <w:numId w:val="64"/>
        </w:numPr>
        <w:spacing w:after="120" w:line="360" w:lineRule="auto"/>
        <w:jc w:val="both"/>
        <w:rPr>
          <w:rFonts w:ascii="Arial" w:hAnsi="Arial" w:cs="Arial"/>
          <w:sz w:val="24"/>
          <w:szCs w:val="24"/>
        </w:rPr>
      </w:pPr>
      <w:r w:rsidRPr="000A2024">
        <w:rPr>
          <w:rFonts w:ascii="Arial" w:hAnsi="Arial" w:cs="Arial"/>
          <w:sz w:val="24"/>
          <w:szCs w:val="24"/>
        </w:rPr>
        <w:t>Battistón et al. Utilizan la base de datos socioeconómica de América Latina y el Caribe (SEDLAC por sus siglas en inglés) para realizar su medición.</w:t>
      </w:r>
    </w:p>
    <w:p w:rsidR="00080599" w:rsidRPr="000A2024" w:rsidRDefault="00080599" w:rsidP="00080599">
      <w:pPr>
        <w:pStyle w:val="Prrafodelista"/>
        <w:numPr>
          <w:ilvl w:val="0"/>
          <w:numId w:val="64"/>
        </w:numPr>
        <w:spacing w:after="120" w:line="360" w:lineRule="auto"/>
        <w:jc w:val="both"/>
        <w:rPr>
          <w:rFonts w:ascii="Arial" w:hAnsi="Arial" w:cs="Arial"/>
          <w:sz w:val="24"/>
          <w:szCs w:val="24"/>
        </w:rPr>
      </w:pPr>
      <w:r w:rsidRPr="000A2024">
        <w:rPr>
          <w:rFonts w:ascii="Arial" w:hAnsi="Arial" w:cs="Arial"/>
          <w:sz w:val="24"/>
          <w:szCs w:val="24"/>
        </w:rPr>
        <w:t>Utilizan las siguientes dimensiones:</w:t>
      </w:r>
    </w:p>
    <w:p w:rsidR="00080599" w:rsidRPr="000A2024" w:rsidRDefault="00080599" w:rsidP="00080599">
      <w:pPr>
        <w:pStyle w:val="Prrafodelista"/>
        <w:numPr>
          <w:ilvl w:val="0"/>
          <w:numId w:val="65"/>
        </w:numPr>
        <w:spacing w:after="120" w:line="360" w:lineRule="auto"/>
        <w:jc w:val="both"/>
        <w:rPr>
          <w:rFonts w:ascii="Arial" w:hAnsi="Arial" w:cs="Arial"/>
          <w:sz w:val="24"/>
          <w:szCs w:val="24"/>
        </w:rPr>
      </w:pPr>
      <w:r w:rsidRPr="000A2024">
        <w:rPr>
          <w:rFonts w:ascii="Arial" w:hAnsi="Arial" w:cs="Arial"/>
          <w:sz w:val="24"/>
          <w:szCs w:val="24"/>
        </w:rPr>
        <w:t>Control sobre recursos: indicadores basados en el ingreso per cápita del hogar.</w:t>
      </w:r>
    </w:p>
    <w:p w:rsidR="00080599" w:rsidRPr="000A2024" w:rsidRDefault="00080599" w:rsidP="00080599">
      <w:pPr>
        <w:pStyle w:val="Prrafodelista"/>
        <w:numPr>
          <w:ilvl w:val="0"/>
          <w:numId w:val="65"/>
        </w:numPr>
        <w:spacing w:after="120" w:line="360" w:lineRule="auto"/>
        <w:jc w:val="both"/>
        <w:rPr>
          <w:rFonts w:ascii="Arial" w:hAnsi="Arial" w:cs="Arial"/>
          <w:sz w:val="24"/>
          <w:szCs w:val="24"/>
        </w:rPr>
      </w:pPr>
      <w:r w:rsidRPr="000A2024">
        <w:rPr>
          <w:rFonts w:ascii="Arial" w:hAnsi="Arial" w:cs="Arial"/>
          <w:sz w:val="24"/>
          <w:szCs w:val="24"/>
        </w:rPr>
        <w:t>Vivienda: Toma por indicadores la calidad estructural de la vivienda y el hacinamiento.</w:t>
      </w:r>
    </w:p>
    <w:p w:rsidR="00080599" w:rsidRPr="000A2024" w:rsidRDefault="00080599" w:rsidP="00080599">
      <w:pPr>
        <w:pStyle w:val="Prrafodelista"/>
        <w:numPr>
          <w:ilvl w:val="0"/>
          <w:numId w:val="65"/>
        </w:numPr>
        <w:spacing w:after="120" w:line="360" w:lineRule="auto"/>
        <w:jc w:val="both"/>
        <w:rPr>
          <w:rFonts w:ascii="Arial" w:hAnsi="Arial" w:cs="Arial"/>
          <w:sz w:val="24"/>
          <w:szCs w:val="24"/>
        </w:rPr>
      </w:pPr>
      <w:r w:rsidRPr="000A2024">
        <w:rPr>
          <w:rFonts w:ascii="Arial" w:hAnsi="Arial" w:cs="Arial"/>
          <w:sz w:val="24"/>
          <w:szCs w:val="24"/>
        </w:rPr>
        <w:t xml:space="preserve">Educación: </w:t>
      </w:r>
    </w:p>
    <w:p w:rsidR="00080599" w:rsidRPr="000A2024" w:rsidRDefault="00080599" w:rsidP="00080599">
      <w:pPr>
        <w:pStyle w:val="Prrafodelista"/>
        <w:numPr>
          <w:ilvl w:val="0"/>
          <w:numId w:val="63"/>
        </w:numPr>
        <w:spacing w:after="120" w:line="360" w:lineRule="auto"/>
        <w:jc w:val="both"/>
        <w:rPr>
          <w:rFonts w:ascii="Arial" w:hAnsi="Arial" w:cs="Arial"/>
          <w:sz w:val="24"/>
          <w:szCs w:val="24"/>
        </w:rPr>
      </w:pPr>
      <w:r w:rsidRPr="000A2024">
        <w:rPr>
          <w:rFonts w:ascii="Arial" w:hAnsi="Arial" w:cs="Arial"/>
          <w:sz w:val="24"/>
          <w:szCs w:val="24"/>
        </w:rPr>
        <w:t>Nivel educativo del padre o jefe de familia.</w:t>
      </w:r>
    </w:p>
    <w:p w:rsidR="00080599" w:rsidRPr="000A2024" w:rsidRDefault="00080599" w:rsidP="00080599">
      <w:pPr>
        <w:pStyle w:val="Prrafodelista"/>
        <w:numPr>
          <w:ilvl w:val="0"/>
          <w:numId w:val="63"/>
        </w:numPr>
        <w:spacing w:after="120" w:line="360" w:lineRule="auto"/>
        <w:jc w:val="both"/>
        <w:rPr>
          <w:rFonts w:ascii="Arial" w:hAnsi="Arial" w:cs="Arial"/>
          <w:sz w:val="24"/>
          <w:szCs w:val="24"/>
        </w:rPr>
      </w:pPr>
      <w:r w:rsidRPr="000A2024">
        <w:rPr>
          <w:rFonts w:ascii="Arial" w:hAnsi="Arial" w:cs="Arial"/>
          <w:sz w:val="24"/>
          <w:szCs w:val="24"/>
        </w:rPr>
        <w:t>Saneamiento.</w:t>
      </w:r>
    </w:p>
    <w:p w:rsidR="00080599" w:rsidRPr="000A2024" w:rsidRDefault="00080599" w:rsidP="00080599">
      <w:pPr>
        <w:pStyle w:val="Prrafodelista"/>
        <w:numPr>
          <w:ilvl w:val="0"/>
          <w:numId w:val="63"/>
        </w:numPr>
        <w:spacing w:after="120" w:line="360" w:lineRule="auto"/>
        <w:jc w:val="both"/>
        <w:rPr>
          <w:rFonts w:ascii="Arial" w:hAnsi="Arial" w:cs="Arial"/>
          <w:sz w:val="24"/>
          <w:szCs w:val="24"/>
        </w:rPr>
      </w:pPr>
      <w:r w:rsidRPr="000A2024">
        <w:rPr>
          <w:rFonts w:ascii="Arial" w:hAnsi="Arial" w:cs="Arial"/>
          <w:sz w:val="24"/>
          <w:szCs w:val="24"/>
        </w:rPr>
        <w:t>Servicios de suministro de agua.</w:t>
      </w:r>
    </w:p>
    <w:p w:rsidR="00080599" w:rsidRPr="000A2024" w:rsidRDefault="00080599" w:rsidP="00080599">
      <w:pPr>
        <w:pStyle w:val="Prrafodelista"/>
        <w:numPr>
          <w:ilvl w:val="0"/>
          <w:numId w:val="63"/>
        </w:numPr>
        <w:spacing w:after="120" w:line="360" w:lineRule="auto"/>
        <w:jc w:val="both"/>
        <w:rPr>
          <w:rFonts w:ascii="Arial" w:hAnsi="Arial" w:cs="Arial"/>
          <w:sz w:val="24"/>
          <w:szCs w:val="24"/>
        </w:rPr>
      </w:pPr>
      <w:r w:rsidRPr="000A2024">
        <w:rPr>
          <w:rFonts w:ascii="Arial" w:hAnsi="Arial" w:cs="Arial"/>
          <w:sz w:val="24"/>
          <w:szCs w:val="24"/>
        </w:rPr>
        <w:t>Materiales que revisten la vivienda del hogar.</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Amarante et al. (2010)</w:t>
      </w:r>
    </w:p>
    <w:p w:rsidR="00080599" w:rsidRPr="000A2024" w:rsidRDefault="00080599" w:rsidP="00080599">
      <w:pPr>
        <w:pStyle w:val="Prrafodelista"/>
        <w:numPr>
          <w:ilvl w:val="0"/>
          <w:numId w:val="66"/>
        </w:numPr>
        <w:spacing w:after="120" w:line="360" w:lineRule="auto"/>
        <w:jc w:val="both"/>
        <w:rPr>
          <w:rFonts w:ascii="Arial" w:hAnsi="Arial" w:cs="Arial"/>
          <w:sz w:val="24"/>
          <w:szCs w:val="24"/>
        </w:rPr>
      </w:pPr>
      <w:r w:rsidRPr="000A2024">
        <w:rPr>
          <w:rFonts w:ascii="Arial" w:hAnsi="Arial" w:cs="Arial"/>
          <w:sz w:val="24"/>
          <w:szCs w:val="24"/>
        </w:rPr>
        <w:t>Para la medición de la pobreza y desigualdad multidimensionales Amarante utiliza una fuente distinta a los demás, utiliza la Encuesta de la Situación Nutricional de los Niños durante el 2006.</w:t>
      </w:r>
    </w:p>
    <w:p w:rsidR="00080599" w:rsidRPr="000A2024" w:rsidRDefault="00080599" w:rsidP="00080599">
      <w:pPr>
        <w:pStyle w:val="Prrafodelista"/>
        <w:numPr>
          <w:ilvl w:val="0"/>
          <w:numId w:val="66"/>
        </w:numPr>
        <w:spacing w:after="120" w:line="360" w:lineRule="auto"/>
        <w:jc w:val="both"/>
        <w:rPr>
          <w:rFonts w:ascii="Arial" w:hAnsi="Arial" w:cs="Arial"/>
          <w:sz w:val="24"/>
          <w:szCs w:val="24"/>
        </w:rPr>
      </w:pPr>
      <w:r w:rsidRPr="000A2024">
        <w:rPr>
          <w:rFonts w:ascii="Arial" w:hAnsi="Arial" w:cs="Arial"/>
          <w:sz w:val="24"/>
          <w:szCs w:val="24"/>
        </w:rPr>
        <w:t>Utiliza las siguientes dimensiones:</w:t>
      </w:r>
    </w:p>
    <w:p w:rsidR="00080599" w:rsidRPr="000A2024" w:rsidRDefault="00080599" w:rsidP="00080599">
      <w:pPr>
        <w:pStyle w:val="Prrafodelista"/>
        <w:numPr>
          <w:ilvl w:val="0"/>
          <w:numId w:val="67"/>
        </w:numPr>
        <w:spacing w:after="120" w:line="360" w:lineRule="auto"/>
        <w:jc w:val="both"/>
        <w:rPr>
          <w:rFonts w:ascii="Arial" w:hAnsi="Arial" w:cs="Arial"/>
          <w:sz w:val="24"/>
          <w:szCs w:val="24"/>
        </w:rPr>
      </w:pPr>
      <w:r w:rsidRPr="000A2024">
        <w:rPr>
          <w:rFonts w:ascii="Arial" w:hAnsi="Arial" w:cs="Arial"/>
          <w:sz w:val="24"/>
          <w:szCs w:val="24"/>
        </w:rPr>
        <w:t>Educación: Se basa en indicadores de número de estudiantes repetidores.</w:t>
      </w:r>
    </w:p>
    <w:p w:rsidR="00080599" w:rsidRPr="000A2024" w:rsidRDefault="00080599" w:rsidP="00080599">
      <w:pPr>
        <w:pStyle w:val="Prrafodelista"/>
        <w:numPr>
          <w:ilvl w:val="0"/>
          <w:numId w:val="67"/>
        </w:numPr>
        <w:spacing w:after="120" w:line="360" w:lineRule="auto"/>
        <w:jc w:val="both"/>
        <w:rPr>
          <w:rFonts w:ascii="Arial" w:hAnsi="Arial" w:cs="Arial"/>
          <w:sz w:val="24"/>
          <w:szCs w:val="24"/>
        </w:rPr>
      </w:pPr>
      <w:r w:rsidRPr="000A2024">
        <w:rPr>
          <w:rFonts w:ascii="Arial" w:hAnsi="Arial" w:cs="Arial"/>
          <w:sz w:val="24"/>
          <w:szCs w:val="24"/>
        </w:rPr>
        <w:t>Vivienda: Hacinamiento.</w:t>
      </w:r>
    </w:p>
    <w:p w:rsidR="00080599" w:rsidRPr="000A2024" w:rsidRDefault="00080599" w:rsidP="00080599">
      <w:pPr>
        <w:pStyle w:val="Prrafodelista"/>
        <w:numPr>
          <w:ilvl w:val="0"/>
          <w:numId w:val="67"/>
        </w:numPr>
        <w:spacing w:after="120" w:line="360" w:lineRule="auto"/>
        <w:jc w:val="both"/>
        <w:rPr>
          <w:rFonts w:ascii="Arial" w:hAnsi="Arial" w:cs="Arial"/>
          <w:sz w:val="24"/>
          <w:szCs w:val="24"/>
        </w:rPr>
      </w:pPr>
      <w:r w:rsidRPr="000A2024">
        <w:rPr>
          <w:rFonts w:ascii="Arial" w:hAnsi="Arial" w:cs="Arial"/>
          <w:sz w:val="24"/>
          <w:szCs w:val="24"/>
        </w:rPr>
        <w:lastRenderedPageBreak/>
        <w:t>Salud: Basado en un enfoque de calorías toma al indicador de talla para la edad.</w:t>
      </w:r>
    </w:p>
    <w:p w:rsidR="00080599" w:rsidRPr="000C2E3C" w:rsidRDefault="00080599" w:rsidP="000C2E3C">
      <w:pPr>
        <w:pStyle w:val="Prrafodelista"/>
        <w:numPr>
          <w:ilvl w:val="0"/>
          <w:numId w:val="67"/>
        </w:numPr>
        <w:spacing w:after="120" w:line="360" w:lineRule="auto"/>
        <w:jc w:val="both"/>
        <w:rPr>
          <w:rFonts w:ascii="Arial" w:hAnsi="Arial" w:cs="Arial"/>
          <w:sz w:val="24"/>
          <w:szCs w:val="24"/>
        </w:rPr>
      </w:pPr>
      <w:r w:rsidRPr="000A2024">
        <w:rPr>
          <w:rFonts w:ascii="Arial" w:hAnsi="Arial" w:cs="Arial"/>
          <w:sz w:val="24"/>
          <w:szCs w:val="24"/>
        </w:rPr>
        <w:t>Ingreso: Ingreso per cápita del hogar</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Colafranceschi et al. (2009)</w:t>
      </w:r>
    </w:p>
    <w:p w:rsidR="00080599" w:rsidRPr="000A2024" w:rsidRDefault="00080599" w:rsidP="00080599">
      <w:pPr>
        <w:pStyle w:val="Prrafodelista"/>
        <w:numPr>
          <w:ilvl w:val="0"/>
          <w:numId w:val="68"/>
        </w:numPr>
        <w:spacing w:after="120" w:line="360" w:lineRule="auto"/>
        <w:jc w:val="both"/>
        <w:rPr>
          <w:rFonts w:ascii="Arial" w:hAnsi="Arial" w:cs="Arial"/>
          <w:sz w:val="24"/>
          <w:szCs w:val="24"/>
        </w:rPr>
      </w:pPr>
      <w:r w:rsidRPr="000A2024">
        <w:rPr>
          <w:rFonts w:ascii="Arial" w:hAnsi="Arial" w:cs="Arial"/>
          <w:sz w:val="24"/>
          <w:szCs w:val="24"/>
        </w:rPr>
        <w:t>Para la medición de la pobreza y desigualdad multidimensionales también toman como fuente de información a la ECH realizada durante el 2006.</w:t>
      </w:r>
    </w:p>
    <w:p w:rsidR="00080599" w:rsidRPr="000A2024" w:rsidRDefault="00080599" w:rsidP="00080599">
      <w:pPr>
        <w:pStyle w:val="Prrafodelista"/>
        <w:numPr>
          <w:ilvl w:val="0"/>
          <w:numId w:val="68"/>
        </w:numPr>
        <w:spacing w:after="120" w:line="360" w:lineRule="auto"/>
        <w:jc w:val="both"/>
        <w:rPr>
          <w:rFonts w:ascii="Arial" w:hAnsi="Arial" w:cs="Arial"/>
          <w:sz w:val="24"/>
          <w:szCs w:val="24"/>
        </w:rPr>
      </w:pPr>
      <w:r w:rsidRPr="000A2024">
        <w:rPr>
          <w:rFonts w:ascii="Arial" w:hAnsi="Arial" w:cs="Arial"/>
          <w:sz w:val="24"/>
          <w:szCs w:val="24"/>
        </w:rPr>
        <w:t>Utiliza las siguientes dimensiones:</w:t>
      </w:r>
    </w:p>
    <w:p w:rsidR="00080599" w:rsidRPr="000A2024" w:rsidRDefault="00080599" w:rsidP="00080599">
      <w:pPr>
        <w:pStyle w:val="Prrafodelista"/>
        <w:numPr>
          <w:ilvl w:val="0"/>
          <w:numId w:val="69"/>
        </w:numPr>
        <w:spacing w:after="120" w:line="360" w:lineRule="auto"/>
        <w:jc w:val="both"/>
        <w:rPr>
          <w:rFonts w:ascii="Arial" w:hAnsi="Arial" w:cs="Arial"/>
          <w:sz w:val="24"/>
          <w:szCs w:val="24"/>
        </w:rPr>
      </w:pPr>
      <w:r w:rsidRPr="000A2024">
        <w:rPr>
          <w:rFonts w:ascii="Arial" w:hAnsi="Arial" w:cs="Arial"/>
          <w:sz w:val="24"/>
          <w:szCs w:val="24"/>
        </w:rPr>
        <w:t>Educación: Clima educativo.</w:t>
      </w:r>
    </w:p>
    <w:p w:rsidR="00080599" w:rsidRPr="000A2024" w:rsidRDefault="00080599" w:rsidP="00080599">
      <w:pPr>
        <w:pStyle w:val="Prrafodelista"/>
        <w:numPr>
          <w:ilvl w:val="0"/>
          <w:numId w:val="69"/>
        </w:numPr>
        <w:spacing w:after="120" w:line="360" w:lineRule="auto"/>
        <w:jc w:val="both"/>
        <w:rPr>
          <w:rFonts w:ascii="Arial" w:hAnsi="Arial" w:cs="Arial"/>
          <w:sz w:val="24"/>
          <w:szCs w:val="24"/>
        </w:rPr>
      </w:pPr>
      <w:r w:rsidRPr="000A2024">
        <w:rPr>
          <w:rFonts w:ascii="Arial" w:hAnsi="Arial" w:cs="Arial"/>
          <w:sz w:val="24"/>
          <w:szCs w:val="24"/>
        </w:rPr>
        <w:t>Vivienda: Toma por indicadores los materiales de construcción de la vivienda y el hacinamiento.</w:t>
      </w:r>
    </w:p>
    <w:p w:rsidR="00080599" w:rsidRPr="000A2024" w:rsidRDefault="00080599" w:rsidP="00080599">
      <w:pPr>
        <w:pStyle w:val="Prrafodelista"/>
        <w:numPr>
          <w:ilvl w:val="0"/>
          <w:numId w:val="69"/>
        </w:numPr>
        <w:spacing w:after="120" w:line="360" w:lineRule="auto"/>
        <w:jc w:val="both"/>
        <w:rPr>
          <w:rFonts w:ascii="Arial" w:hAnsi="Arial" w:cs="Arial"/>
          <w:sz w:val="24"/>
          <w:szCs w:val="24"/>
        </w:rPr>
      </w:pPr>
      <w:r w:rsidRPr="000A2024">
        <w:rPr>
          <w:rFonts w:ascii="Arial" w:hAnsi="Arial" w:cs="Arial"/>
          <w:sz w:val="24"/>
          <w:szCs w:val="24"/>
        </w:rPr>
        <w:t>Confort: Tenencia de bienes durables.</w:t>
      </w:r>
    </w:p>
    <w:p w:rsidR="00080599" w:rsidRPr="000A2024" w:rsidRDefault="00080599" w:rsidP="00080599">
      <w:pPr>
        <w:pStyle w:val="Prrafodelista"/>
        <w:numPr>
          <w:ilvl w:val="0"/>
          <w:numId w:val="69"/>
        </w:numPr>
        <w:spacing w:after="120" w:line="360" w:lineRule="auto"/>
        <w:jc w:val="both"/>
        <w:rPr>
          <w:rFonts w:ascii="Arial" w:hAnsi="Arial" w:cs="Arial"/>
          <w:sz w:val="24"/>
          <w:szCs w:val="24"/>
        </w:rPr>
      </w:pPr>
      <w:r w:rsidRPr="000A2024">
        <w:rPr>
          <w:rFonts w:ascii="Arial" w:hAnsi="Arial" w:cs="Arial"/>
          <w:sz w:val="24"/>
          <w:szCs w:val="24"/>
        </w:rPr>
        <w:t>Laboral: El clima laboral, la categoría del nivel de ocupación, la cantidad de empleos que tiene el padre o jefe del hogar y los niveles de subempleo.</w:t>
      </w:r>
    </w:p>
    <w:p w:rsidR="00080599" w:rsidRPr="000A2024" w:rsidRDefault="00080599" w:rsidP="00080599">
      <w:pPr>
        <w:pStyle w:val="Prrafodelista"/>
        <w:numPr>
          <w:ilvl w:val="0"/>
          <w:numId w:val="69"/>
        </w:numPr>
        <w:spacing w:after="120" w:line="360" w:lineRule="auto"/>
        <w:jc w:val="both"/>
        <w:rPr>
          <w:rFonts w:ascii="Arial" w:hAnsi="Arial" w:cs="Arial"/>
          <w:sz w:val="24"/>
          <w:szCs w:val="24"/>
        </w:rPr>
      </w:pPr>
      <w:r w:rsidRPr="000A2024">
        <w:rPr>
          <w:rFonts w:ascii="Arial" w:hAnsi="Arial" w:cs="Arial"/>
          <w:sz w:val="24"/>
          <w:szCs w:val="24"/>
        </w:rPr>
        <w:t>Comunicación: Tenencia del teléfono, celular e internet.</w:t>
      </w:r>
    </w:p>
    <w:p w:rsidR="00080599" w:rsidRPr="000A2024" w:rsidRDefault="00080599" w:rsidP="00080599">
      <w:pPr>
        <w:pStyle w:val="Prrafodelista"/>
        <w:numPr>
          <w:ilvl w:val="0"/>
          <w:numId w:val="69"/>
        </w:numPr>
        <w:spacing w:after="120" w:line="360" w:lineRule="auto"/>
        <w:jc w:val="both"/>
        <w:rPr>
          <w:rFonts w:ascii="Arial" w:hAnsi="Arial" w:cs="Arial"/>
          <w:sz w:val="24"/>
          <w:szCs w:val="24"/>
        </w:rPr>
      </w:pPr>
      <w:r w:rsidRPr="000A2024">
        <w:rPr>
          <w:rFonts w:ascii="Arial" w:hAnsi="Arial" w:cs="Arial"/>
          <w:sz w:val="24"/>
          <w:szCs w:val="24"/>
        </w:rPr>
        <w:t>Ingreso: Aunque realizan el análisis sin esta dimensión la toman en cuenta con indicadores comúnmente basados en el ingreso per cápita del hogar.</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Arim y Vigorito (2006)</w:t>
      </w:r>
    </w:p>
    <w:p w:rsidR="00080599" w:rsidRPr="000A2024" w:rsidRDefault="00080599" w:rsidP="00080599">
      <w:pPr>
        <w:pStyle w:val="Prrafodelista"/>
        <w:numPr>
          <w:ilvl w:val="0"/>
          <w:numId w:val="70"/>
        </w:numPr>
        <w:spacing w:after="120" w:line="360" w:lineRule="auto"/>
        <w:jc w:val="both"/>
        <w:rPr>
          <w:rFonts w:ascii="Arial" w:hAnsi="Arial" w:cs="Arial"/>
          <w:sz w:val="24"/>
          <w:szCs w:val="24"/>
        </w:rPr>
      </w:pPr>
      <w:r w:rsidRPr="000A2024">
        <w:rPr>
          <w:rFonts w:ascii="Arial" w:hAnsi="Arial" w:cs="Arial"/>
          <w:sz w:val="24"/>
          <w:szCs w:val="24"/>
        </w:rPr>
        <w:t>Para la medición de la pobreza y desigualdad multidimensionales Arim y Vigorito realizan un estudio más a fondo utilizando la ECH de los años 1991, 1994, 1999, 2002 y 2005.</w:t>
      </w:r>
    </w:p>
    <w:p w:rsidR="00080599" w:rsidRPr="000A2024" w:rsidRDefault="00080599" w:rsidP="00080599">
      <w:pPr>
        <w:pStyle w:val="Prrafodelista"/>
        <w:numPr>
          <w:ilvl w:val="0"/>
          <w:numId w:val="70"/>
        </w:numPr>
        <w:spacing w:after="120" w:line="360" w:lineRule="auto"/>
        <w:jc w:val="both"/>
        <w:rPr>
          <w:rFonts w:ascii="Arial" w:hAnsi="Arial" w:cs="Arial"/>
          <w:sz w:val="24"/>
          <w:szCs w:val="24"/>
        </w:rPr>
      </w:pPr>
      <w:r w:rsidRPr="000A2024">
        <w:rPr>
          <w:rFonts w:ascii="Arial" w:hAnsi="Arial" w:cs="Arial"/>
          <w:sz w:val="24"/>
          <w:szCs w:val="24"/>
        </w:rPr>
        <w:t>Utiliza las siguientes dimensiones:</w:t>
      </w:r>
    </w:p>
    <w:p w:rsidR="00080599" w:rsidRPr="000A2024" w:rsidRDefault="00080599" w:rsidP="00080599">
      <w:pPr>
        <w:pStyle w:val="Prrafodelista"/>
        <w:numPr>
          <w:ilvl w:val="0"/>
          <w:numId w:val="71"/>
        </w:numPr>
        <w:spacing w:after="120" w:line="360" w:lineRule="auto"/>
        <w:jc w:val="both"/>
        <w:rPr>
          <w:rFonts w:ascii="Arial" w:hAnsi="Arial" w:cs="Arial"/>
          <w:sz w:val="24"/>
          <w:szCs w:val="24"/>
        </w:rPr>
      </w:pPr>
      <w:r w:rsidRPr="000A2024">
        <w:rPr>
          <w:rFonts w:ascii="Arial" w:hAnsi="Arial" w:cs="Arial"/>
          <w:sz w:val="24"/>
          <w:szCs w:val="24"/>
        </w:rPr>
        <w:t>Acceso a conocimientos: donde sus indicadores se basan en los años de educación que posee el padre o jefe del hogar.</w:t>
      </w:r>
    </w:p>
    <w:p w:rsidR="00080599" w:rsidRPr="000A2024" w:rsidRDefault="00080599" w:rsidP="00080599">
      <w:pPr>
        <w:pStyle w:val="Prrafodelista"/>
        <w:numPr>
          <w:ilvl w:val="0"/>
          <w:numId w:val="71"/>
        </w:numPr>
        <w:spacing w:after="120" w:line="360" w:lineRule="auto"/>
        <w:jc w:val="both"/>
        <w:rPr>
          <w:rFonts w:ascii="Arial" w:hAnsi="Arial" w:cs="Arial"/>
          <w:sz w:val="24"/>
          <w:szCs w:val="24"/>
        </w:rPr>
      </w:pPr>
      <w:r w:rsidRPr="000A2024">
        <w:rPr>
          <w:rFonts w:ascii="Arial" w:hAnsi="Arial" w:cs="Arial"/>
          <w:sz w:val="24"/>
          <w:szCs w:val="24"/>
        </w:rPr>
        <w:t>Condiciones de la vivienda: Hacinamiento.</w:t>
      </w:r>
    </w:p>
    <w:p w:rsidR="00080599" w:rsidRPr="000A2024" w:rsidRDefault="00080599" w:rsidP="00080599">
      <w:pPr>
        <w:pStyle w:val="Prrafodelista"/>
        <w:numPr>
          <w:ilvl w:val="0"/>
          <w:numId w:val="71"/>
        </w:numPr>
        <w:spacing w:after="120" w:line="360" w:lineRule="auto"/>
        <w:jc w:val="both"/>
        <w:rPr>
          <w:rFonts w:ascii="Arial" w:hAnsi="Arial" w:cs="Arial"/>
          <w:sz w:val="24"/>
          <w:szCs w:val="24"/>
        </w:rPr>
      </w:pPr>
      <w:r w:rsidRPr="000A2024">
        <w:rPr>
          <w:rFonts w:ascii="Arial" w:hAnsi="Arial" w:cs="Arial"/>
          <w:sz w:val="24"/>
          <w:szCs w:val="24"/>
        </w:rPr>
        <w:t>Salud: Basado en un enfoque de calorías toma al indicador de talla para la edad.</w:t>
      </w:r>
    </w:p>
    <w:p w:rsidR="00080599" w:rsidRPr="000A2024" w:rsidRDefault="00080599" w:rsidP="00080599">
      <w:pPr>
        <w:pStyle w:val="Prrafodelista"/>
        <w:numPr>
          <w:ilvl w:val="0"/>
          <w:numId w:val="71"/>
        </w:numPr>
        <w:spacing w:after="120" w:line="360" w:lineRule="auto"/>
        <w:jc w:val="both"/>
        <w:rPr>
          <w:rFonts w:ascii="Arial" w:hAnsi="Arial" w:cs="Arial"/>
          <w:sz w:val="24"/>
          <w:szCs w:val="24"/>
        </w:rPr>
      </w:pPr>
      <w:r w:rsidRPr="000A2024">
        <w:rPr>
          <w:rFonts w:ascii="Arial" w:hAnsi="Arial" w:cs="Arial"/>
          <w:sz w:val="24"/>
          <w:szCs w:val="24"/>
        </w:rPr>
        <w:lastRenderedPageBreak/>
        <w:t>Acceso a recursos: toman índices previamente realizados como el índice de bienes durables y el típico ingreso per cápita el hogar.</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Según Burstin et al. (citado en Colafranceschi et al., 2013) un hallazgo en la segunda ola de la encuesta de la ESNN en el 2006 fue que los hogares encuestados parecen tener mayor prioridad en las dimensiones como los ingresos, educación, salud, trabajo y situación emocional.</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La gran mayoría de las fuentes utilizadas corresponden a las ECH del INE excepto Nathan et al. (2011) que utiliza la Encuesta de Situaciones Familiares y Desempeños Sociales del periodo 2007 – 2008 y de Amarante et al. (2010) quienes utilizan la ESNN (2006).</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rPr>
        <w:t>Para el 2013, Colafranceschi et al. utilizan ambas fuentes, tanto la ECH como la ESNN para el cálculo de índices compuestos</w:t>
      </w:r>
      <w:r w:rsidRPr="000A2024">
        <w:rPr>
          <w:rStyle w:val="Refdenotaalpie"/>
          <w:rFonts w:ascii="Arial" w:hAnsi="Arial" w:cs="Arial"/>
        </w:rPr>
        <w:footnoteReference w:id="11"/>
      </w:r>
      <w:r w:rsidRPr="000A2024">
        <w:rPr>
          <w:rFonts w:ascii="Arial" w:hAnsi="Arial" w:cs="Arial"/>
          <w:sz w:val="24"/>
        </w:rPr>
        <w:t xml:space="preserve"> de desigualdad multidimensional y dependiendo de la fuente la variación de la dimensión:</w:t>
      </w:r>
    </w:p>
    <w:p w:rsidR="00080599" w:rsidRPr="000C2E3C" w:rsidRDefault="00080599" w:rsidP="000C2E3C">
      <w:pPr>
        <w:pStyle w:val="SubTema4"/>
        <w:spacing w:before="0" w:after="120"/>
        <w:rPr>
          <w:rFonts w:ascii="Arial" w:hAnsi="Arial" w:cs="Arial"/>
          <w:b w:val="0"/>
          <w:i w:val="0"/>
        </w:rPr>
      </w:pPr>
      <w:r w:rsidRPr="000C2E3C">
        <w:rPr>
          <w:rFonts w:ascii="Arial" w:hAnsi="Arial" w:cs="Arial"/>
          <w:b w:val="0"/>
          <w:i w:val="0"/>
        </w:rPr>
        <w:t>Colafranceschi et al. (2013)</w:t>
      </w:r>
    </w:p>
    <w:p w:rsidR="00080599" w:rsidRPr="000A2024" w:rsidRDefault="00080599" w:rsidP="00080599">
      <w:pPr>
        <w:pStyle w:val="Prrafodelista"/>
        <w:numPr>
          <w:ilvl w:val="0"/>
          <w:numId w:val="72"/>
        </w:numPr>
        <w:spacing w:after="120" w:line="360" w:lineRule="auto"/>
        <w:jc w:val="both"/>
        <w:rPr>
          <w:rFonts w:ascii="Arial" w:hAnsi="Arial" w:cs="Arial"/>
          <w:b/>
          <w:sz w:val="24"/>
          <w:szCs w:val="24"/>
        </w:rPr>
      </w:pPr>
      <w:r w:rsidRPr="000A2024">
        <w:rPr>
          <w:rFonts w:ascii="Arial" w:hAnsi="Arial" w:cs="Arial"/>
          <w:sz w:val="24"/>
          <w:szCs w:val="24"/>
        </w:rPr>
        <w:t>Tomando a la ECH como fuente se obtienen las siguientes dimensiones con sus respectivos indicadores:</w:t>
      </w:r>
    </w:p>
    <w:p w:rsidR="00080599" w:rsidRPr="000A2024" w:rsidRDefault="00080599" w:rsidP="00080599">
      <w:pPr>
        <w:pStyle w:val="Prrafodelista"/>
        <w:numPr>
          <w:ilvl w:val="0"/>
          <w:numId w:val="73"/>
        </w:numPr>
        <w:spacing w:after="120" w:line="360" w:lineRule="auto"/>
        <w:jc w:val="both"/>
        <w:rPr>
          <w:rFonts w:ascii="Arial" w:hAnsi="Arial" w:cs="Arial"/>
          <w:sz w:val="24"/>
          <w:szCs w:val="24"/>
        </w:rPr>
      </w:pPr>
      <w:r w:rsidRPr="000A2024">
        <w:rPr>
          <w:rFonts w:ascii="Arial" w:hAnsi="Arial" w:cs="Arial"/>
          <w:sz w:val="24"/>
          <w:szCs w:val="24"/>
        </w:rPr>
        <w:t>Condiciones habitacionales: Índice compuesto de los materiales de paredes, piso y techo de la vivienda, y hacinamiento de las personas que viven en el hogar, así como el de las habitaciones de la vivienda.</w:t>
      </w:r>
    </w:p>
    <w:p w:rsidR="00080599" w:rsidRPr="000A2024" w:rsidRDefault="00080599" w:rsidP="00080599">
      <w:pPr>
        <w:pStyle w:val="Prrafodelista"/>
        <w:numPr>
          <w:ilvl w:val="0"/>
          <w:numId w:val="73"/>
        </w:numPr>
        <w:spacing w:after="120" w:line="360" w:lineRule="auto"/>
        <w:jc w:val="both"/>
        <w:rPr>
          <w:rFonts w:ascii="Arial" w:hAnsi="Arial" w:cs="Arial"/>
          <w:sz w:val="24"/>
          <w:szCs w:val="24"/>
        </w:rPr>
      </w:pPr>
      <w:r w:rsidRPr="000A2024">
        <w:rPr>
          <w:rFonts w:ascii="Arial" w:hAnsi="Arial" w:cs="Arial"/>
          <w:sz w:val="24"/>
          <w:szCs w:val="24"/>
        </w:rPr>
        <w:t>Acceso a recursos: Ingreso real per cápita del hogar e índice de bienes durables.</w:t>
      </w:r>
    </w:p>
    <w:p w:rsidR="00080599" w:rsidRPr="000A2024" w:rsidRDefault="00080599" w:rsidP="00080599">
      <w:pPr>
        <w:pStyle w:val="Prrafodelista"/>
        <w:numPr>
          <w:ilvl w:val="0"/>
          <w:numId w:val="73"/>
        </w:numPr>
        <w:spacing w:after="120" w:line="360" w:lineRule="auto"/>
        <w:jc w:val="both"/>
        <w:rPr>
          <w:rFonts w:ascii="Arial" w:hAnsi="Arial" w:cs="Arial"/>
          <w:sz w:val="24"/>
          <w:szCs w:val="24"/>
        </w:rPr>
      </w:pPr>
      <w:r w:rsidRPr="000A2024">
        <w:rPr>
          <w:rFonts w:ascii="Arial" w:hAnsi="Arial" w:cs="Arial"/>
          <w:sz w:val="24"/>
          <w:szCs w:val="24"/>
        </w:rPr>
        <w:t>Educación: Clima educativo del hogar.</w:t>
      </w:r>
    </w:p>
    <w:p w:rsidR="00080599" w:rsidRPr="000A2024" w:rsidRDefault="00080599" w:rsidP="00080599">
      <w:pPr>
        <w:pStyle w:val="Prrafodelista"/>
        <w:numPr>
          <w:ilvl w:val="0"/>
          <w:numId w:val="72"/>
        </w:numPr>
        <w:spacing w:after="120" w:line="360" w:lineRule="auto"/>
        <w:jc w:val="both"/>
        <w:rPr>
          <w:rFonts w:ascii="Arial" w:hAnsi="Arial" w:cs="Arial"/>
          <w:b/>
          <w:sz w:val="24"/>
          <w:szCs w:val="24"/>
        </w:rPr>
      </w:pPr>
      <w:r w:rsidRPr="000A2024">
        <w:rPr>
          <w:rFonts w:ascii="Arial" w:hAnsi="Arial" w:cs="Arial"/>
          <w:sz w:val="24"/>
          <w:szCs w:val="24"/>
        </w:rPr>
        <w:t>Se consideraron las siguientes dimensiones en el caso de la ESNN como fuente:</w:t>
      </w:r>
    </w:p>
    <w:p w:rsidR="00080599" w:rsidRPr="000A2024" w:rsidRDefault="00080599" w:rsidP="00080599">
      <w:pPr>
        <w:pStyle w:val="Prrafodelista"/>
        <w:numPr>
          <w:ilvl w:val="0"/>
          <w:numId w:val="74"/>
        </w:numPr>
        <w:spacing w:after="120" w:line="360" w:lineRule="auto"/>
        <w:jc w:val="both"/>
        <w:rPr>
          <w:rFonts w:ascii="Arial" w:hAnsi="Arial" w:cs="Arial"/>
          <w:sz w:val="24"/>
          <w:szCs w:val="24"/>
        </w:rPr>
      </w:pPr>
      <w:r w:rsidRPr="000A2024">
        <w:rPr>
          <w:rFonts w:ascii="Arial" w:hAnsi="Arial" w:cs="Arial"/>
          <w:sz w:val="24"/>
          <w:szCs w:val="24"/>
        </w:rPr>
        <w:t>Condiciones habitacionales: El hacinamiento de las personas y habitaciones del hogar.</w:t>
      </w:r>
    </w:p>
    <w:p w:rsidR="00080599" w:rsidRPr="000A2024" w:rsidRDefault="00080599" w:rsidP="00080599">
      <w:pPr>
        <w:pStyle w:val="Prrafodelista"/>
        <w:numPr>
          <w:ilvl w:val="0"/>
          <w:numId w:val="74"/>
        </w:numPr>
        <w:spacing w:after="120" w:line="360" w:lineRule="auto"/>
        <w:jc w:val="both"/>
        <w:rPr>
          <w:rFonts w:ascii="Arial" w:hAnsi="Arial" w:cs="Arial"/>
          <w:sz w:val="24"/>
          <w:szCs w:val="24"/>
        </w:rPr>
      </w:pPr>
      <w:r w:rsidRPr="000A2024">
        <w:rPr>
          <w:rFonts w:ascii="Arial" w:hAnsi="Arial" w:cs="Arial"/>
          <w:sz w:val="24"/>
          <w:szCs w:val="24"/>
        </w:rPr>
        <w:lastRenderedPageBreak/>
        <w:t>Acceso a recursos: Ingreso real per cápita del hogar e índice de bienes durables.</w:t>
      </w:r>
    </w:p>
    <w:p w:rsidR="00080599" w:rsidRPr="000A2024" w:rsidRDefault="00080599" w:rsidP="00080599">
      <w:pPr>
        <w:pStyle w:val="Prrafodelista"/>
        <w:numPr>
          <w:ilvl w:val="0"/>
          <w:numId w:val="74"/>
        </w:numPr>
        <w:spacing w:after="120" w:line="360" w:lineRule="auto"/>
        <w:jc w:val="both"/>
        <w:rPr>
          <w:rFonts w:ascii="Arial" w:hAnsi="Arial" w:cs="Arial"/>
          <w:sz w:val="24"/>
          <w:szCs w:val="24"/>
        </w:rPr>
      </w:pPr>
      <w:r w:rsidRPr="000A2024">
        <w:rPr>
          <w:rFonts w:ascii="Arial" w:hAnsi="Arial" w:cs="Arial"/>
          <w:sz w:val="24"/>
          <w:szCs w:val="24"/>
        </w:rPr>
        <w:t>Salud: Basado en el índice de masa corporal (IMC) con puntaje z.</w:t>
      </w:r>
    </w:p>
    <w:p w:rsidR="00080599" w:rsidRPr="000A2024" w:rsidRDefault="00080599" w:rsidP="00080599">
      <w:pPr>
        <w:pStyle w:val="Prrafodelista"/>
        <w:numPr>
          <w:ilvl w:val="0"/>
          <w:numId w:val="74"/>
        </w:numPr>
        <w:spacing w:after="120" w:line="360" w:lineRule="auto"/>
        <w:jc w:val="both"/>
        <w:rPr>
          <w:rFonts w:ascii="Arial" w:hAnsi="Arial" w:cs="Arial"/>
          <w:sz w:val="24"/>
          <w:szCs w:val="24"/>
        </w:rPr>
      </w:pPr>
      <w:r w:rsidRPr="000A2024">
        <w:rPr>
          <w:rFonts w:ascii="Arial" w:hAnsi="Arial" w:cs="Arial"/>
          <w:sz w:val="24"/>
          <w:szCs w:val="24"/>
        </w:rPr>
        <w:t>Educación: Clima educativo del hogar.</w:t>
      </w:r>
    </w:p>
    <w:p w:rsidR="00080599" w:rsidRPr="000A2024" w:rsidRDefault="00080599" w:rsidP="00E744DE">
      <w:pPr>
        <w:spacing w:after="120" w:line="360" w:lineRule="auto"/>
        <w:jc w:val="both"/>
        <w:rPr>
          <w:rFonts w:ascii="Arial" w:hAnsi="Arial" w:cs="Arial"/>
          <w:sz w:val="24"/>
          <w:szCs w:val="24"/>
        </w:rPr>
      </w:pPr>
      <w:r w:rsidRPr="000A2024">
        <w:rPr>
          <w:rFonts w:ascii="Arial" w:hAnsi="Arial" w:cs="Arial"/>
          <w:sz w:val="24"/>
          <w:szCs w:val="24"/>
        </w:rPr>
        <w:t xml:space="preserve">Según </w:t>
      </w:r>
      <w:r w:rsidRPr="000A2024">
        <w:rPr>
          <w:rFonts w:ascii="Arial" w:hAnsi="Arial" w:cs="Arial"/>
          <w:sz w:val="24"/>
        </w:rPr>
        <w:t>Colafranceschi et al.</w:t>
      </w:r>
      <w:r w:rsidRPr="000A2024">
        <w:rPr>
          <w:rFonts w:ascii="Arial" w:hAnsi="Arial" w:cs="Arial"/>
          <w:sz w:val="24"/>
          <w:szCs w:val="24"/>
        </w:rPr>
        <w:t xml:space="preserve"> las condiciones de vivienda pueden explicar de forma indirecta las condiciones de la salubridad de los miembros del hogar gracias a que incorporaron un indicador de hacinamiento, complementando la falta de la dimensión salud de la fuente ECH.</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szCs w:val="24"/>
        </w:rPr>
        <w:t>Colafranceschi</w:t>
      </w:r>
      <w:r w:rsidRPr="000A2024">
        <w:rPr>
          <w:rFonts w:ascii="Arial" w:hAnsi="Arial" w:cs="Arial"/>
          <w:sz w:val="24"/>
        </w:rPr>
        <w:t xml:space="preserve"> et al. escogen a las siguientes variables como los ponderadores para el índice compuesto de vivienda:</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Techo planchada</w:t>
      </w:r>
      <w:r w:rsidRPr="000A2024">
        <w:rPr>
          <w:rFonts w:ascii="Arial" w:hAnsi="Arial" w:cs="Arial"/>
          <w:sz w:val="24"/>
          <w:szCs w:val="24"/>
        </w:rPr>
        <w:footnoteReference w:id="12"/>
      </w:r>
      <w:r w:rsidRPr="000A2024">
        <w:rPr>
          <w:rFonts w:ascii="Arial" w:hAnsi="Arial" w:cs="Arial"/>
          <w:sz w:val="24"/>
          <w:szCs w:val="24"/>
        </w:rPr>
        <w:t>: 0.7744</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Techo liviano con cielorraso: - 0.4078</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Techo liviano sin cielorraso: - 0.6189</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Paredes de mampostería: 0.3108</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Pisos de cerámica, parqué, moqueta o linóleo: 0.8183</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Piso de baldosas calcáreas: - 0.1112</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Piso alisado de hormigón: - 0.5272</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Contrapiso o tierra: - 0.572</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De igual manera define a los ponderadores para el índice compuesto de los bienes durables:</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Calefón: 0.6521</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Televisión por cable: 0.5259</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Teléfono: 0.647</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Reproductor de video o DVD: 0.4874</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Lavaropas: 0.6852</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Microondas: 0.7285</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Computadora: 0.7151</w:t>
      </w:r>
    </w:p>
    <w:p w:rsidR="00080599" w:rsidRPr="000A2024" w:rsidRDefault="00080599" w:rsidP="00080599">
      <w:pPr>
        <w:pStyle w:val="Prrafodelista"/>
        <w:numPr>
          <w:ilvl w:val="0"/>
          <w:numId w:val="75"/>
        </w:numPr>
        <w:spacing w:after="120" w:line="360" w:lineRule="auto"/>
        <w:jc w:val="both"/>
        <w:rPr>
          <w:rFonts w:ascii="Arial" w:hAnsi="Arial" w:cs="Arial"/>
          <w:sz w:val="24"/>
          <w:szCs w:val="24"/>
        </w:rPr>
      </w:pPr>
      <w:r w:rsidRPr="000A2024">
        <w:rPr>
          <w:rFonts w:ascii="Arial" w:hAnsi="Arial" w:cs="Arial"/>
          <w:sz w:val="24"/>
          <w:szCs w:val="24"/>
        </w:rPr>
        <w:t>Automóvil: 0.5782</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lastRenderedPageBreak/>
        <w:t>El cuaderno de Colafranceschi et al. (2013) muestra una tabla con los indicadores, variables y umbrales fijados para el análisis de pobreza y vulnerabilidad, tomando a la ESNN como fuente de información.</w:t>
      </w:r>
    </w:p>
    <w:p w:rsidR="00080599" w:rsidRPr="000A2024" w:rsidRDefault="00080599" w:rsidP="00080599">
      <w:pPr>
        <w:pStyle w:val="Prrafodelista"/>
        <w:numPr>
          <w:ilvl w:val="0"/>
          <w:numId w:val="76"/>
        </w:numPr>
        <w:spacing w:after="120" w:line="360" w:lineRule="auto"/>
        <w:jc w:val="both"/>
        <w:rPr>
          <w:rFonts w:ascii="Arial" w:hAnsi="Arial" w:cs="Arial"/>
          <w:sz w:val="24"/>
          <w:szCs w:val="24"/>
        </w:rPr>
      </w:pPr>
      <w:r w:rsidRPr="000A2024">
        <w:rPr>
          <w:rFonts w:ascii="Arial" w:hAnsi="Arial" w:cs="Arial"/>
          <w:sz w:val="24"/>
          <w:szCs w:val="24"/>
        </w:rPr>
        <w:t>Para la dimensión de vivienda cuyo indicador es el hacinamiento fijan un umbral de pobreza donde los hogares que posean más de dos personas por habitación son considerados en pobreza bajo este criterio.</w:t>
      </w:r>
    </w:p>
    <w:p w:rsidR="00080599" w:rsidRPr="000A2024" w:rsidRDefault="00080599" w:rsidP="00080599">
      <w:pPr>
        <w:pStyle w:val="Prrafodelista"/>
        <w:numPr>
          <w:ilvl w:val="0"/>
          <w:numId w:val="76"/>
        </w:numPr>
        <w:spacing w:after="120" w:line="360" w:lineRule="auto"/>
        <w:jc w:val="both"/>
        <w:rPr>
          <w:rFonts w:ascii="Arial" w:hAnsi="Arial" w:cs="Arial"/>
          <w:sz w:val="24"/>
          <w:szCs w:val="24"/>
        </w:rPr>
      </w:pPr>
      <w:r w:rsidRPr="000A2024">
        <w:rPr>
          <w:rFonts w:ascii="Arial" w:hAnsi="Arial" w:cs="Arial"/>
          <w:sz w:val="24"/>
          <w:szCs w:val="24"/>
        </w:rPr>
        <w:t>Para la dimensión de educación consideran que aquellas personas con menos de seis y nueve años de educación son pobres.</w:t>
      </w:r>
    </w:p>
    <w:p w:rsidR="00080599" w:rsidRPr="000A2024" w:rsidRDefault="00080599" w:rsidP="00080599">
      <w:pPr>
        <w:pStyle w:val="Prrafodelista"/>
        <w:numPr>
          <w:ilvl w:val="0"/>
          <w:numId w:val="76"/>
        </w:numPr>
        <w:spacing w:after="120" w:line="360" w:lineRule="auto"/>
        <w:jc w:val="both"/>
        <w:rPr>
          <w:rFonts w:ascii="Arial" w:hAnsi="Arial" w:cs="Arial"/>
          <w:sz w:val="24"/>
          <w:szCs w:val="24"/>
        </w:rPr>
      </w:pPr>
      <w:r w:rsidRPr="000A2024">
        <w:rPr>
          <w:rFonts w:ascii="Arial" w:hAnsi="Arial" w:cs="Arial"/>
          <w:sz w:val="24"/>
          <w:szCs w:val="24"/>
        </w:rPr>
        <w:t>En el acceso a recursos para el indicador de ingresos el umbral de la pobreza se encuentra sobre la línea de pobreza 2006 del INE y para el índice de bienes durables el umbral de pobreza es menor que la mitad de la mediana observada</w:t>
      </w:r>
    </w:p>
    <w:p w:rsidR="00080599" w:rsidRPr="000A2024" w:rsidRDefault="00080599" w:rsidP="00080599">
      <w:pPr>
        <w:pStyle w:val="Prrafodelista"/>
        <w:numPr>
          <w:ilvl w:val="0"/>
          <w:numId w:val="76"/>
        </w:numPr>
        <w:spacing w:after="120" w:line="360" w:lineRule="auto"/>
        <w:jc w:val="both"/>
        <w:rPr>
          <w:rFonts w:ascii="Arial" w:hAnsi="Arial" w:cs="Arial"/>
          <w:sz w:val="24"/>
          <w:szCs w:val="24"/>
        </w:rPr>
      </w:pPr>
      <w:r w:rsidRPr="000A2024">
        <w:rPr>
          <w:rFonts w:ascii="Arial" w:hAnsi="Arial" w:cs="Arial"/>
          <w:sz w:val="24"/>
          <w:szCs w:val="24"/>
        </w:rPr>
        <w:t>Para la dimensión de salud consideran indicadores antropométricos, es decir, describen tanto a la desnutrición como al sobrepeso y la obesidad. Desde el indicador de índice de masa corporal (peso/talla², puntaje z) el umbral de pobreza se fija de la siguiente forma:</w:t>
      </w:r>
    </w:p>
    <w:p w:rsidR="00080599" w:rsidRPr="000A2024" w:rsidRDefault="00080599" w:rsidP="00080599">
      <w:pPr>
        <w:pStyle w:val="Prrafodelista"/>
        <w:numPr>
          <w:ilvl w:val="1"/>
          <w:numId w:val="76"/>
        </w:numPr>
        <w:spacing w:after="120" w:line="360" w:lineRule="auto"/>
        <w:jc w:val="both"/>
        <w:rPr>
          <w:rFonts w:ascii="Arial" w:hAnsi="Arial" w:cs="Arial"/>
          <w:sz w:val="24"/>
          <w:szCs w:val="24"/>
        </w:rPr>
      </w:pPr>
      <w:r w:rsidRPr="000A2024">
        <w:rPr>
          <w:rFonts w:ascii="Arial" w:hAnsi="Arial" w:cs="Arial"/>
          <w:sz w:val="24"/>
          <w:szCs w:val="24"/>
        </w:rPr>
        <w:t xml:space="preserve">Bajo peso </w:t>
      </w:r>
    </w:p>
    <w:p w:rsidR="00080599" w:rsidRPr="000A2024" w:rsidRDefault="00080599" w:rsidP="00080599">
      <w:pPr>
        <w:pStyle w:val="Prrafodelista"/>
        <w:numPr>
          <w:ilvl w:val="2"/>
          <w:numId w:val="76"/>
        </w:numPr>
        <w:spacing w:after="120" w:line="360" w:lineRule="auto"/>
        <w:jc w:val="both"/>
        <w:rPr>
          <w:rFonts w:ascii="Arial" w:hAnsi="Arial" w:cs="Arial"/>
          <w:sz w:val="24"/>
          <w:szCs w:val="24"/>
        </w:rPr>
      </w:pPr>
      <w:r w:rsidRPr="000A2024">
        <w:rPr>
          <w:rFonts w:ascii="Arial" w:hAnsi="Arial" w:cs="Arial"/>
          <w:sz w:val="24"/>
          <w:szCs w:val="24"/>
        </w:rPr>
        <w:t>leve: – 1 desviación estándar</w:t>
      </w:r>
    </w:p>
    <w:p w:rsidR="00080599" w:rsidRPr="000A2024" w:rsidRDefault="00080599" w:rsidP="00080599">
      <w:pPr>
        <w:pStyle w:val="Prrafodelista"/>
        <w:numPr>
          <w:ilvl w:val="2"/>
          <w:numId w:val="76"/>
        </w:numPr>
        <w:spacing w:after="120" w:line="360" w:lineRule="auto"/>
        <w:jc w:val="both"/>
        <w:rPr>
          <w:rFonts w:ascii="Arial" w:hAnsi="Arial" w:cs="Arial"/>
          <w:sz w:val="24"/>
          <w:szCs w:val="24"/>
        </w:rPr>
      </w:pPr>
      <w:r w:rsidRPr="000A2024">
        <w:rPr>
          <w:rFonts w:ascii="Arial" w:hAnsi="Arial" w:cs="Arial"/>
          <w:sz w:val="24"/>
          <w:szCs w:val="24"/>
        </w:rPr>
        <w:t>grave: – 2 desviación estándar</w:t>
      </w:r>
    </w:p>
    <w:p w:rsidR="00080599" w:rsidRPr="000A2024" w:rsidRDefault="00080599" w:rsidP="00080599">
      <w:pPr>
        <w:pStyle w:val="Prrafodelista"/>
        <w:numPr>
          <w:ilvl w:val="1"/>
          <w:numId w:val="76"/>
        </w:numPr>
        <w:spacing w:after="120" w:line="360" w:lineRule="auto"/>
        <w:jc w:val="both"/>
        <w:rPr>
          <w:rFonts w:ascii="Arial" w:hAnsi="Arial" w:cs="Arial"/>
          <w:sz w:val="24"/>
          <w:szCs w:val="24"/>
        </w:rPr>
      </w:pPr>
      <w:r w:rsidRPr="000A2024">
        <w:rPr>
          <w:rFonts w:ascii="Arial" w:hAnsi="Arial" w:cs="Arial"/>
          <w:sz w:val="24"/>
          <w:szCs w:val="24"/>
        </w:rPr>
        <w:t>Sobrepeso</w:t>
      </w:r>
    </w:p>
    <w:p w:rsidR="00080599" w:rsidRPr="000A2024" w:rsidRDefault="00080599" w:rsidP="00080599">
      <w:pPr>
        <w:pStyle w:val="Prrafodelista"/>
        <w:numPr>
          <w:ilvl w:val="2"/>
          <w:numId w:val="76"/>
        </w:numPr>
        <w:spacing w:after="120" w:line="360" w:lineRule="auto"/>
        <w:jc w:val="both"/>
        <w:rPr>
          <w:rFonts w:ascii="Arial" w:hAnsi="Arial" w:cs="Arial"/>
          <w:sz w:val="24"/>
          <w:szCs w:val="24"/>
        </w:rPr>
      </w:pPr>
      <w:r w:rsidRPr="000A2024">
        <w:rPr>
          <w:rFonts w:ascii="Arial" w:hAnsi="Arial" w:cs="Arial"/>
          <w:sz w:val="24"/>
          <w:szCs w:val="24"/>
        </w:rPr>
        <w:t>leve: 1 desviación estándar</w:t>
      </w:r>
    </w:p>
    <w:p w:rsidR="00080599" w:rsidRPr="000A2024" w:rsidRDefault="00080599" w:rsidP="00080599">
      <w:pPr>
        <w:pStyle w:val="Prrafodelista"/>
        <w:numPr>
          <w:ilvl w:val="2"/>
          <w:numId w:val="76"/>
        </w:numPr>
        <w:spacing w:after="120" w:line="360" w:lineRule="auto"/>
        <w:jc w:val="both"/>
        <w:rPr>
          <w:rFonts w:ascii="Arial" w:hAnsi="Arial" w:cs="Arial"/>
          <w:sz w:val="24"/>
          <w:szCs w:val="24"/>
        </w:rPr>
      </w:pPr>
      <w:r w:rsidRPr="000A2024">
        <w:rPr>
          <w:rFonts w:ascii="Arial" w:hAnsi="Arial" w:cs="Arial"/>
          <w:sz w:val="24"/>
          <w:szCs w:val="24"/>
        </w:rPr>
        <w:t>grave: 2 desviación estándar</w:t>
      </w:r>
    </w:p>
    <w:p w:rsidR="00080599" w:rsidRPr="000A2024" w:rsidRDefault="00080599" w:rsidP="00080599">
      <w:pPr>
        <w:pStyle w:val="Prrafodelista"/>
        <w:numPr>
          <w:ilvl w:val="1"/>
          <w:numId w:val="76"/>
        </w:numPr>
        <w:spacing w:after="120" w:line="360" w:lineRule="auto"/>
        <w:jc w:val="both"/>
        <w:rPr>
          <w:rFonts w:ascii="Arial" w:hAnsi="Arial" w:cs="Arial"/>
          <w:sz w:val="24"/>
          <w:szCs w:val="24"/>
        </w:rPr>
      </w:pPr>
      <w:r w:rsidRPr="000A2024">
        <w:rPr>
          <w:rFonts w:ascii="Arial" w:hAnsi="Arial" w:cs="Arial"/>
          <w:sz w:val="24"/>
          <w:szCs w:val="24"/>
        </w:rPr>
        <w:t>Cortedad de talla (Talla para la edad)</w:t>
      </w:r>
    </w:p>
    <w:p w:rsidR="00080599" w:rsidRPr="000A2024" w:rsidRDefault="00080599" w:rsidP="00080599">
      <w:pPr>
        <w:pStyle w:val="Prrafodelista"/>
        <w:numPr>
          <w:ilvl w:val="2"/>
          <w:numId w:val="76"/>
        </w:numPr>
        <w:spacing w:after="120" w:line="360" w:lineRule="auto"/>
        <w:jc w:val="both"/>
        <w:rPr>
          <w:rFonts w:ascii="Arial" w:hAnsi="Arial" w:cs="Arial"/>
          <w:sz w:val="24"/>
          <w:szCs w:val="24"/>
        </w:rPr>
      </w:pPr>
      <w:r w:rsidRPr="000A2024">
        <w:rPr>
          <w:rFonts w:ascii="Arial" w:hAnsi="Arial" w:cs="Arial"/>
          <w:sz w:val="24"/>
          <w:szCs w:val="24"/>
        </w:rPr>
        <w:t>leve: – 1 desviación estándar</w:t>
      </w:r>
    </w:p>
    <w:p w:rsidR="00E744DE" w:rsidRPr="000C2E3C" w:rsidRDefault="00080599" w:rsidP="000C2E3C">
      <w:pPr>
        <w:pStyle w:val="Prrafodelista"/>
        <w:numPr>
          <w:ilvl w:val="2"/>
          <w:numId w:val="76"/>
        </w:numPr>
        <w:spacing w:after="240" w:line="360" w:lineRule="auto"/>
        <w:jc w:val="both"/>
        <w:rPr>
          <w:rFonts w:ascii="Arial" w:hAnsi="Arial" w:cs="Arial"/>
          <w:sz w:val="24"/>
          <w:szCs w:val="24"/>
        </w:rPr>
      </w:pPr>
      <w:r w:rsidRPr="000A2024">
        <w:rPr>
          <w:rFonts w:ascii="Arial" w:hAnsi="Arial" w:cs="Arial"/>
          <w:sz w:val="24"/>
          <w:szCs w:val="24"/>
        </w:rPr>
        <w:t>grave: –2  desviación estándar</w:t>
      </w:r>
    </w:p>
    <w:p w:rsidR="00080599" w:rsidRPr="000A2024" w:rsidRDefault="00080599" w:rsidP="000C2E3C">
      <w:pPr>
        <w:pStyle w:val="SubTema"/>
        <w:spacing w:before="0" w:after="120"/>
        <w:rPr>
          <w:rFonts w:ascii="Arial" w:hAnsi="Arial" w:cs="Arial"/>
        </w:rPr>
      </w:pPr>
      <w:bookmarkStart w:id="46" w:name="_Toc450230521"/>
      <w:r w:rsidRPr="000A2024">
        <w:rPr>
          <w:rFonts w:ascii="Arial" w:hAnsi="Arial" w:cs="Arial"/>
        </w:rPr>
        <w:t>Métodos empleados en el estudio de Colafranceschi et al. (2013)</w:t>
      </w:r>
      <w:bookmarkEnd w:id="46"/>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Debido a la facilidad y simpleza de interpretación en el cuaderno de Colafranceschi et al. (2013) el método del cálculo de los índices agregados cita y se basa en las propuestas de Maatsumi y Bourguignon (1999), Araar y Duclos (2005) y de Araar (2011).</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lastRenderedPageBreak/>
        <w:t xml:space="preserve">Colafranceschi et al. (2013) reconocen que dentro de una metodología para el cálculo de índices de bienestar multidimensional requiere que las dimensiones deban ser ponderadas mediante una estandarización, lo que permitiría hacer comparaciones, definir el grado de sustituibilidad y el grado de aversión a la desigualdad.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Para su estudio decidieron utilizar una equiponderación, otorgando así un valor de relevancia de 0.25 a cada una de las cuatro dimensiones.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La evolución de las cuatro dimensiones más importantes del bienestar según Colafranceschi et al. para el periodo 2006 - 2011</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La Gráfica 2 muestra la evolución de las condiciones de vida promedio en función de los indicadores de educación, hacinamiento, ingreso per cápita e índice de bienes durables.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Se toma como año base al 2001 (2001=100) debido a que las ECH no incluían preguntas sobre el acceso a algunos bienes, sin embargo, las variables descritas pertenecen al periodo 1998 – 2011.</w:t>
      </w:r>
    </w:p>
    <w:p w:rsidR="00080599" w:rsidRPr="000A2024" w:rsidRDefault="00080599" w:rsidP="00080599">
      <w:pPr>
        <w:jc w:val="center"/>
        <w:rPr>
          <w:rFonts w:ascii="Arial" w:hAnsi="Arial" w:cs="Arial"/>
          <w:sz w:val="24"/>
        </w:rPr>
      </w:pPr>
      <w:r w:rsidRPr="000A2024">
        <w:rPr>
          <w:rFonts w:ascii="Arial" w:hAnsi="Arial" w:cs="Arial"/>
          <w:noProof/>
          <w:lang w:eastAsia="es-MX"/>
        </w:rPr>
        <w:drawing>
          <wp:inline distT="0" distB="0" distL="0" distR="0" wp14:anchorId="544E6CC3" wp14:editId="5FAF60E3">
            <wp:extent cx="4279989" cy="2390775"/>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98508" cy="2401120"/>
                    </a:xfrm>
                    <a:prstGeom prst="rect">
                      <a:avLst/>
                    </a:prstGeom>
                  </pic:spPr>
                </pic:pic>
              </a:graphicData>
            </a:graphic>
          </wp:inline>
        </w:drawing>
      </w:r>
      <w:r w:rsidRPr="000A2024">
        <w:rPr>
          <w:rFonts w:ascii="Arial" w:hAnsi="Arial" w:cs="Arial"/>
          <w:sz w:val="24"/>
        </w:rPr>
        <w:br/>
        <w:t>Gráfica 2</w:t>
      </w:r>
      <w:r w:rsidRPr="000A2024">
        <w:rPr>
          <w:rStyle w:val="Refdenotaalpie"/>
          <w:rFonts w:ascii="Arial" w:hAnsi="Arial" w:cs="Arial"/>
        </w:rPr>
        <w:footnoteReference w:id="13"/>
      </w:r>
    </w:p>
    <w:p w:rsidR="00080599" w:rsidRPr="000A2024" w:rsidRDefault="00080599" w:rsidP="00080599">
      <w:pPr>
        <w:jc w:val="both"/>
        <w:rPr>
          <w:rFonts w:ascii="Arial" w:hAnsi="Arial" w:cs="Arial"/>
          <w:sz w:val="24"/>
        </w:rPr>
      </w:pP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lastRenderedPageBreak/>
        <w:t>Colafranceschi et al. realizan un cruce de información a través de la evolución de los indicadores, dividiendo cada uno por centil de ingreso, para su análisis individual de logros específicos en cada estrato socioeconómico. Una vez realizado el análisis miden la desigualdad existente en dichos logros en función de indicadores agregados.</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Colafranceschi et al. (2013) afirman que la leve tendencia ascendente en la educación se debe a efectos de generación. De igual manera aseveran que la calidad de los materiales de la vivienda en pisos y techos ha presentado mejoras sustanciales desde el año base.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 xml:space="preserve">Los ingresos per cápita de los hogares presentan una caída durante la crisis del 2002 con una sólida recuperación a partir del año 2004 y presenta una aceleración desde el 2006.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La manera en que Colafranceschi et al. (2013) estudian el hacinamiento, el cual se describe como la división entre el número de personas integrantes de un hogar entre las habitaciones disponibles en el hogar encuentra una correlación entre esta dimensión y la disminución del tamaño de los hogares más que con la ampliación del número de habitaciones en los hogares encuestados.</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Colafranceschi et al. (2013) encuentran que después de la crisis el porcentaje de hogares en condiciones de hacinamiento presentaron una fuerte disminución e infieren que pudiese deberse tanto a cambios en los niveles de fecundidad como a alteraciones en la forma que se conforman los hogares.</w:t>
      </w:r>
    </w:p>
    <w:p w:rsidR="00080599" w:rsidRPr="000A2024" w:rsidRDefault="000C2E3C" w:rsidP="00080599">
      <w:pPr>
        <w:jc w:val="center"/>
        <w:rPr>
          <w:rFonts w:ascii="Arial" w:hAnsi="Arial" w:cs="Arial"/>
          <w:sz w:val="24"/>
        </w:rPr>
      </w:pPr>
      <w:r w:rsidRPr="000A2024">
        <w:rPr>
          <w:rFonts w:ascii="Arial" w:hAnsi="Arial" w:cs="Arial"/>
          <w:noProof/>
          <w:lang w:eastAsia="es-MX"/>
        </w:rPr>
        <w:lastRenderedPageBreak/>
        <w:drawing>
          <wp:anchor distT="0" distB="0" distL="114300" distR="114300" simplePos="0" relativeHeight="251666432" behindDoc="1" locked="0" layoutInCell="1" allowOverlap="0" wp14:anchorId="24B27722" wp14:editId="6D91118A">
            <wp:simplePos x="0" y="0"/>
            <wp:positionH relativeFrom="margin">
              <wp:align>center</wp:align>
            </wp:positionH>
            <wp:positionV relativeFrom="page">
              <wp:posOffset>1066165</wp:posOffset>
            </wp:positionV>
            <wp:extent cx="2971800" cy="2211705"/>
            <wp:effectExtent l="0" t="0" r="0" b="0"/>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971800" cy="2211705"/>
                    </a:xfrm>
                    <a:prstGeom prst="rect">
                      <a:avLst/>
                    </a:prstGeom>
                  </pic:spPr>
                </pic:pic>
              </a:graphicData>
            </a:graphic>
            <wp14:sizeRelH relativeFrom="page">
              <wp14:pctWidth>0</wp14:pctWidth>
            </wp14:sizeRelH>
            <wp14:sizeRelV relativeFrom="page">
              <wp14:pctHeight>0</wp14:pctHeight>
            </wp14:sizeRelV>
          </wp:anchor>
        </w:drawing>
      </w:r>
      <w:r w:rsidR="00080599" w:rsidRPr="000A2024">
        <w:rPr>
          <w:rFonts w:ascii="Arial" w:hAnsi="Arial" w:cs="Arial"/>
          <w:sz w:val="24"/>
        </w:rPr>
        <w:br/>
        <w:t>Cuadro 1</w:t>
      </w:r>
      <w:r w:rsidR="00080599" w:rsidRPr="000A2024">
        <w:rPr>
          <w:rStyle w:val="Refdenotaalpie"/>
          <w:rFonts w:ascii="Arial" w:hAnsi="Arial" w:cs="Arial"/>
        </w:rPr>
        <w:footnoteReference w:id="14"/>
      </w:r>
    </w:p>
    <w:p w:rsidR="00080599" w:rsidRPr="000A2024" w:rsidRDefault="00080599" w:rsidP="00080599">
      <w:pPr>
        <w:jc w:val="center"/>
        <w:rPr>
          <w:rFonts w:ascii="Arial" w:hAnsi="Arial" w:cs="Arial"/>
          <w:sz w:val="24"/>
        </w:rPr>
      </w:pPr>
    </w:p>
    <w:p w:rsidR="00080599" w:rsidRPr="000A2024" w:rsidRDefault="00080599" w:rsidP="00080599">
      <w:pPr>
        <w:jc w:val="center"/>
        <w:rPr>
          <w:rFonts w:ascii="Arial" w:hAnsi="Arial" w:cs="Arial"/>
          <w:sz w:val="24"/>
        </w:rPr>
      </w:pPr>
      <w:r w:rsidRPr="000A2024">
        <w:rPr>
          <w:rFonts w:ascii="Arial" w:hAnsi="Arial" w:cs="Arial"/>
          <w:noProof/>
          <w:lang w:eastAsia="es-MX"/>
        </w:rPr>
        <w:drawing>
          <wp:inline distT="0" distB="0" distL="0" distR="0" wp14:anchorId="4CEBD645" wp14:editId="0E87FB6C">
            <wp:extent cx="4279989" cy="2390775"/>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98508" cy="2401120"/>
                    </a:xfrm>
                    <a:prstGeom prst="rect">
                      <a:avLst/>
                    </a:prstGeom>
                  </pic:spPr>
                </pic:pic>
              </a:graphicData>
            </a:graphic>
          </wp:inline>
        </w:drawing>
      </w:r>
      <w:r w:rsidRPr="000A2024">
        <w:rPr>
          <w:rFonts w:ascii="Arial" w:hAnsi="Arial" w:cs="Arial"/>
          <w:sz w:val="24"/>
        </w:rPr>
        <w:br/>
        <w:t>Gráfica 3</w:t>
      </w:r>
      <w:r w:rsidRPr="000A2024">
        <w:rPr>
          <w:rStyle w:val="Refdenotaalpie"/>
          <w:rFonts w:ascii="Arial" w:hAnsi="Arial" w:cs="Arial"/>
        </w:rPr>
        <w:footnoteReference w:id="15"/>
      </w:r>
    </w:p>
    <w:p w:rsidR="00080599" w:rsidRPr="000A2024" w:rsidRDefault="00080599" w:rsidP="00080599">
      <w:pPr>
        <w:jc w:val="both"/>
        <w:rPr>
          <w:rFonts w:ascii="Arial" w:hAnsi="Arial" w:cs="Arial"/>
          <w:sz w:val="24"/>
          <w:szCs w:val="24"/>
        </w:rPr>
      </w:pPr>
    </w:p>
    <w:p w:rsidR="00080599" w:rsidRPr="000C2E3C" w:rsidRDefault="00080599" w:rsidP="000C2E3C">
      <w:pPr>
        <w:pStyle w:val="SubTema3SinNum"/>
        <w:spacing w:before="0" w:after="120"/>
        <w:rPr>
          <w:rFonts w:ascii="Arial" w:hAnsi="Arial" w:cs="Arial"/>
          <w:b w:val="0"/>
        </w:rPr>
      </w:pPr>
      <w:bookmarkStart w:id="47" w:name="_Toc450230522"/>
      <w:r w:rsidRPr="000C2E3C">
        <w:rPr>
          <w:rFonts w:ascii="Arial" w:hAnsi="Arial" w:cs="Arial"/>
          <w:b w:val="0"/>
        </w:rPr>
        <w:lastRenderedPageBreak/>
        <w:t>Evolución de los desempeños considerados por estrato de ingreso en el periodo 2006 – 2011 de Colafranceschi et al.</w:t>
      </w:r>
      <w:bookmarkEnd w:id="47"/>
      <w:r w:rsidRPr="000C2E3C">
        <w:rPr>
          <w:rFonts w:ascii="Arial" w:hAnsi="Arial" w:cs="Arial"/>
          <w:b w:val="0"/>
        </w:rPr>
        <w:t xml:space="preserve"> </w:t>
      </w:r>
    </w:p>
    <w:p w:rsidR="00080599" w:rsidRPr="000A2024" w:rsidRDefault="00080599" w:rsidP="00080599">
      <w:pPr>
        <w:spacing w:after="120" w:line="360" w:lineRule="auto"/>
        <w:jc w:val="both"/>
        <w:rPr>
          <w:rFonts w:ascii="Arial" w:hAnsi="Arial" w:cs="Arial"/>
          <w:sz w:val="24"/>
          <w:szCs w:val="24"/>
        </w:rPr>
      </w:pPr>
      <w:r w:rsidRPr="000A2024">
        <w:rPr>
          <w:rFonts w:ascii="Arial" w:hAnsi="Arial" w:cs="Arial"/>
          <w:sz w:val="24"/>
          <w:szCs w:val="24"/>
        </w:rPr>
        <w:t>Para Colafranceschi et al. se requiere desde una primera instancia analizar el valor promedio de cada indicador correspondiente a cada percentil del ingreso per cápita del hogar. La Gráfica 4 muestra cómo los indicadores han evolucionado a lo largo del periodo de estudio 2006 – 2011 y son catalogados por centil de ingreso per cápita del hogar.</w:t>
      </w:r>
      <w:r w:rsidR="001B6066">
        <w:rPr>
          <w:rFonts w:ascii="Arial" w:hAnsi="Arial" w:cs="Arial"/>
          <w:sz w:val="24"/>
          <w:szCs w:val="24"/>
        </w:rPr>
        <w:br/>
      </w:r>
      <w:r w:rsidR="00E744DE" w:rsidRPr="000A2024">
        <w:rPr>
          <w:rFonts w:ascii="Arial" w:hAnsi="Arial" w:cs="Arial"/>
          <w:sz w:val="24"/>
          <w:szCs w:val="24"/>
        </w:rPr>
        <w:t>S</w:t>
      </w:r>
      <w:r w:rsidRPr="000A2024">
        <w:rPr>
          <w:rFonts w:ascii="Arial" w:hAnsi="Arial" w:cs="Arial"/>
          <w:sz w:val="24"/>
          <w:szCs w:val="24"/>
        </w:rPr>
        <w:t>egún la Gráfica 4 el ingreso y el acceso a bienes durables ha aumentado en los sectores que se pueden considerar como bajos y medios que en comparación de las dimensiones de clima educativo y de hacinamiento no han tenido una mejora significativa pero sí existente.</w:t>
      </w:r>
    </w:p>
    <w:p w:rsidR="00080599" w:rsidRPr="000A2024" w:rsidRDefault="001B6066" w:rsidP="00080599">
      <w:pPr>
        <w:spacing w:after="120" w:line="360" w:lineRule="auto"/>
        <w:jc w:val="both"/>
        <w:rPr>
          <w:rFonts w:ascii="Arial" w:hAnsi="Arial" w:cs="Arial"/>
          <w:sz w:val="24"/>
          <w:szCs w:val="24"/>
        </w:rPr>
      </w:pPr>
      <w:r w:rsidRPr="000A2024">
        <w:rPr>
          <w:rFonts w:ascii="Arial" w:hAnsi="Arial" w:cs="Arial"/>
          <w:noProof/>
          <w:lang w:eastAsia="es-MX"/>
        </w:rPr>
        <w:drawing>
          <wp:anchor distT="0" distB="0" distL="114300" distR="114300" simplePos="0" relativeHeight="251668480" behindDoc="0" locked="0" layoutInCell="1" allowOverlap="1" wp14:anchorId="60E49A08" wp14:editId="3CF60EEE">
            <wp:simplePos x="0" y="0"/>
            <wp:positionH relativeFrom="margin">
              <wp:posOffset>1291590</wp:posOffset>
            </wp:positionH>
            <wp:positionV relativeFrom="paragraph">
              <wp:posOffset>934720</wp:posOffset>
            </wp:positionV>
            <wp:extent cx="2943225" cy="3562350"/>
            <wp:effectExtent l="0" t="0" r="9525" b="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943225" cy="3562350"/>
                    </a:xfrm>
                    <a:prstGeom prst="rect">
                      <a:avLst/>
                    </a:prstGeom>
                  </pic:spPr>
                </pic:pic>
              </a:graphicData>
            </a:graphic>
            <wp14:sizeRelH relativeFrom="page">
              <wp14:pctWidth>0</wp14:pctWidth>
            </wp14:sizeRelH>
            <wp14:sizeRelV relativeFrom="page">
              <wp14:pctHeight>0</wp14:pctHeight>
            </wp14:sizeRelV>
          </wp:anchor>
        </w:drawing>
      </w:r>
      <w:r w:rsidR="00080599" w:rsidRPr="000A2024">
        <w:rPr>
          <w:rFonts w:ascii="Arial" w:hAnsi="Arial" w:cs="Arial"/>
          <w:sz w:val="24"/>
          <w:szCs w:val="24"/>
        </w:rPr>
        <w:t>Colafranceschi y Vigorito (citados en Colafranceschi et al., 2013) aseveran que la evolución de la economía y del ingreso de los hogares poseen mejoras consistentes al igual que las tasas de empleo, ocupación, desocupación y de formalidad.</w:t>
      </w:r>
    </w:p>
    <w:p w:rsidR="001B6066" w:rsidRPr="000A2024" w:rsidRDefault="001B6066" w:rsidP="001B6066">
      <w:pPr>
        <w:jc w:val="center"/>
        <w:rPr>
          <w:rFonts w:ascii="Arial" w:hAnsi="Arial" w:cs="Arial"/>
          <w:sz w:val="24"/>
        </w:rPr>
      </w:pPr>
      <w:r w:rsidRPr="000A2024">
        <w:rPr>
          <w:rFonts w:ascii="Arial" w:hAnsi="Arial" w:cs="Arial"/>
          <w:sz w:val="24"/>
        </w:rPr>
        <w:t>Gráfica 4</w:t>
      </w:r>
      <w:r w:rsidRPr="000A2024">
        <w:rPr>
          <w:rStyle w:val="Refdenotaalpie"/>
          <w:rFonts w:ascii="Arial" w:hAnsi="Arial" w:cs="Arial"/>
        </w:rPr>
        <w:footnoteReference w:id="16"/>
      </w:r>
    </w:p>
    <w:p w:rsidR="00080599" w:rsidRPr="000A2024" w:rsidRDefault="001B6066" w:rsidP="001B6066">
      <w:pPr>
        <w:spacing w:after="240" w:line="360" w:lineRule="auto"/>
        <w:jc w:val="both"/>
        <w:rPr>
          <w:rFonts w:ascii="Arial" w:hAnsi="Arial" w:cs="Arial"/>
          <w:b/>
          <w:sz w:val="24"/>
        </w:rPr>
      </w:pPr>
      <w:r w:rsidRPr="000A2024">
        <w:rPr>
          <w:rFonts w:ascii="Arial" w:hAnsi="Arial" w:cs="Arial"/>
          <w:sz w:val="24"/>
        </w:rPr>
        <w:lastRenderedPageBreak/>
        <w:t>Colafranceschi y Vigorito (citados en Colafranceschi et al., 2013) también destacan la fuerte reducción del desempleo, el crecimiento de la tasa de empleo y del acceso a la cobertura social como una robusta y concreta tendencia positiva.</w:t>
      </w:r>
    </w:p>
    <w:p w:rsidR="00080599" w:rsidRPr="000A2024" w:rsidRDefault="00080599" w:rsidP="001B6066">
      <w:pPr>
        <w:pStyle w:val="SubTema"/>
        <w:spacing w:after="120"/>
        <w:rPr>
          <w:rFonts w:ascii="Arial" w:hAnsi="Arial" w:cs="Arial"/>
        </w:rPr>
      </w:pPr>
      <w:bookmarkStart w:id="48" w:name="_Toc450230523"/>
      <w:r w:rsidRPr="000A2024">
        <w:rPr>
          <w:rFonts w:ascii="Arial" w:hAnsi="Arial" w:cs="Arial"/>
        </w:rPr>
        <w:t>La evolución de la desigualdad multidimensional en Uruguay durante el periodo 2006 – 2011 según Colafranceschi et al.</w:t>
      </w:r>
      <w:bookmarkEnd w:id="48"/>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(2013) miden la evolución de la desigualdad detallando las distintas dimensiones de pobreza multidimensional con cruces y aperturas del análisis por región, sexo del jefe y quinquenio de edad. </w:t>
      </w:r>
    </w:p>
    <w:p w:rsidR="00080599" w:rsidRPr="000A2024" w:rsidRDefault="00080599" w:rsidP="00080599">
      <w:pPr>
        <w:jc w:val="center"/>
        <w:rPr>
          <w:rFonts w:ascii="Arial" w:hAnsi="Arial" w:cs="Arial"/>
          <w:sz w:val="24"/>
        </w:rPr>
      </w:pPr>
      <w:r w:rsidRPr="000A2024">
        <w:rPr>
          <w:rFonts w:ascii="Arial" w:hAnsi="Arial" w:cs="Arial"/>
          <w:noProof/>
          <w:lang w:eastAsia="es-MX"/>
        </w:rPr>
        <w:drawing>
          <wp:inline distT="0" distB="0" distL="0" distR="0" wp14:anchorId="417A77FE" wp14:editId="125A30BB">
            <wp:extent cx="4219575" cy="13811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19575" cy="1381125"/>
                    </a:xfrm>
                    <a:prstGeom prst="rect">
                      <a:avLst/>
                    </a:prstGeom>
                  </pic:spPr>
                </pic:pic>
              </a:graphicData>
            </a:graphic>
          </wp:inline>
        </w:drawing>
      </w:r>
      <w:r w:rsidRPr="000A2024">
        <w:rPr>
          <w:rFonts w:ascii="Arial" w:hAnsi="Arial" w:cs="Arial"/>
          <w:sz w:val="24"/>
        </w:rPr>
        <w:br/>
        <w:t>Cuadro 2</w:t>
      </w:r>
      <w:r w:rsidRPr="000A2024">
        <w:rPr>
          <w:rStyle w:val="Refdenotaalpie"/>
          <w:rFonts w:ascii="Arial" w:hAnsi="Arial" w:cs="Arial"/>
        </w:rPr>
        <w:footnoteReference w:id="17"/>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aseguran que en todo Uruguay la dimensión de ingreso fue la que más presentó disparidades y en contraste el clima educativo no tuvo gran movimiento. El ingreso a lo largo del periodo de estudio mostró una gran disminución en desigualdad que de por sí ya se encontraba muy por debajo del promedio latinoamericano mientras que el clima educativo obtuvo una leve mejora.</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Durante el periodo 2006 – 2011 se redujo la desigualdad en las dimensiones de hacinamiento, educación, ingreso per cápita, en el índice de materiales de la vivienda y en el acceso a bienes durables según el estudio de Colafranceschi et al. (2013).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Este estudio asegura que el rápido descenso de la desigualdad comenzó a partir del año 2008 tras una década de aumento. Aseguran que este descenso se debe a </w:t>
      </w:r>
      <w:r w:rsidRPr="000A2024">
        <w:rPr>
          <w:rFonts w:ascii="Arial" w:hAnsi="Arial" w:cs="Arial"/>
          <w:sz w:val="24"/>
        </w:rPr>
        <w:lastRenderedPageBreak/>
        <w:t>un aumento de las transferencias no contributivas, a la introducción del IRPF y a una reducción de desigualdad en el mercado laboral gracias al aumento del empleo.</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comentan que, en cuanto a la educación, el avance en el tema de la desigualdad no ha presentado gran significado y esto se puede percibir en el Cuadro 2.</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El estudio de Amarante et al. (citado en Colafranceschi et al., 2013) durante el 2011 se aboca al análisis de las brechas de calificación entre la población ocupada.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Este análisis encuentra que durante el año de 1981 la diferencia absoluta en años de educación, entre el quintil 1 y 5, de la población ocupada era de 4.6 años el cual en contraste con el análisis del año 2010 mostró un aumento de 1.5 años más en esta brecha.</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explican el descenso de la desigualdad en la dimensión de acceso a bienes durables con el aumento del ingreso y la diversificación de los bienes de consumo durables a lo largo del periodo de estudio.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Así mismo el Cuadro 2 muestra que el indicador de materiales de la vivienda posee una ligera caída lo cual se comprende con la mejora de las demás dimensiones.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(2013) afirman que la dimensión que presenta mayor inequidad en Montevideo durante todo el periodo de estudio fue el ingreso de los hogares.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Para el resto de las regiones la dimensión con mayor inequidad en el 2006 fue el acceso a bienes durables y que en comparación al final del periodo en el año 2011 la dimensión con mayor inequidad pasó a ser la de vivienda.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(2013) dicen que las áreas urbanizadas que cuentan con una población mayor a 5000 habitantes, el indicador compuesto de materiales de la vivienda presenta una clara disminución de desigualdad a lo largo del periodo.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De nuevo en contraste, las zonas pobladas urbanas con menos de 5000 habitantes el indicador compuesto de materiales de la vivienda presentó incrementos de desigualdad.</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lastRenderedPageBreak/>
        <w:t xml:space="preserve">Colafranceschi et al. (2013) filtran la información por sexo del jefe de hogar y encuentran que las dimensiones con mayor desigualdad son las de acceso a bienes durables y el hacinamiento en los hogares con jefatura femenina respecto a los hogares con jefaturas masculinas.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Nuevamente la dimensión de ingreso es la que presenta comportamientos atípicos en su variación.</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Cabe ser destacado, según Colafranceschi et al., que las ECH muestran que los hogares con jefaturas femeninas se configuran de diferente manera, que estos hogares se componen principalmente como unipersonales o monoparentales.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Por otra parte, el análisis detallado por grupo de edad presenta comportamientos parecidos a los del segmento de sexo de la jefatura del hogar. Según Colafranceschi et al., la dimensión que presenta menores niveles de desigualdad es la de educación y explica que se presenta en las cohortes de quinquenios más jóvenes.</w:t>
      </w:r>
    </w:p>
    <w:p w:rsidR="00080599" w:rsidRPr="000A2024" w:rsidRDefault="00080599" w:rsidP="00080599">
      <w:pPr>
        <w:jc w:val="center"/>
        <w:rPr>
          <w:rFonts w:ascii="Arial" w:hAnsi="Arial" w:cs="Arial"/>
        </w:rPr>
      </w:pPr>
      <w:r w:rsidRPr="000A2024">
        <w:rPr>
          <w:rFonts w:ascii="Arial" w:hAnsi="Arial" w:cs="Arial"/>
          <w:noProof/>
          <w:lang w:eastAsia="es-MX"/>
        </w:rPr>
        <w:drawing>
          <wp:inline distT="0" distB="0" distL="0" distR="0" wp14:anchorId="290C272A" wp14:editId="524736B2">
            <wp:extent cx="4305300" cy="3548611"/>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07029" cy="3550036"/>
                    </a:xfrm>
                    <a:prstGeom prst="rect">
                      <a:avLst/>
                    </a:prstGeom>
                  </pic:spPr>
                </pic:pic>
              </a:graphicData>
            </a:graphic>
          </wp:inline>
        </w:drawing>
      </w:r>
      <w:r w:rsidRPr="000A2024">
        <w:rPr>
          <w:rFonts w:ascii="Arial" w:hAnsi="Arial" w:cs="Arial"/>
        </w:rPr>
        <w:br/>
        <w:t>Gráfica 5</w:t>
      </w:r>
      <w:r w:rsidRPr="000A2024">
        <w:rPr>
          <w:rStyle w:val="Refdenotaalpie"/>
          <w:rFonts w:ascii="Arial" w:hAnsi="Arial" w:cs="Arial"/>
        </w:rPr>
        <w:footnoteReference w:id="18"/>
      </w:r>
    </w:p>
    <w:p w:rsidR="00080599" w:rsidRPr="000A2024" w:rsidRDefault="00080599" w:rsidP="00080599">
      <w:pPr>
        <w:jc w:val="both"/>
        <w:rPr>
          <w:rFonts w:ascii="Arial" w:hAnsi="Arial" w:cs="Arial"/>
        </w:rPr>
      </w:pPr>
    </w:p>
    <w:p w:rsidR="00080599" w:rsidRPr="001B6066" w:rsidRDefault="00080599" w:rsidP="001B6066">
      <w:pPr>
        <w:pStyle w:val="SubTema3SinNum"/>
        <w:spacing w:after="120"/>
        <w:rPr>
          <w:rFonts w:ascii="Arial" w:hAnsi="Arial" w:cs="Arial"/>
          <w:b w:val="0"/>
        </w:rPr>
      </w:pPr>
      <w:bookmarkStart w:id="49" w:name="_Toc450230524"/>
      <w:r w:rsidRPr="001B6066">
        <w:rPr>
          <w:rFonts w:ascii="Arial" w:hAnsi="Arial" w:cs="Arial"/>
          <w:b w:val="0"/>
        </w:rPr>
        <w:t>La evolución de los índices agregados de desigualdad multidimensional</w:t>
      </w:r>
      <w:bookmarkEnd w:id="49"/>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(2013) buscan hacer el cálculo de la desigualdad multidimensional en base a indicadores especificados para cada dimensión que se sintetiza en cada persona u hogar estudiado.</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Todos los indicadores que se utilizaron en su estudio advierten ser medidas de entropía generalizadas, es decir, se consideran valores de aversión a la desigualdad y valores que reflejan las relaciones entre dimensiones. Estos valores son </w:t>
      </w:r>
      <m:oMath>
        <m:r>
          <w:rPr>
            <w:rFonts w:ascii="Cambria Math" w:hAnsi="Cambria Math" w:cs="Arial"/>
            <w:sz w:val="24"/>
          </w:rPr>
          <m:t>α</m:t>
        </m:r>
      </m:oMath>
      <w:r w:rsidRPr="000A2024">
        <w:rPr>
          <w:rFonts w:ascii="Arial" w:hAnsi="Arial" w:cs="Arial"/>
          <w:sz w:val="24"/>
        </w:rPr>
        <w:t xml:space="preserve"> y </w:t>
      </w:r>
      <m:oMath>
        <m:r>
          <w:rPr>
            <w:rFonts w:ascii="Cambria Math" w:hAnsi="Cambria Math" w:cs="Arial"/>
            <w:sz w:val="24"/>
          </w:rPr>
          <m:t>β</m:t>
        </m:r>
      </m:oMath>
      <w:r w:rsidRPr="000A2024">
        <w:rPr>
          <w:rFonts w:ascii="Arial" w:hAnsi="Arial" w:cs="Arial"/>
          <w:sz w:val="24"/>
        </w:rPr>
        <w:t xml:space="preserve"> respectivamente.</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Si el valor numérico de </w:t>
      </w:r>
      <m:oMath>
        <m:r>
          <w:rPr>
            <w:rFonts w:ascii="Cambria Math" w:hAnsi="Cambria Math" w:cs="Arial"/>
            <w:sz w:val="24"/>
          </w:rPr>
          <m:t>α</m:t>
        </m:r>
      </m:oMath>
      <w:r w:rsidRPr="000A2024">
        <w:rPr>
          <w:rFonts w:ascii="Arial" w:hAnsi="Arial" w:cs="Arial"/>
          <w:sz w:val="24"/>
        </w:rPr>
        <w:t xml:space="preserve"> tiende a 0 entonces los cambios en la cola baja de la distribución de dicha dimensión poseerá mayor ponderación de importancia y por el contrario, si su valor aumenta reflejará mayor repulsión a la desigualdad. Colafranceschi et al. (2013) utilizaron los valores de 0, 0.5 y 1 para su estudio.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La elasticidad de sustitución (</w:t>
      </w:r>
      <m:oMath>
        <m:r>
          <w:rPr>
            <w:rFonts w:ascii="Cambria Math" w:hAnsi="Cambria Math" w:cs="Arial"/>
            <w:sz w:val="24"/>
          </w:rPr>
          <m:t>σ</m:t>
        </m:r>
      </m:oMath>
      <w:r w:rsidRPr="000A2024">
        <w:rPr>
          <w:rFonts w:ascii="Arial" w:hAnsi="Arial" w:cs="Arial"/>
          <w:sz w:val="24"/>
        </w:rPr>
        <w:t xml:space="preserve">) la consideran constante y se calcula desde la razón </w:t>
      </w:r>
      <m:oMath>
        <m:r>
          <w:rPr>
            <w:rFonts w:ascii="Cambria Math" w:hAnsi="Cambria Math" w:cs="Arial"/>
            <w:sz w:val="24"/>
          </w:rPr>
          <m:t>σ</m:t>
        </m:r>
        <m:r>
          <m:rPr>
            <m:sty m:val="p"/>
          </m:rPr>
          <w:rPr>
            <w:rFonts w:ascii="Cambria Math" w:hAnsi="Cambria Math" w:cs="Arial"/>
            <w:sz w:val="24"/>
          </w:rPr>
          <m:t>=1/(1-</m:t>
        </m:r>
        <m:r>
          <w:rPr>
            <w:rFonts w:ascii="Cambria Math" w:hAnsi="Cambria Math" w:cs="Arial"/>
            <w:sz w:val="24"/>
          </w:rPr>
          <m:t>β</m:t>
        </m:r>
        <m:r>
          <m:rPr>
            <m:sty m:val="p"/>
          </m:rPr>
          <w:rPr>
            <w:rFonts w:ascii="Cambria Math" w:hAnsi="Cambria Math" w:cs="Arial"/>
            <w:sz w:val="24"/>
          </w:rPr>
          <m:t>)</m:t>
        </m:r>
      </m:oMath>
      <w:r w:rsidRPr="000A2024">
        <w:rPr>
          <w:rFonts w:ascii="Arial" w:hAnsi="Arial" w:cs="Arial"/>
          <w:sz w:val="24"/>
        </w:rPr>
        <w:t xml:space="preserve">. Así el valor de </w:t>
      </w:r>
      <m:oMath>
        <m:r>
          <w:rPr>
            <w:rFonts w:ascii="Cambria Math" w:hAnsi="Cambria Math" w:cs="Arial"/>
            <w:sz w:val="24"/>
          </w:rPr>
          <m:t>β</m:t>
        </m:r>
      </m:oMath>
      <w:r w:rsidRPr="000A2024">
        <w:rPr>
          <w:rFonts w:ascii="Arial" w:hAnsi="Arial" w:cs="Arial"/>
          <w:sz w:val="24"/>
        </w:rPr>
        <w:t xml:space="preserve"> describirá la elasticidad de sustitución entre variables, si su valor tiende a 0 implicará que las dimensiones son sustitutos perfectos, es decir, que el incremento de una dará como resultado la disminución de la otra.</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Bourguignon y Chakravarty (citados en Colafranceschi et al., 2013) definen que si </w:t>
      </w:r>
      <m:oMath>
        <m:r>
          <w:rPr>
            <w:rFonts w:ascii="Cambria Math" w:hAnsi="Cambria Math" w:cs="Arial"/>
            <w:sz w:val="24"/>
          </w:rPr>
          <m:t>α</m:t>
        </m:r>
      </m:oMath>
      <w:r w:rsidRPr="000A2024">
        <w:rPr>
          <w:rFonts w:ascii="Arial" w:hAnsi="Arial" w:cs="Arial"/>
          <w:sz w:val="24"/>
        </w:rPr>
        <w:t xml:space="preserve"> es menor a </w:t>
      </w:r>
      <m:oMath>
        <m:r>
          <w:rPr>
            <w:rFonts w:ascii="Cambria Math" w:hAnsi="Cambria Math" w:cs="Arial"/>
            <w:sz w:val="24"/>
          </w:rPr>
          <m:t>β</m:t>
        </m:r>
      </m:oMath>
      <w:r w:rsidRPr="000A2024">
        <w:rPr>
          <w:rFonts w:ascii="Arial" w:hAnsi="Arial" w:cs="Arial"/>
          <w:sz w:val="24"/>
        </w:rPr>
        <w:t xml:space="preserve"> implicaría que sustituibilidad entre las dimensiones y los niveles de sustituibilidad serían dados por </w:t>
      </w:r>
      <m:oMath>
        <m:r>
          <w:rPr>
            <w:rFonts w:ascii="Cambria Math" w:hAnsi="Cambria Math" w:cs="Arial"/>
            <w:sz w:val="24"/>
          </w:rPr>
          <m:t>β</m:t>
        </m:r>
      </m:oMath>
      <w:r w:rsidRPr="000A2024">
        <w:rPr>
          <w:rFonts w:ascii="Arial" w:hAnsi="Arial" w:cs="Arial"/>
          <w:sz w:val="24"/>
        </w:rPr>
        <w:t>. Advierten también que en el caso contrario (</w:t>
      </w:r>
      <m:oMath>
        <m:r>
          <w:rPr>
            <w:rFonts w:ascii="Cambria Math" w:hAnsi="Cambria Math" w:cs="Arial"/>
            <w:sz w:val="24"/>
          </w:rPr>
          <m:t>α≥β</m:t>
        </m:r>
      </m:oMath>
      <w:r w:rsidRPr="000A2024">
        <w:rPr>
          <w:rFonts w:ascii="Arial" w:hAnsi="Arial" w:cs="Arial"/>
          <w:sz w:val="24"/>
        </w:rPr>
        <w:t xml:space="preserve">) las dimensiones se complementan, es decir, </w:t>
      </w:r>
    </w:p>
    <w:p w:rsidR="00080599" w:rsidRPr="000A2024" w:rsidRDefault="00080599" w:rsidP="00080599">
      <w:pPr>
        <w:jc w:val="center"/>
        <w:rPr>
          <w:rFonts w:ascii="Arial" w:hAnsi="Arial" w:cs="Arial"/>
          <w:sz w:val="24"/>
        </w:rPr>
      </w:pPr>
      <w:r w:rsidRPr="000A2024">
        <w:rPr>
          <w:rFonts w:ascii="Arial" w:hAnsi="Arial" w:cs="Arial"/>
          <w:noProof/>
          <w:lang w:eastAsia="es-MX"/>
        </w:rPr>
        <w:lastRenderedPageBreak/>
        <w:drawing>
          <wp:inline distT="0" distB="0" distL="0" distR="0" wp14:anchorId="110A2C99" wp14:editId="4E5DAC91">
            <wp:extent cx="4686300" cy="330517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686300" cy="3305175"/>
                    </a:xfrm>
                    <a:prstGeom prst="rect">
                      <a:avLst/>
                    </a:prstGeom>
                  </pic:spPr>
                </pic:pic>
              </a:graphicData>
            </a:graphic>
          </wp:inline>
        </w:drawing>
      </w:r>
      <w:r w:rsidRPr="000A2024">
        <w:rPr>
          <w:rFonts w:ascii="Arial" w:hAnsi="Arial" w:cs="Arial"/>
          <w:sz w:val="24"/>
        </w:rPr>
        <w:br/>
        <w:t>Cuadro 3</w:t>
      </w:r>
      <w:r w:rsidRPr="000A2024">
        <w:rPr>
          <w:rStyle w:val="Refdenotaalpie"/>
          <w:rFonts w:ascii="Arial" w:hAnsi="Arial" w:cs="Arial"/>
        </w:rPr>
        <w:footnoteReference w:id="19"/>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En el Cuadro 3, los niveles de desigualdad, en el caso de los índices de Maatsumi son determinados y explicados con mayor ponderación por el parámetro β. Siendo en el caso de los índices de Bourguignon, dependientes en una combinación de los parámetros, tanto de α como β.</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Los índices de Bourguignon muestran en términos generales que si la relación de sustitución entre dimensiones es menor (cuando β tiende hacia el infinito negativo), la desigualdad es mayor. El parámetro de aversión a la desigualdad α no es claro según Colafranceschi et al. (2013).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Análogamente, los índices de Maatsumi sugieren que existe menor nivel o grado de desigualdad cuando el valor de β es igual a 0 en comparación igualando a 1, también se puede apreciar que si </w:t>
      </w:r>
      <w:r w:rsidR="00145B42" w:rsidRPr="000A2024">
        <w:rPr>
          <w:rFonts w:ascii="Arial" w:hAnsi="Arial" w:cs="Arial"/>
          <w:sz w:val="24"/>
        </w:rPr>
        <w:t>este</w:t>
      </w:r>
      <w:r w:rsidRPr="000A2024">
        <w:rPr>
          <w:rFonts w:ascii="Arial" w:hAnsi="Arial" w:cs="Arial"/>
          <w:sz w:val="24"/>
        </w:rPr>
        <w:t xml:space="preserve"> tiende hacia el infinito negativo aumentan de forma importante los niveles de desigualdad. La desigualdad muestra niveles relativamente bajos cuando aumentan los valores de los sectores bajos (α).</w:t>
      </w:r>
    </w:p>
    <w:p w:rsidR="00080599" w:rsidRPr="000A2024" w:rsidRDefault="00080599" w:rsidP="00080599">
      <w:pPr>
        <w:spacing w:after="120" w:line="360" w:lineRule="auto"/>
        <w:jc w:val="both"/>
        <w:rPr>
          <w:rFonts w:ascii="Arial" w:hAnsi="Arial" w:cs="Arial"/>
          <w:sz w:val="24"/>
        </w:rPr>
      </w:pPr>
    </w:p>
    <w:p w:rsidR="00080599" w:rsidRPr="000A2024" w:rsidRDefault="00080599" w:rsidP="001B6066">
      <w:pPr>
        <w:pStyle w:val="SubTema"/>
        <w:spacing w:after="120"/>
        <w:rPr>
          <w:rFonts w:ascii="Arial" w:eastAsiaTheme="minorEastAsia" w:hAnsi="Arial" w:cs="Arial"/>
        </w:rPr>
      </w:pPr>
      <w:bookmarkStart w:id="50" w:name="_Toc450230525"/>
      <w:r w:rsidRPr="000A2024">
        <w:rPr>
          <w:rFonts w:ascii="Arial" w:eastAsiaTheme="minorEastAsia" w:hAnsi="Arial" w:cs="Arial"/>
        </w:rPr>
        <w:t>La trayectoria de la pobreza y vulnerabilidad en el estudio de Colafranceschi et al.</w:t>
      </w:r>
      <w:bookmarkEnd w:id="50"/>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El estudio de Colafranceschi et al. (2013) comprende a la pobreza como la ausencia de logros por encima de ciertos mínimos, utiliza como unidades de estudio a los hogares y buscan apreciar la evolución de la pobreza dentro de las diversas dimensiones previamente descritas.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Este estudio utiliza la primera oleada de la ESNN levantada durante el 2004 y como complemento a la tercera oleada de los años 2011 y 2012. Colafranceschi et al. hacen algunas observaciones acerca de la estabilidad que presentan los logros en cada dimensión.</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En el estudio se presenta primero la evolución de la pobreza dentro de las diversas dimensiones a estudiar para así después analizar las transiciones hacia a fuera de la pobreza. Al final ocupan la metodología de Dutta et al. (citado en Colafranceschi et al., 2013) para realizar una aproximación a la vulnerabilidad de ingresos.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(2013) consideran principalmente a las dimensiones de educación, acceso a recursos, hacinamiento y salud:</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ab/>
      </w:r>
      <w:r w:rsidRPr="000A2024">
        <w:rPr>
          <w:rFonts w:ascii="Arial" w:hAnsi="Arial" w:cs="Arial"/>
          <w:i/>
          <w:sz w:val="24"/>
        </w:rPr>
        <w:t>Educación.</w:t>
      </w:r>
      <w:r w:rsidRPr="000A2024">
        <w:rPr>
          <w:rFonts w:ascii="Arial" w:hAnsi="Arial" w:cs="Arial"/>
          <w:sz w:val="24"/>
        </w:rPr>
        <w:t xml:space="preserve"> Para su análisis realizaron una aproximación a través del clima educativo del hogar y realizaron estimaciones utilizando dos umbrales: Menor de 6 y 9 años de educación.</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ab/>
      </w:r>
      <w:r w:rsidRPr="000A2024">
        <w:rPr>
          <w:rFonts w:ascii="Arial" w:hAnsi="Arial" w:cs="Arial"/>
          <w:i/>
          <w:sz w:val="24"/>
        </w:rPr>
        <w:t>Hacinamiento.</w:t>
      </w:r>
      <w:r w:rsidRPr="000A2024">
        <w:rPr>
          <w:rFonts w:ascii="Arial" w:hAnsi="Arial" w:cs="Arial"/>
          <w:sz w:val="24"/>
        </w:rPr>
        <w:t xml:space="preserve"> La dimensión presentó una disminución de 8 puntos porcentuales.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ab/>
      </w:r>
      <w:r w:rsidRPr="000A2024">
        <w:rPr>
          <w:rFonts w:ascii="Arial" w:hAnsi="Arial" w:cs="Arial"/>
          <w:i/>
          <w:sz w:val="24"/>
        </w:rPr>
        <w:t>Acceso a recursos.</w:t>
      </w:r>
      <w:r w:rsidRPr="000A2024">
        <w:rPr>
          <w:rFonts w:ascii="Arial" w:hAnsi="Arial" w:cs="Arial"/>
          <w:sz w:val="24"/>
        </w:rPr>
        <w:t xml:space="preserve"> Es la dimensión cuyos resultados fueron los más satisfactorios, afirman Colafranceschi et al. (2013). En el desempeño de sus dos componentes, ingresos y el acceso a bienes durables, se puede decir que tienen avances significativos:</w:t>
      </w:r>
    </w:p>
    <w:p w:rsidR="00080599" w:rsidRPr="000A2024" w:rsidRDefault="00080599" w:rsidP="00080599">
      <w:pPr>
        <w:pStyle w:val="Prrafodelista"/>
        <w:numPr>
          <w:ilvl w:val="0"/>
          <w:numId w:val="77"/>
        </w:numPr>
        <w:spacing w:after="120" w:line="360" w:lineRule="auto"/>
        <w:jc w:val="both"/>
        <w:rPr>
          <w:rFonts w:ascii="Arial" w:hAnsi="Arial" w:cs="Arial"/>
          <w:sz w:val="24"/>
        </w:rPr>
      </w:pPr>
      <w:r w:rsidRPr="000A2024">
        <w:rPr>
          <w:rFonts w:ascii="Arial" w:hAnsi="Arial" w:cs="Arial"/>
          <w:sz w:val="24"/>
        </w:rPr>
        <w:t>Pobreza por ingresos: se redujo del 80% al 60% en tan sólo los cinco años del periodo en estudio.</w:t>
      </w:r>
    </w:p>
    <w:p w:rsidR="00080599" w:rsidRPr="000A2024" w:rsidRDefault="00080599" w:rsidP="00080599">
      <w:pPr>
        <w:pStyle w:val="Prrafodelista"/>
        <w:numPr>
          <w:ilvl w:val="0"/>
          <w:numId w:val="77"/>
        </w:numPr>
        <w:spacing w:after="120" w:line="360" w:lineRule="auto"/>
        <w:jc w:val="both"/>
        <w:rPr>
          <w:rFonts w:ascii="Arial" w:hAnsi="Arial" w:cs="Arial"/>
          <w:sz w:val="24"/>
        </w:rPr>
      </w:pPr>
      <w:r w:rsidRPr="000A2024">
        <w:rPr>
          <w:rFonts w:ascii="Arial" w:hAnsi="Arial" w:cs="Arial"/>
          <w:sz w:val="24"/>
        </w:rPr>
        <w:lastRenderedPageBreak/>
        <w:t>El índice de acceso a bienes durables tuvo una contracción de 16 puntos porcentuales a lo largo del periodo de estudio.</w:t>
      </w:r>
    </w:p>
    <w:p w:rsidR="00080599" w:rsidRPr="000A2024" w:rsidRDefault="00080599" w:rsidP="00080599">
      <w:pPr>
        <w:spacing w:after="120" w:line="360" w:lineRule="auto"/>
        <w:ind w:firstLine="708"/>
        <w:jc w:val="both"/>
        <w:rPr>
          <w:rFonts w:ascii="Arial" w:hAnsi="Arial" w:cs="Arial"/>
          <w:i/>
          <w:sz w:val="24"/>
        </w:rPr>
      </w:pPr>
      <w:r w:rsidRPr="000A2024">
        <w:rPr>
          <w:rFonts w:ascii="Arial" w:hAnsi="Arial" w:cs="Arial"/>
          <w:i/>
          <w:sz w:val="24"/>
        </w:rPr>
        <w:t xml:space="preserve">Salud </w:t>
      </w:r>
      <w:r w:rsidRPr="000A2024">
        <w:rPr>
          <w:rFonts w:ascii="Arial" w:hAnsi="Arial" w:cs="Arial"/>
          <w:sz w:val="24"/>
        </w:rPr>
        <w:t>La nutrición es algo importante, advierte Thomas et al. (citado en Colafranceschi et al., 2013), debido a que gran parte de los logros de las personas se encuentran en función de su salud por medio de habilidades psicomotoras y sociales que permiten un desarrollo social.</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La gravedad con que afecta la pobreza es medida en valores normalizados de desviación estándar, bajo esta medida se define un umbral dentro de esta dimensión:</w:t>
      </w:r>
    </w:p>
    <w:p w:rsidR="00080599" w:rsidRPr="000A2024" w:rsidRDefault="00080599" w:rsidP="00080599">
      <w:pPr>
        <w:pStyle w:val="Prrafodelista"/>
        <w:numPr>
          <w:ilvl w:val="0"/>
          <w:numId w:val="78"/>
        </w:numPr>
        <w:spacing w:after="120" w:line="360" w:lineRule="auto"/>
        <w:jc w:val="both"/>
        <w:rPr>
          <w:rFonts w:ascii="Arial" w:eastAsiaTheme="minorEastAsia" w:hAnsi="Arial" w:cs="Arial"/>
          <w:sz w:val="24"/>
        </w:rPr>
      </w:pPr>
      <w:r w:rsidRPr="000A2024">
        <w:rPr>
          <w:rFonts w:ascii="Arial" w:eastAsiaTheme="minorEastAsia" w:hAnsi="Arial" w:cs="Arial"/>
          <w:sz w:val="24"/>
        </w:rPr>
        <w:t>Para las dimensiones del índice de masa corporal (IMC) y la talla para la edad, las personas pueden ser consideradas dentro de dos tipos de pobreza.</w:t>
      </w:r>
    </w:p>
    <w:p w:rsidR="00080599" w:rsidRPr="000A2024" w:rsidRDefault="00080599" w:rsidP="00080599">
      <w:pPr>
        <w:pStyle w:val="Prrafodelista"/>
        <w:numPr>
          <w:ilvl w:val="1"/>
          <w:numId w:val="78"/>
        </w:numPr>
        <w:spacing w:after="120" w:line="360" w:lineRule="auto"/>
        <w:jc w:val="both"/>
        <w:rPr>
          <w:rFonts w:ascii="Arial" w:eastAsiaTheme="minorEastAsia" w:hAnsi="Arial" w:cs="Arial"/>
          <w:sz w:val="24"/>
        </w:rPr>
      </w:pPr>
      <w:r w:rsidRPr="000A2024">
        <w:rPr>
          <w:rFonts w:ascii="Arial" w:eastAsiaTheme="minorEastAsia" w:hAnsi="Arial" w:cs="Arial"/>
          <w:sz w:val="24"/>
        </w:rPr>
        <w:t xml:space="preserve"> Pobreza leve cuando los valores normalizados son mayores o iguales a -1 desviación estándar.</w:t>
      </w:r>
    </w:p>
    <w:p w:rsidR="00080599" w:rsidRPr="000A2024" w:rsidRDefault="00080599" w:rsidP="00080599">
      <w:pPr>
        <w:pStyle w:val="Prrafodelista"/>
        <w:numPr>
          <w:ilvl w:val="1"/>
          <w:numId w:val="78"/>
        </w:numPr>
        <w:spacing w:after="120" w:line="360" w:lineRule="auto"/>
        <w:jc w:val="both"/>
        <w:rPr>
          <w:rFonts w:ascii="Arial" w:eastAsiaTheme="minorEastAsia" w:hAnsi="Arial" w:cs="Arial"/>
          <w:sz w:val="24"/>
        </w:rPr>
      </w:pPr>
      <w:r w:rsidRPr="000A2024">
        <w:rPr>
          <w:rFonts w:ascii="Arial" w:eastAsiaTheme="minorEastAsia" w:hAnsi="Arial" w:cs="Arial"/>
          <w:sz w:val="24"/>
        </w:rPr>
        <w:t>Pobreza severa cuando los valores normalizados se encuentran a -2 desviaciones estándar o más.</w:t>
      </w:r>
    </w:p>
    <w:p w:rsidR="00080599" w:rsidRPr="000A2024" w:rsidRDefault="00080599" w:rsidP="00080599">
      <w:pPr>
        <w:pStyle w:val="Prrafodelista"/>
        <w:numPr>
          <w:ilvl w:val="0"/>
          <w:numId w:val="78"/>
        </w:numPr>
        <w:spacing w:after="120" w:line="360" w:lineRule="auto"/>
        <w:jc w:val="both"/>
        <w:rPr>
          <w:rFonts w:ascii="Arial" w:eastAsiaTheme="minorEastAsia" w:hAnsi="Arial" w:cs="Arial"/>
          <w:sz w:val="24"/>
        </w:rPr>
      </w:pPr>
      <w:r w:rsidRPr="000A2024">
        <w:rPr>
          <w:rFonts w:ascii="Arial" w:eastAsiaTheme="minorEastAsia" w:hAnsi="Arial" w:cs="Arial"/>
          <w:sz w:val="24"/>
        </w:rPr>
        <w:t>En el caso del IMC existen también umbrales de pobreza leve y severa cuando las desviaciones se encuentran a +1 o +2 desviaciones estándar respectivamente, pero se vinculan a sobrepeso u obesidad.</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En el Cuadro 11, Colafranceschi et al observan que el 35% de los niños encuestados tenía algún tipo de problema nutricional y que menos del 10% posee problemas que son consideraos como agudos con referencia al sobrepeso.</w:t>
      </w:r>
    </w:p>
    <w:p w:rsidR="00080599" w:rsidRPr="000A2024" w:rsidRDefault="00080599" w:rsidP="00080599">
      <w:pPr>
        <w:jc w:val="center"/>
        <w:rPr>
          <w:rFonts w:ascii="Arial" w:hAnsi="Arial" w:cs="Arial"/>
          <w:sz w:val="24"/>
        </w:rPr>
      </w:pPr>
      <w:r w:rsidRPr="000A2024">
        <w:rPr>
          <w:rFonts w:ascii="Arial" w:hAnsi="Arial" w:cs="Arial"/>
          <w:noProof/>
          <w:lang w:eastAsia="es-MX"/>
        </w:rPr>
        <w:lastRenderedPageBreak/>
        <w:drawing>
          <wp:inline distT="0" distB="0" distL="0" distR="0" wp14:anchorId="7AB21F59" wp14:editId="1E699005">
            <wp:extent cx="4724400" cy="29432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24400" cy="2943225"/>
                    </a:xfrm>
                    <a:prstGeom prst="rect">
                      <a:avLst/>
                    </a:prstGeom>
                  </pic:spPr>
                </pic:pic>
              </a:graphicData>
            </a:graphic>
          </wp:inline>
        </w:drawing>
      </w:r>
      <w:r w:rsidRPr="000A2024">
        <w:rPr>
          <w:rFonts w:ascii="Arial" w:hAnsi="Arial" w:cs="Arial"/>
          <w:sz w:val="24"/>
        </w:rPr>
        <w:br/>
        <w:t>Cuadro 4</w:t>
      </w:r>
      <w:r w:rsidRPr="000A2024">
        <w:rPr>
          <w:rStyle w:val="Refdenotaalpie"/>
          <w:rFonts w:ascii="Arial" w:hAnsi="Arial" w:cs="Arial"/>
        </w:rPr>
        <w:footnoteReference w:id="20"/>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Según Amarante (citado en Colafranceschi et al, 2013) infiere que como país, Uruguay ha llegado a ser considerado como uno de ingresos medios por lo que los problemas correspondientes a la nutrición como la insuficiencia alimentaría han sido sustituidos por la calidad de la alimentación.</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afirman que aumentaron las cifras de la pobreza para el caso de sobre peso y liga esta disparidad en la información con que al acercase a la población estudiada, a la adolescencia, los ritmos de crecimientos parecen ser atípicos.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Dentro del periodo 2006 - 2011 el 20.9 % de la muestra infantil poseía problemas leves o graves dentro de la dimensión de talla para la edad. Esta medida muestra los factores genéticos y ambientales, y cuenta con información histórica de la nutrición de un niño, así como sus deficiencias. </w:t>
      </w:r>
    </w:p>
    <w:p w:rsidR="00080599" w:rsidRPr="000A2024" w:rsidRDefault="00080599" w:rsidP="001B6066">
      <w:pPr>
        <w:spacing w:after="240" w:line="360" w:lineRule="auto"/>
        <w:jc w:val="both"/>
        <w:rPr>
          <w:rFonts w:ascii="Arial" w:hAnsi="Arial" w:cs="Arial"/>
          <w:sz w:val="24"/>
        </w:rPr>
      </w:pPr>
      <w:r w:rsidRPr="000A2024">
        <w:rPr>
          <w:rFonts w:ascii="Arial" w:hAnsi="Arial" w:cs="Arial"/>
          <w:sz w:val="24"/>
        </w:rPr>
        <w:t xml:space="preserve">Cuando el análisis de Colafranceschi et al. toca la apertura de la pobreza por medio de la incidencia de la talla para la edad nota que existe mayor incidencia del retraso </w:t>
      </w:r>
      <w:r w:rsidRPr="000A2024">
        <w:rPr>
          <w:rFonts w:ascii="Arial" w:hAnsi="Arial" w:cs="Arial"/>
          <w:sz w:val="24"/>
        </w:rPr>
        <w:lastRenderedPageBreak/>
        <w:t>severo de talla en los varones, sin embargo, alega que esta dimensión carece de significancia estadística.</w:t>
      </w:r>
    </w:p>
    <w:p w:rsidR="00080599" w:rsidRPr="000A2024" w:rsidRDefault="00080599" w:rsidP="001B6066">
      <w:pPr>
        <w:pStyle w:val="SubTema"/>
        <w:spacing w:after="120"/>
        <w:rPr>
          <w:rFonts w:ascii="Arial" w:hAnsi="Arial" w:cs="Arial"/>
        </w:rPr>
      </w:pPr>
      <w:bookmarkStart w:id="51" w:name="_Toc450230526"/>
      <w:r w:rsidRPr="000A2024">
        <w:rPr>
          <w:rFonts w:ascii="Arial" w:hAnsi="Arial" w:cs="Arial"/>
        </w:rPr>
        <w:t>Transiciones dentro y fuera de la pobreza.</w:t>
      </w:r>
      <w:bookmarkEnd w:id="51"/>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(2013) afirma que la naturaleza longitudinal de la información permite analizar la transición, dentro y fuera de la situación de pobreza, de los hogares durante el período estudiado.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La forma en que se estudió la transición de la pobreza, es decir, aquellas personas que se desplazan dentro y fuera de la pobreza, es por medio de los hogares que fueron registrados en </w:t>
      </w:r>
      <w:r w:rsidR="00D90A35" w:rsidRPr="000A2024">
        <w:rPr>
          <w:rFonts w:ascii="Arial" w:hAnsi="Arial" w:cs="Arial"/>
          <w:sz w:val="24"/>
        </w:rPr>
        <w:t>los dos levantamientos de encuestas</w:t>
      </w:r>
      <w:r w:rsidRPr="000A2024">
        <w:rPr>
          <w:rFonts w:ascii="Arial" w:hAnsi="Arial" w:cs="Arial"/>
          <w:sz w:val="24"/>
        </w:rPr>
        <w:t xml:space="preserve"> para así poder realizar una comparación en ambos periodos de estudio. Los hogares se clasificaron en cuatro categorías:</w:t>
      </w:r>
    </w:p>
    <w:p w:rsidR="00080599" w:rsidRPr="000A2024" w:rsidRDefault="00080599" w:rsidP="00080599">
      <w:pPr>
        <w:pStyle w:val="Prrafodelista"/>
        <w:numPr>
          <w:ilvl w:val="0"/>
          <w:numId w:val="79"/>
        </w:numPr>
        <w:spacing w:after="120" w:line="360" w:lineRule="auto"/>
        <w:jc w:val="both"/>
        <w:rPr>
          <w:rFonts w:ascii="Arial" w:hAnsi="Arial" w:cs="Arial"/>
          <w:sz w:val="24"/>
        </w:rPr>
      </w:pPr>
      <w:r w:rsidRPr="000A2024">
        <w:rPr>
          <w:rFonts w:ascii="Arial" w:hAnsi="Arial" w:cs="Arial"/>
          <w:sz w:val="24"/>
        </w:rPr>
        <w:t>Hogares en situación de pobreza en ambos periodos.</w:t>
      </w:r>
    </w:p>
    <w:p w:rsidR="00080599" w:rsidRPr="000A2024" w:rsidRDefault="00080599" w:rsidP="00080599">
      <w:pPr>
        <w:pStyle w:val="Prrafodelista"/>
        <w:numPr>
          <w:ilvl w:val="0"/>
          <w:numId w:val="79"/>
        </w:numPr>
        <w:spacing w:after="120" w:line="360" w:lineRule="auto"/>
        <w:jc w:val="both"/>
        <w:rPr>
          <w:rFonts w:ascii="Arial" w:hAnsi="Arial" w:cs="Arial"/>
          <w:sz w:val="24"/>
        </w:rPr>
      </w:pPr>
      <w:r w:rsidRPr="000A2024">
        <w:rPr>
          <w:rFonts w:ascii="Arial" w:hAnsi="Arial" w:cs="Arial"/>
          <w:sz w:val="24"/>
        </w:rPr>
        <w:t>Hogares que no presentaron condiciones de pobreza en ninguno de los dos periodos.</w:t>
      </w:r>
    </w:p>
    <w:p w:rsidR="00080599" w:rsidRPr="000A2024" w:rsidRDefault="00080599" w:rsidP="00080599">
      <w:pPr>
        <w:pStyle w:val="Prrafodelista"/>
        <w:numPr>
          <w:ilvl w:val="0"/>
          <w:numId w:val="79"/>
        </w:numPr>
        <w:spacing w:after="120" w:line="360" w:lineRule="auto"/>
        <w:jc w:val="both"/>
        <w:rPr>
          <w:rFonts w:ascii="Arial" w:hAnsi="Arial" w:cs="Arial"/>
          <w:sz w:val="24"/>
        </w:rPr>
      </w:pPr>
      <w:r w:rsidRPr="000A2024">
        <w:rPr>
          <w:rFonts w:ascii="Arial" w:hAnsi="Arial" w:cs="Arial"/>
          <w:sz w:val="24"/>
        </w:rPr>
        <w:t>Hogares que salieron de la pobreza en el 2011.</w:t>
      </w:r>
    </w:p>
    <w:p w:rsidR="00080599" w:rsidRPr="000A2024" w:rsidRDefault="00080599" w:rsidP="00080599">
      <w:pPr>
        <w:pStyle w:val="Prrafodelista"/>
        <w:numPr>
          <w:ilvl w:val="0"/>
          <w:numId w:val="79"/>
        </w:numPr>
        <w:spacing w:after="120" w:line="360" w:lineRule="auto"/>
        <w:jc w:val="both"/>
        <w:rPr>
          <w:rFonts w:ascii="Arial" w:hAnsi="Arial" w:cs="Arial"/>
          <w:sz w:val="24"/>
        </w:rPr>
      </w:pPr>
      <w:r w:rsidRPr="000A2024">
        <w:rPr>
          <w:rFonts w:ascii="Arial" w:hAnsi="Arial" w:cs="Arial"/>
          <w:sz w:val="24"/>
        </w:rPr>
        <w:t>Hogares que entraron en condiciones de pobreza en el 2011.</w:t>
      </w:r>
    </w:p>
    <w:p w:rsidR="00080599" w:rsidRPr="000A2024" w:rsidRDefault="00080599" w:rsidP="00080599">
      <w:pPr>
        <w:jc w:val="center"/>
        <w:rPr>
          <w:rFonts w:ascii="Arial" w:hAnsi="Arial" w:cs="Arial"/>
          <w:sz w:val="24"/>
        </w:rPr>
      </w:pPr>
      <w:r w:rsidRPr="000A2024">
        <w:rPr>
          <w:rFonts w:ascii="Arial" w:hAnsi="Arial" w:cs="Arial"/>
          <w:noProof/>
          <w:lang w:eastAsia="es-MX"/>
        </w:rPr>
        <w:drawing>
          <wp:inline distT="0" distB="0" distL="0" distR="0" wp14:anchorId="52C6DEDD" wp14:editId="3260B654">
            <wp:extent cx="3616960" cy="1823063"/>
            <wp:effectExtent l="0" t="0" r="2540"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632359" cy="1830825"/>
                    </a:xfrm>
                    <a:prstGeom prst="rect">
                      <a:avLst/>
                    </a:prstGeom>
                  </pic:spPr>
                </pic:pic>
              </a:graphicData>
            </a:graphic>
          </wp:inline>
        </w:drawing>
      </w:r>
      <w:r w:rsidRPr="000A2024">
        <w:rPr>
          <w:rFonts w:ascii="Arial" w:hAnsi="Arial" w:cs="Arial"/>
          <w:sz w:val="24"/>
        </w:rPr>
        <w:br/>
        <w:t>Gráfica 6</w:t>
      </w:r>
      <w:r w:rsidRPr="000A2024">
        <w:rPr>
          <w:rStyle w:val="Refdenotaalpie"/>
          <w:rFonts w:ascii="Arial" w:hAnsi="Arial" w:cs="Arial"/>
        </w:rPr>
        <w:footnoteReference w:id="21"/>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La Gráfica 6 muestra que, en la gran mayoría de las dimensiones excepto en educación, hubo más hogares que lograron salir de la pobreza que aquellos que </w:t>
      </w:r>
      <w:r w:rsidRPr="000A2024">
        <w:rPr>
          <w:rFonts w:ascii="Arial" w:hAnsi="Arial" w:cs="Arial"/>
          <w:sz w:val="24"/>
        </w:rPr>
        <w:lastRenderedPageBreak/>
        <w:t>comenzaron una situación de pobreza durante el 2011. Según Colafranceschi et al. Uruguay posee una evolución positiva en el bienestar de sus habitantes.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mencionan que dentro del periodo 2006 – 2011 la transición de pobreza a no pobreza y viceversa las variables que no reflejan tanta movilidad son aquellas que poseen algún tipo de relación o están vinculadas al clima educativo.</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Colafranceschi et al. afirman que sin tomar en cuenta las dimensiones de ingreso y clima educativo y sin ser tan estrictos al fijar el umbral de pobreza, la proporción mayor de los hogares estudiados pertenecen a la categoría de no pobres en ambos periodos. Es posible comparar los dos umbrales que utilizan y se observa que el más estricto registra más movilidad, tanto de entrada como de salida a la pobreza.</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Sin mencionar al clima educativo, Colafranceschi et al. dicen que la dimensión que muestra menor porcentaje de hogares que se mantienen pobres en ambos periodos es la de hacinamiento.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La Gráfica 6 muestra que el porcentaje de los hogares que se libran de las circunstancias de pobreza son el doble del porcentaje de aquellos que llegan a la pobreza, lo cual es una obvia mejora para el Uruguay. Colafranceschi et al. adjudican esta mejora a los fuertes cambios en el tamaño de los hogares.</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Para la dimensión del acceso a recursos Colafranceschi et al. vinculan su mejora a la superación de la crisis y a su fuerte fuente de incidencia al principio del periodo. Esta dimensión es la que presenta mayor porcentaje de hogares que salen de la pobreza y en especial contemplando al ingreso.</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dicen que el ingreso es la dimensión que posee la tasa mínima de transición hacia la pobreza del grupo de dimensiones estudiadas en el 2011. Para el índice de bienes durables la pobreza es realmente menor y en base a </w:t>
      </w:r>
      <w:r w:rsidR="00145B42" w:rsidRPr="000A2024">
        <w:rPr>
          <w:rFonts w:ascii="Arial" w:hAnsi="Arial" w:cs="Arial"/>
          <w:sz w:val="24"/>
        </w:rPr>
        <w:t>este</w:t>
      </w:r>
      <w:r w:rsidRPr="000A2024">
        <w:rPr>
          <w:rFonts w:ascii="Arial" w:hAnsi="Arial" w:cs="Arial"/>
          <w:sz w:val="24"/>
        </w:rPr>
        <w:t xml:space="preserve"> se indica que casi el 20% de los hogares en Uruguay lograron salir de la pobreza en el 2011.</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El Cuadro 5 utiliza al índice de masa corporal (IMC) como base de análisis y encuentra que la mayoría de los niños saludables durante el 2004 siguieron dentro </w:t>
      </w:r>
      <w:r w:rsidRPr="000A2024">
        <w:rPr>
          <w:rFonts w:ascii="Arial" w:hAnsi="Arial" w:cs="Arial"/>
          <w:sz w:val="24"/>
        </w:rPr>
        <w:lastRenderedPageBreak/>
        <w:t xml:space="preserve">de esta </w:t>
      </w:r>
      <w:r w:rsidR="00D90A35" w:rsidRPr="000A2024">
        <w:rPr>
          <w:rFonts w:ascii="Arial" w:hAnsi="Arial" w:cs="Arial"/>
          <w:sz w:val="24"/>
        </w:rPr>
        <w:t>categoría al final de l</w:t>
      </w:r>
      <w:r w:rsidRPr="000A2024">
        <w:rPr>
          <w:rFonts w:ascii="Arial" w:hAnsi="Arial" w:cs="Arial"/>
          <w:sz w:val="24"/>
        </w:rPr>
        <w:t>, sin embarg</w:t>
      </w:r>
      <w:r w:rsidR="00D90A35" w:rsidRPr="000A2024">
        <w:rPr>
          <w:rFonts w:ascii="Arial" w:hAnsi="Arial" w:cs="Arial"/>
          <w:sz w:val="24"/>
        </w:rPr>
        <w:t>a tercera encuesta levantada</w:t>
      </w:r>
      <w:r w:rsidRPr="000A2024">
        <w:rPr>
          <w:rFonts w:ascii="Arial" w:hAnsi="Arial" w:cs="Arial"/>
          <w:sz w:val="24"/>
        </w:rPr>
        <w:t>, una porción considerable presentó problemas bajo este índice en bajo peso y en sobrepeso.</w:t>
      </w:r>
    </w:p>
    <w:p w:rsidR="00080599" w:rsidRPr="000A2024" w:rsidRDefault="00080599" w:rsidP="00080599">
      <w:pPr>
        <w:jc w:val="center"/>
        <w:rPr>
          <w:rFonts w:ascii="Arial" w:hAnsi="Arial" w:cs="Arial"/>
          <w:sz w:val="24"/>
        </w:rPr>
      </w:pPr>
      <w:r w:rsidRPr="000A2024">
        <w:rPr>
          <w:rFonts w:ascii="Arial" w:hAnsi="Arial" w:cs="Arial"/>
          <w:noProof/>
          <w:lang w:eastAsia="es-MX"/>
        </w:rPr>
        <w:drawing>
          <wp:inline distT="0" distB="0" distL="0" distR="0" wp14:anchorId="433F7986" wp14:editId="7525EEAE">
            <wp:extent cx="5324475" cy="2152650"/>
            <wp:effectExtent l="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24475" cy="2152650"/>
                    </a:xfrm>
                    <a:prstGeom prst="rect">
                      <a:avLst/>
                    </a:prstGeom>
                  </pic:spPr>
                </pic:pic>
              </a:graphicData>
            </a:graphic>
          </wp:inline>
        </w:drawing>
      </w:r>
      <w:r w:rsidRPr="000A2024">
        <w:rPr>
          <w:rFonts w:ascii="Arial" w:hAnsi="Arial" w:cs="Arial"/>
          <w:sz w:val="24"/>
        </w:rPr>
        <w:br w:type="textWrapping" w:clear="all"/>
        <w:t>Cuadro 5</w:t>
      </w:r>
      <w:r w:rsidRPr="000A2024">
        <w:rPr>
          <w:rStyle w:val="Refdenotaalpie"/>
          <w:rFonts w:ascii="Arial" w:hAnsi="Arial" w:cs="Arial"/>
        </w:rPr>
        <w:footnoteReference w:id="22"/>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denotan que una porción de los niños con problemas de bajo peso severo (en el 2004, 1.28%) lograron superar esta condición y alcanzaron en igual proporción la categoría de bajo peso leve.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Otro punto importante que presenta el Cuadro 5 es que gran cantidad de los niños permanecieron en ambas olas con problemas graves e incluso aumentó la proporción de esta categoría lo que deriva el aumento de niños con problemas de bajo peso severo.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Por último, en la categoría de sobrepeso leve se mantuvieron desde el comienzo de período y no se presentaron cambios relevantes en la transición.</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advierten que, dentro del análisis de pobreza bajo la talla para la edad, la circunstancia de salud de los niños se encontró estable desde la primera </w:t>
      </w:r>
      <w:r w:rsidR="00D90A35" w:rsidRPr="000A2024">
        <w:rPr>
          <w:rFonts w:ascii="Arial" w:hAnsi="Arial" w:cs="Arial"/>
          <w:sz w:val="24"/>
        </w:rPr>
        <w:t>encuesta levantada</w:t>
      </w:r>
      <w:r w:rsidRPr="000A2024">
        <w:rPr>
          <w:rFonts w:ascii="Arial" w:hAnsi="Arial" w:cs="Arial"/>
          <w:sz w:val="24"/>
        </w:rPr>
        <w:t xml:space="preserve"> hasta la segunda, esto muestra la transición positiva de los niños que se encontraban en retraso durante el 2004 hacia estados con mayor salud.</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lastRenderedPageBreak/>
        <w:t xml:space="preserve">Colafranceschi et al. complementan las transiciones analizando en términos de condiciones de actividad justificándose por la estrecha correlación con la capacidad de generar ingresos.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En el Cuadro 6 se presenta indicios de que al principio del periodo existían más personas en estado de actividad ocupada y que estas se mantuvieron así hasta el segundo periodo. Colafranceschi et al. dicen que la condición de ocupación de quienes eran inactivos al principio del periodo disminuyó fuertemente para el segundo.</w:t>
      </w:r>
    </w:p>
    <w:p w:rsidR="00080599" w:rsidRPr="000A2024" w:rsidRDefault="00080599" w:rsidP="00080599">
      <w:pPr>
        <w:jc w:val="center"/>
        <w:rPr>
          <w:rFonts w:ascii="Arial" w:hAnsi="Arial" w:cs="Arial"/>
          <w:sz w:val="24"/>
        </w:rPr>
      </w:pPr>
      <w:r w:rsidRPr="000A2024">
        <w:rPr>
          <w:rFonts w:ascii="Arial" w:hAnsi="Arial" w:cs="Arial"/>
          <w:noProof/>
          <w:lang w:eastAsia="es-MX"/>
        </w:rPr>
        <w:drawing>
          <wp:inline distT="0" distB="0" distL="0" distR="0" wp14:anchorId="4B4283B8" wp14:editId="51C40315">
            <wp:extent cx="5334000" cy="20764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34000" cy="2076450"/>
                    </a:xfrm>
                    <a:prstGeom prst="rect">
                      <a:avLst/>
                    </a:prstGeom>
                  </pic:spPr>
                </pic:pic>
              </a:graphicData>
            </a:graphic>
          </wp:inline>
        </w:drawing>
      </w:r>
      <w:r w:rsidRPr="000A2024">
        <w:rPr>
          <w:rFonts w:ascii="Arial" w:hAnsi="Arial" w:cs="Arial"/>
          <w:sz w:val="24"/>
        </w:rPr>
        <w:br/>
        <w:t>Cuadro 6</w:t>
      </w:r>
      <w:r w:rsidRPr="000A2024">
        <w:rPr>
          <w:rStyle w:val="Refdenotaalpie"/>
          <w:rFonts w:ascii="Arial" w:hAnsi="Arial" w:cs="Arial"/>
        </w:rPr>
        <w:footnoteReference w:id="23"/>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 xml:space="preserve">Colafranceschi et al. toman el análisis de transiciones en base al tipo de actividad y lo combina en términos de pobreza. El Cuadro 7 muestra las transiciones de actividad a inactividad en términos cuantitativos de pobreza.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De este cuadro se hace referencia al grupo de personas que se encuentran a lo largo de todo el periodo en la categoría de pobre en el cual, se observa un porcentaje relativamente menor de personas que permanecen en el estado de ocupados, cerca del 81.1 %.</w:t>
      </w:r>
    </w:p>
    <w:p w:rsidR="00080599" w:rsidRPr="000A2024" w:rsidRDefault="00080599" w:rsidP="00080599">
      <w:pPr>
        <w:jc w:val="center"/>
        <w:rPr>
          <w:rFonts w:ascii="Arial" w:hAnsi="Arial" w:cs="Arial"/>
          <w:sz w:val="24"/>
        </w:rPr>
      </w:pPr>
      <w:r w:rsidRPr="000A2024">
        <w:rPr>
          <w:rFonts w:ascii="Arial" w:hAnsi="Arial" w:cs="Arial"/>
          <w:noProof/>
          <w:lang w:eastAsia="es-MX"/>
        </w:rPr>
        <w:lastRenderedPageBreak/>
        <w:drawing>
          <wp:inline distT="0" distB="0" distL="0" distR="0" wp14:anchorId="67B72347" wp14:editId="77D15526">
            <wp:extent cx="5140320" cy="2196098"/>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78602" cy="2212453"/>
                    </a:xfrm>
                    <a:prstGeom prst="rect">
                      <a:avLst/>
                    </a:prstGeom>
                  </pic:spPr>
                </pic:pic>
              </a:graphicData>
            </a:graphic>
          </wp:inline>
        </w:drawing>
      </w:r>
      <w:r w:rsidRPr="000A2024">
        <w:rPr>
          <w:rFonts w:ascii="Arial" w:hAnsi="Arial" w:cs="Arial"/>
          <w:sz w:val="24"/>
        </w:rPr>
        <w:br/>
        <w:t>Cuadro 7</w:t>
      </w:r>
      <w:r w:rsidRPr="000A2024">
        <w:rPr>
          <w:rStyle w:val="Refdenotaalpie"/>
          <w:rFonts w:ascii="Arial" w:hAnsi="Arial" w:cs="Arial"/>
          <w:sz w:val="24"/>
        </w:rPr>
        <w:footnoteReference w:id="24"/>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El cuadro 7 muestra también que en el caso de las personas que logran superar la pobreza la cantidad de personas que se encontraban ocupadas disminuyó para el siguiente periodo, entre ellos se presenta una proporción más alta que el grupo de toda la población, cerca del 89.6 %.</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Gran contraste de nuevo con el 94 % de los hogares que se encontraban ocupados desde el principio del periodo de estudio y se mantuvieron así hasta el final, estos nunca tocaron la pobreza.</w:t>
      </w:r>
    </w:p>
    <w:p w:rsidR="00080599" w:rsidRPr="000A2024" w:rsidRDefault="00080599" w:rsidP="00080599">
      <w:pPr>
        <w:spacing w:after="120" w:line="360" w:lineRule="auto"/>
        <w:jc w:val="both"/>
        <w:rPr>
          <w:rFonts w:ascii="Arial" w:hAnsi="Arial" w:cs="Arial"/>
          <w:sz w:val="24"/>
        </w:rPr>
      </w:pPr>
      <w:r w:rsidRPr="000A2024">
        <w:rPr>
          <w:rFonts w:ascii="Arial" w:hAnsi="Arial" w:cs="Arial"/>
          <w:sz w:val="24"/>
        </w:rPr>
        <w:t>Estas variables pretenden ser asociadas a los resultados de las transiciones de la pobreza (los dos periodos son considerados) como características de los hogares con estimadores probit, es decir, la variable que será explicada toma el valor de 1 cuando la situación de pobreza se presente en el primero y segundo periodo y tomará el valor de 0 cuando el hogar supere la condición de pobreza.</w:t>
      </w:r>
    </w:p>
    <w:p w:rsidR="00E744DE" w:rsidRPr="000A2024" w:rsidRDefault="00080599" w:rsidP="00E744DE">
      <w:pPr>
        <w:spacing w:after="120" w:line="360" w:lineRule="auto"/>
        <w:jc w:val="both"/>
        <w:rPr>
          <w:rFonts w:ascii="Arial" w:hAnsi="Arial" w:cs="Arial"/>
          <w:sz w:val="24"/>
        </w:rPr>
      </w:pPr>
      <w:r w:rsidRPr="000A2024">
        <w:rPr>
          <w:rFonts w:ascii="Arial" w:hAnsi="Arial" w:cs="Arial"/>
          <w:sz w:val="24"/>
        </w:rPr>
        <w:t>De esta manera Colafranceschi estudia y mide a la pobreza, a través de indicadores antropomórficos y de estimaciones indirectas que permitan contemplar el enfoque multidimensional el cual, su interés ha crecido bastante en la última década a lo largo de Latinoamérica.</w:t>
      </w:r>
    </w:p>
    <w:p w:rsidR="00E744DE" w:rsidRPr="000A2024" w:rsidRDefault="00E744DE">
      <w:pPr>
        <w:spacing w:after="200" w:line="276" w:lineRule="auto"/>
        <w:rPr>
          <w:rFonts w:ascii="Arial" w:hAnsi="Arial" w:cs="Arial"/>
          <w:sz w:val="24"/>
        </w:rPr>
      </w:pPr>
      <w:r w:rsidRPr="000A2024">
        <w:rPr>
          <w:rFonts w:ascii="Arial" w:hAnsi="Arial" w:cs="Arial"/>
          <w:sz w:val="24"/>
        </w:rPr>
        <w:br w:type="page"/>
      </w:r>
    </w:p>
    <w:p w:rsidR="00080599" w:rsidRPr="000A2024" w:rsidRDefault="00D90A35" w:rsidP="00D90A35">
      <w:pPr>
        <w:pStyle w:val="Primero"/>
        <w:rPr>
          <w:rFonts w:ascii="Arial" w:hAnsi="Arial" w:cs="Arial"/>
        </w:rPr>
      </w:pPr>
      <w:bookmarkStart w:id="52" w:name="_Toc450230527"/>
      <w:r w:rsidRPr="000A2024">
        <w:rPr>
          <w:rFonts w:ascii="Arial" w:hAnsi="Arial" w:cs="Arial"/>
          <w:sz w:val="44"/>
          <w:szCs w:val="44"/>
        </w:rPr>
        <w:lastRenderedPageBreak/>
        <w:t>C</w:t>
      </w:r>
      <w:r w:rsidRPr="000A2024">
        <w:rPr>
          <w:rFonts w:ascii="Arial" w:hAnsi="Arial" w:cs="Arial"/>
        </w:rPr>
        <w:t>onclusiones</w:t>
      </w:r>
      <w:r w:rsidR="00E744DE" w:rsidRPr="000A2024">
        <w:rPr>
          <w:rFonts w:ascii="Arial" w:hAnsi="Arial" w:cs="Arial"/>
        </w:rPr>
        <w:t>.</w:t>
      </w:r>
      <w:bookmarkEnd w:id="52"/>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crecimiento del país y el desarrollo del mismo son conceptos y situaciones que se relacionan entre sí, pero son distintos y es necesario abarcar otros tipos de enfoques para realizar el análisis sobre el objeto correcto, el cual es y siempre ha sido el ser humano.</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La teoría de la modernización afirma un punto con el cual concuerdo bastante. Las sociedades que se hagan llamar a sí mismas como modernas convergerán a las mismas circunstancias, contextos, características, etcétera, y deberán transcender a través de bastantes modificaciones culturales y sociales.</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 xml:space="preserve">Los países modernos son aquellos quienes ubican a la población rezagada y procuran mantenerlos en educación continua hasta la profesionalización y se procura con esto una homogeneización de la población. Es menester procurar que la población no posea una dependencia del estado. </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Creo poder afirmar que el punto a converger será aquel donde el ser humano vuelva a ser la finalidad y no el medio, contemplando una adaptación del desarrollo humano con lo sustentable y este tendrá un comportamiento perfecto, es decir, estable a lo largo del tiempo.</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Es verdad que el desarrollo puede medirse en términos de pobreza y a su vez, esta última explicarse a través del desarrollo potencial del ser humano pero el desarrollo debe mostrarse por sí mismo y hablando estrictamente dentro del marco teórico de la pobreza enfocada al ser humano, este debe sentirse a través de que las personas puedan describirse a sí mismas como satisfechas por la consecución de sus aspiraciones.</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Aquellas personas que no muestren interés completo por el ser humano, jamás podrán comprender la complejidad de la pobreza humana ni visualizar su ocurrencia en todos los ambientes y esferas socioeconómicas. Y al igual que los no economistas descritos por Krugman, estos medirán e intentarán explicarla a través de saberes convencionales justificados con procesos estadísticos exhaustivos.</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lastRenderedPageBreak/>
        <w:t>Al igual que la teoría moderna del crecimiento, la pobreza ha sido enfrascada dentro del formalismo matemático de encontrar una sola cifra y esto es colocarse en un enfoque “macro” que engloba características, buscando medir las repercusiones y efectos entre la pobreza y la sociedad, pero ¿cuál sería la óptica micro de esta perspectiva?.</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Esta sería aquella que se enfoque en cómo se produce la pobreza, cómo se distribuye la riqueza dentro de las poblaciones consideradas como pobres o cómo y para qué se emplea el trabajo dentro de sus ambientes.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 tan importante que el crecimiento de un país se mida en cuanto a la capacidad potencial de sus habitantes y esta puede tomar como enfoque multidimensional a los derechos humanos, el cual en ámbito y materia de pobreza permite buscar a las personas sumergidas en la pobreza extrema e identificarlas como individuos cuyos derechos son suprimidos y además como futuros agentes de cambio.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Según Accinelli E. y Sánchez Carrera E.</w:t>
      </w:r>
      <w:r w:rsidRPr="000A2024">
        <w:rPr>
          <w:rStyle w:val="Refdenotaalpie"/>
          <w:rFonts w:ascii="Arial" w:hAnsi="Arial" w:cs="Arial"/>
          <w:sz w:val="24"/>
          <w:szCs w:val="24"/>
        </w:rPr>
        <w:footnoteReference w:id="25"/>
      </w:r>
      <w:r w:rsidRPr="000A2024">
        <w:rPr>
          <w:rFonts w:ascii="Arial" w:hAnsi="Arial" w:cs="Arial"/>
          <w:sz w:val="24"/>
          <w:szCs w:val="24"/>
        </w:rPr>
        <w:t xml:space="preserve"> (citados en Accinelli E. y Salas O., 2010) las personas que poseen un trabajo, que cuentan con la capacidad de acceder a la compra de cualquier tipo de bien y de invertir, y que son conocedores y gozadores de sus derechos son llamados agentes económicos de cambio, cuyas decisiones pueden cambiar el rumbo económico de un país.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Si el crecimiento depende de decisiones y si las diferentes alternativas de las personas a escoger se encuentran en función de los derechos humanos he aquí donde podríamos caer en un círculo vicioso de desarrollo económico y humano. O por lo menos podría existir una gigantesca área de oportunidad para el país.</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Aquí el problema radica en cómo construir un índice que realmente describa el cumplimiento de las expectativas de las personas, suponiendo escenarios donde estas poseen información perfecta acerca de sus aspiraciones, habilidades y deseos.</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lastRenderedPageBreak/>
        <w:t>El acceso a los bienes y servicios son de gran importancia, así como la convertibilidad de estos a través de capacidades sociales que las personas perciben como oportunidades reales en los planes de sus vidas.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acceso a los bienes permite al individuo dotarse a sí mismo de una gama de capacidades como desenvolverse en la sociedad, realizar alguna labor productiva, disfrutar de momentos de recreación familiar, mejorar su reputación social, etcétera.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El individuo debe tener la capacidad de ponderar por importancia cada una de estas capacidades y tomar una elección para maximizar su bienestar. Para López-Calva y Grajales (2003) el objetivo último del desarrollo debería ser ampliar el conjunto de opciones en las capacidades de los individuos tomando el acceso de estos bienes y servicios como parte del proceso.</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 xml:space="preserve">Con la ausencia de la tecnología los bienes y servicios no podrán satisfacer óptimamente las necesidades de las personas. Es abismal el rezago que produce día a día la tecnología con aquellos que no pueden mantenerse en la vertiginosa actualización, por lo que esto es un factor a contemplar. </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También existe rezago en el marcado laboral cuando se habla de tecnologías. Aquellos beneficiados con acceso a la tecnología tienden a poseer mayores probabilidades de competitividad.</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Las nuevas metodologías de la pobreza desagregada en diversas dimensiones deben considerar que su proceso es de carácter multifacético y la única entidad que debe comprender esta característica en conjunto con los factores de tecnología y el acceso de los bienes y servicios es el estado quien, a su vez, se encuentra limitado por el control que ejerce el electorado.</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 xml:space="preserve">La pobreza debe ser definida como un conjunto de fases sucesivas que comprendan la evolución de la esencia de una sociedad y debe contemplar todos los elementos estructurales del país y además su estudio debe seguir una interdisciplinariedad que englobe las múltiples variables que la describen. </w:t>
      </w:r>
    </w:p>
    <w:p w:rsidR="00080599" w:rsidRPr="000A2024" w:rsidRDefault="00080599" w:rsidP="00080599">
      <w:pPr>
        <w:spacing w:line="360" w:lineRule="auto"/>
        <w:jc w:val="both"/>
        <w:rPr>
          <w:rFonts w:ascii="Arial" w:hAnsi="Arial" w:cs="Arial"/>
          <w:sz w:val="24"/>
          <w:szCs w:val="24"/>
        </w:rPr>
      </w:pPr>
      <w:r w:rsidRPr="000A2024">
        <w:rPr>
          <w:rFonts w:ascii="Arial" w:hAnsi="Arial" w:cs="Arial"/>
          <w:sz w:val="24"/>
          <w:szCs w:val="24"/>
        </w:rPr>
        <w:t xml:space="preserve">Si el proceso de crecimiento económico considera cambios o transformaciones de la estructura socioeconómica del país o región, como la creación de instituciones, </w:t>
      </w:r>
      <w:r w:rsidRPr="000A2024">
        <w:rPr>
          <w:rFonts w:ascii="Arial" w:hAnsi="Arial" w:cs="Arial"/>
          <w:sz w:val="24"/>
          <w:szCs w:val="24"/>
        </w:rPr>
        <w:lastRenderedPageBreak/>
        <w:t>mercados y nuevas capacidades tecnológicas, el proceso de erradicación de la pobreza igual lo requerirá.</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Deben existir estructuras sanas de los sectores productivos, mecanismos financieros óptimos, tecnología como recurso humano capacitado y operaciones de comercio internacional que funjan como medios y herramientas en la lucha para la erradicación de la pobreza.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teorías de desarrollo económico deben palmarse con la lucha de la pobreza y estas a su vez bajo una óptica sostenible, donde se tenga en claro que el medio ambiente juega un papel importante en las repercusiones de las necesidades básicas como salud, nutrición y vivienda.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Se requiere de una verdadera teoría de desarrollo en conjunto con una metodología para el combate a la pobreza que exhorte a la población a recapacitar sobre la existencia de las consecuencias de nuestros actos individuales y las repercusiones como sociedad en nuestro medio ambiente.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fundamental comprender que las capacidades de las futuras generaciones se encuentran comprometidas con lo que hacemos el día de hoy como sociedad.</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De esto se deriva la necesidad de definir el contenido económico, social, estructural gubernamental y ahora también ambiental del desarrollo de una nación con orientación a erradicar la pobreza.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Un país que procura un estado de bienestar tendrá mejores oportunidades de convertir el desarrollo en sostenible y poder así encaminar sus esfuerzos por mantener este mismo para sus futuras generaciones. Aquellos países que no procuran un estado de bienestar difícilmente podrán encaminar los esfuerzos para procurar un desarrollo en sus futuras generaciones.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Al igual que la teoría del desarrollo la pobreza podría ser subestimada o sobrestimada (dependiendo del enfoque) por falta de algún indicador que realmente la describa y pueda detallar hasta el nivel más simple de su causa.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Dado la complejidad del fenómeno de la pobreza y de las múltiples variables que la determinan es necesario un esfuerzo importante para encontrar enfoques que </w:t>
      </w:r>
      <w:r w:rsidRPr="000A2024">
        <w:rPr>
          <w:rFonts w:ascii="Arial" w:hAnsi="Arial" w:cs="Arial"/>
          <w:sz w:val="24"/>
          <w:szCs w:val="24"/>
        </w:rPr>
        <w:lastRenderedPageBreak/>
        <w:t xml:space="preserve">permitan encontrar un mejor marco teórico, instrumental, estratégico y conceptual para la pobreza, y así poder determinar las causas que la generan y los efectos de su impacto.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Se requieren de enfoques que permitan a los investigadores poder colocarse en distintas perspectivas las cuales a su vez permiten la construcción de un modelo funcional que tenga la facultad de adaptarse, para así definir y medir la pobreza en las condiciones particulares del país en términos de desarrollo sustentable.</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El uso de algún enfoque o perspectiva de pobreza bajo un marco teórico de desarrollo sustentable tiene el único propósito de aproximarse al estudio de la pobreza sin pretender establecer teorías ni entrar a explicaciones de sus causas.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Por ejemplo, el enfoque hacia los activos de los pobres es una vertiente de la teoría del capital humano que debido a su carácter de importancia económica se ha extendido al ámbito del capital social.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Este enfoque dirigiría la atención a que las personas en calidad de pobres podrían salir de la pobreza si estos utilizaran óptima y eficientemente sus activos o su capital donde se puede comprender por activos o capital a todos los atributos que posean y supone que los individuos o familias pobres son propietarios de varias formas de activos o de capital.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Al igual que el desarrollo requiere de un estudio desagregado de las diversas variables que definen su proceso, la pobreza requiere que la información sea desagregada al nivel de las personas u hogares mediante la recopilación de esta información en censos y/o encuestas. </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un hecho que todo individuo debe encontrarse en un estado de bienestar donde su potencia como ser humano se realice y sus necesidades sean cubiertas por lo que un enfoque directo sería algo pensable. No sería cómodo medir si la población tiene la capacidad de lograr la satisfacción, sino que la métrica debería radicar en qué tanto lo están consiguiendo.</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 xml:space="preserve">Conseguir una canasta de capacidades y satisfacciones alcanzables sería quizá una forma de representar una línea de pobreza. Las opciones que posee un ser </w:t>
      </w:r>
      <w:r w:rsidRPr="000A2024">
        <w:rPr>
          <w:rFonts w:ascii="Arial" w:hAnsi="Arial" w:cs="Arial"/>
          <w:sz w:val="24"/>
          <w:szCs w:val="24"/>
        </w:rPr>
        <w:lastRenderedPageBreak/>
        <w:t>humano, las capacidades con las que cuenta y los bienes y servicios que lo ayudarán a alcanzarlo serán las métricas a utilizar para definir una línea de pobreza, pero siempre bajo un enfoque directo en qué tanto se están consumiendo estas capacidades y qué tanta satisfacción presenta.</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Las encuestas y censos levantados permitirían que la población fije los parámetros de satisfacción, lo cual contemplaría el sesgo proporcionado por la subjetividad de la perspectiva y falta de conocimiento perfecto por parte de la población. Sería cuestión de encontrar alguna medida que corrija este sesgo de la información.</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En cuanto a las capacidades el estado juega un importante papel a través de la facilitación de la tecnología en conjunto con los bienes y servicios.</w:t>
      </w:r>
    </w:p>
    <w:p w:rsidR="00080599" w:rsidRPr="000A2024" w:rsidRDefault="00080599" w:rsidP="00080599">
      <w:pPr>
        <w:pStyle w:val="Prrafodelista"/>
        <w:spacing w:after="120" w:line="360" w:lineRule="auto"/>
        <w:ind w:left="0"/>
        <w:contextualSpacing w:val="0"/>
        <w:jc w:val="both"/>
        <w:rPr>
          <w:rFonts w:ascii="Arial" w:hAnsi="Arial" w:cs="Arial"/>
          <w:sz w:val="24"/>
          <w:szCs w:val="24"/>
        </w:rPr>
      </w:pPr>
      <w:r w:rsidRPr="000A2024">
        <w:rPr>
          <w:rFonts w:ascii="Arial" w:hAnsi="Arial" w:cs="Arial"/>
          <w:sz w:val="24"/>
          <w:szCs w:val="24"/>
        </w:rPr>
        <w:t>Es por esto que el estado debe procurar encaminar las políticas económicas y sociales a procurar incentivar el crecimiento de la calid</w:t>
      </w:r>
      <w:r w:rsidR="00E744DE" w:rsidRPr="000A2024">
        <w:rPr>
          <w:rFonts w:ascii="Arial" w:hAnsi="Arial" w:cs="Arial"/>
          <w:sz w:val="24"/>
          <w:szCs w:val="24"/>
        </w:rPr>
        <w:t>ad de vida y redactarlas basándose</w:t>
      </w:r>
      <w:r w:rsidRPr="000A2024">
        <w:rPr>
          <w:rFonts w:ascii="Arial" w:hAnsi="Arial" w:cs="Arial"/>
          <w:sz w:val="24"/>
          <w:szCs w:val="24"/>
        </w:rPr>
        <w:t xml:space="preserve"> en materia de derechos humanos en lugar de buscar medir esto mismo por medio de tasas de crecimiento económico.</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Colafranceschi et al. buscan aportar una contribución en la comprensión de la vulnerabilidad de la pobreza multidimensional que existe en Uruguay lo cual permite dar lugar a un estudio que contempla un análisis de dimensiones que no son comunes en previos estudios.</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Desde el punto de vista metodológico, el trabajo operacionaliza los enfoques de bienestar económico y de derechos sociales tal y como lo propone el CONEVAL sin embargo posee algunas limitaciones como por ejemplo en la dimensión de educación.</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 xml:space="preserve">El enfoque de Colafranceschi et al. no contempla el rezago que a diferencia de otros autores es uno de los temas centrales en el análisis del sistema educativo.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 xml:space="preserve">Es por eso que el indicador de la dimensión educación es limitado como acercamiento ya que solo describe a la población que no culminó los estudios y no pretende reflejar los cambios que existieron en el sistema educativo en Uruguay a lo largo del periodo de estudio.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lastRenderedPageBreak/>
        <w:t xml:space="preserve">Se destaca la evolución favorable de todas las dimensiones en el período analizado, que complementan el descenso de la pobreza medida por ingresos.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La combinación de las fuentes de la ECH y la ESSN y la medición de la pobreza por ingresos a través de la Línea de Pobreza oficial del INE, 2006 (citada en Colafranceschi, 2013) reflejan cuatro situaciones de la pobreza:</w:t>
      </w:r>
    </w:p>
    <w:p w:rsidR="00E744DE" w:rsidRPr="000A2024" w:rsidRDefault="00E744DE" w:rsidP="00E744DE">
      <w:pPr>
        <w:pStyle w:val="Prrafodelista"/>
        <w:numPr>
          <w:ilvl w:val="0"/>
          <w:numId w:val="80"/>
        </w:numPr>
        <w:spacing w:after="120" w:line="360" w:lineRule="auto"/>
        <w:jc w:val="both"/>
        <w:rPr>
          <w:rFonts w:ascii="Arial" w:hAnsi="Arial" w:cs="Arial"/>
          <w:sz w:val="24"/>
        </w:rPr>
      </w:pPr>
      <w:r w:rsidRPr="000A2024">
        <w:rPr>
          <w:rFonts w:ascii="Arial" w:hAnsi="Arial" w:cs="Arial"/>
          <w:sz w:val="24"/>
        </w:rPr>
        <w:t>No pobres.</w:t>
      </w:r>
    </w:p>
    <w:p w:rsidR="00E744DE" w:rsidRPr="000A2024" w:rsidRDefault="00E744DE" w:rsidP="00E744DE">
      <w:pPr>
        <w:pStyle w:val="Prrafodelista"/>
        <w:numPr>
          <w:ilvl w:val="0"/>
          <w:numId w:val="80"/>
        </w:numPr>
        <w:spacing w:after="120" w:line="360" w:lineRule="auto"/>
        <w:jc w:val="both"/>
        <w:rPr>
          <w:rFonts w:ascii="Arial" w:hAnsi="Arial" w:cs="Arial"/>
          <w:sz w:val="24"/>
        </w:rPr>
      </w:pPr>
      <w:r w:rsidRPr="000A2024">
        <w:rPr>
          <w:rFonts w:ascii="Arial" w:hAnsi="Arial" w:cs="Arial"/>
          <w:sz w:val="24"/>
        </w:rPr>
        <w:t>Pobres multidimensionales.</w:t>
      </w:r>
    </w:p>
    <w:p w:rsidR="00E744DE" w:rsidRPr="000A2024" w:rsidRDefault="00E744DE" w:rsidP="00E744DE">
      <w:pPr>
        <w:pStyle w:val="Prrafodelista"/>
        <w:numPr>
          <w:ilvl w:val="0"/>
          <w:numId w:val="80"/>
        </w:numPr>
        <w:spacing w:after="120" w:line="360" w:lineRule="auto"/>
        <w:jc w:val="both"/>
        <w:rPr>
          <w:rFonts w:ascii="Arial" w:hAnsi="Arial" w:cs="Arial"/>
          <w:sz w:val="24"/>
        </w:rPr>
      </w:pPr>
      <w:r w:rsidRPr="000A2024">
        <w:rPr>
          <w:rFonts w:ascii="Arial" w:hAnsi="Arial" w:cs="Arial"/>
          <w:sz w:val="24"/>
        </w:rPr>
        <w:t>Vulnerables por carencias.</w:t>
      </w:r>
    </w:p>
    <w:p w:rsidR="00E744DE" w:rsidRPr="000A2024" w:rsidRDefault="00E744DE" w:rsidP="00E744DE">
      <w:pPr>
        <w:pStyle w:val="Prrafodelista"/>
        <w:numPr>
          <w:ilvl w:val="0"/>
          <w:numId w:val="80"/>
        </w:numPr>
        <w:spacing w:after="120" w:line="360" w:lineRule="auto"/>
        <w:jc w:val="both"/>
        <w:rPr>
          <w:rFonts w:ascii="Arial" w:hAnsi="Arial" w:cs="Arial"/>
          <w:sz w:val="24"/>
        </w:rPr>
      </w:pPr>
      <w:r w:rsidRPr="000A2024">
        <w:rPr>
          <w:rFonts w:ascii="Arial" w:hAnsi="Arial" w:cs="Arial"/>
          <w:sz w:val="24"/>
        </w:rPr>
        <w:t xml:space="preserve">Vulnerables por ingresos.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Algunas estimaciones estadísticas que destacan son que durante el 2006 el 73 % de la población uruguaya se encontraba bajo algún tipo de pobreza, un 29 % eran pobres multidimensionales, el 40 % de los hogares presentaba al menos una dimensión vulnerada en sus derechos sociales y por último el 3.4 % integraba hogares vulnerables por ingresos.</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En el 2011 los hogares no pobres habían aumentado, de 27. 3% en el 2006 al 42.4 %, y los hogares bajo pobreza multidimensional representaban el 12% durante el 2011, 17 % menor al del 2006. Una última estimación estadística a destacar fueron los valores de la vulnerabilidad por ingresos, los cuales rondaron cerca del 1% en el 2011.</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 xml:space="preserve">Es importante hacer hincapié que la referencia realizada de la metodología de Colafranceschi et al. (2013) busca ser simplemente un ejercicio de los saberes convencionales en la medición de la pobreza y no refleja sentencia alguna.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 xml:space="preserve">Este capítulo pretende plantear una discusión de dimensiones y umbrales de pobreza partiendo de los objetivos para el desarrollo del milenio y la metodología utilizada por Colafranceschi et al. (2013).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 xml:space="preserve">Por ejemplo, de manera personal, el enfoque de derechos humanos es un enfoque ambiguo que requiere de mucha abstracción y de abordaje conceptual multidimensional, pero es debatible que los enfoques de bienestar sean únicamente medidos a través de dimensión de ingresos.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lastRenderedPageBreak/>
        <w:t>Al igual que la teoría del crecimiento económico el desarrollo de metodologías para medir la pobreza multidimensional solo ha generado más debates que certezas, aunque los diversos trabajos que han abordado la temática de la multidimensionalidad de la pobreza desde distintos enfoques han brindado alternativas para las mediciones clásicas de ingresos o necesidades básicas.</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 xml:space="preserve">Pretendiendo cerrar este trabajo se proponen dos tópicos para futuras discusiones: Primero se requiere de la construcción de una fuente de información de calidad que dé a lugar un análisis generalizado y estandarizado de las dimensiones de derechos y en aquellas en las que no se cuente con información estadística para una medición de privación. </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Segundo articular en el diseño, monitoreo y evaluación de las políticas sociales un enfoque de oportunidades, es decir, buscar la generación de oportunidades de vida para la población contemplando así la creación de un ambiente de confort y socialización natural.</w:t>
      </w:r>
    </w:p>
    <w:p w:rsidR="00E744DE" w:rsidRPr="000A2024" w:rsidRDefault="00E744DE" w:rsidP="00E744DE">
      <w:pPr>
        <w:spacing w:after="120" w:line="360" w:lineRule="auto"/>
        <w:jc w:val="both"/>
        <w:rPr>
          <w:rFonts w:ascii="Arial" w:hAnsi="Arial" w:cs="Arial"/>
          <w:sz w:val="24"/>
        </w:rPr>
      </w:pPr>
      <w:r w:rsidRPr="000A2024">
        <w:rPr>
          <w:rFonts w:ascii="Arial" w:hAnsi="Arial" w:cs="Arial"/>
          <w:sz w:val="24"/>
        </w:rPr>
        <w:t>Debe existir una política para el combate a la pobreza que provea a las personas de capacidades suficientes para que así estas puedan crearse sus propias circunstancias favorables. No es generar trabajo sino tecnología.</w:t>
      </w:r>
    </w:p>
    <w:p w:rsidR="00E744DE" w:rsidRPr="000A2024" w:rsidRDefault="00E744DE">
      <w:pPr>
        <w:spacing w:after="200" w:line="276" w:lineRule="auto"/>
        <w:rPr>
          <w:rFonts w:ascii="Arial" w:hAnsi="Arial" w:cs="Arial"/>
          <w:sz w:val="24"/>
        </w:rPr>
      </w:pPr>
      <w:r w:rsidRPr="000A2024">
        <w:rPr>
          <w:rFonts w:ascii="Arial" w:hAnsi="Arial" w:cs="Arial"/>
          <w:sz w:val="24"/>
        </w:rPr>
        <w:br w:type="page"/>
      </w:r>
    </w:p>
    <w:p w:rsidR="00080599" w:rsidRPr="000A2024" w:rsidRDefault="003E7613" w:rsidP="00D90A35">
      <w:pPr>
        <w:pStyle w:val="Primero"/>
        <w:rPr>
          <w:rFonts w:ascii="Arial" w:hAnsi="Arial" w:cs="Arial"/>
          <w:szCs w:val="17"/>
        </w:rPr>
      </w:pPr>
      <w:r w:rsidRPr="000A2024">
        <w:rPr>
          <w:rFonts w:ascii="Arial" w:hAnsi="Arial" w:cs="Arial"/>
          <w:sz w:val="44"/>
          <w:szCs w:val="44"/>
        </w:rPr>
        <w:lastRenderedPageBreak/>
        <w:t>B</w:t>
      </w:r>
      <w:r w:rsidRPr="000A2024">
        <w:rPr>
          <w:rFonts w:ascii="Arial" w:hAnsi="Arial" w:cs="Arial"/>
        </w:rPr>
        <w:t>ibliografía</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Arriola Quan, G. (2007). Desarrollo Humano: una introducción conceptual. Guatemala: Argrafic.</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Dieterich, Heinz. (1978). Relaciones de producción en América Latina. México: Ediciones de Cultura Popular.</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lang w:val="en-US"/>
        </w:rPr>
        <w:t xml:space="preserve">André Gunder, F. (1969). Lateinamerika: Kapitalistische Unterentwicklung oder sozialistische Revolution. </w:t>
      </w:r>
      <w:r w:rsidRPr="000A2024">
        <w:rPr>
          <w:rFonts w:ascii="Arial" w:hAnsi="Arial" w:cs="Arial"/>
          <w:sz w:val="24"/>
          <w:szCs w:val="24"/>
        </w:rPr>
        <w:t>Berlin: Rotbuch 15. (pp. 131).</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Krugman, P. (octubre/diciembre, 1996). Los ciclos en las ideas dominantes con relación al desarrollo económico. Desarrollo económico – revista de ciencias sociales. Vol(36), no. 143. (pp. 715-731).</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Katz, J. (2008). Una Nueva Vista a la Teoría del Desarrollo Económico. Chile: CEPAL. </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Reyes Ortíz, G. E. (enero/junio, 2009). Teorías de desarrollo económico y social: Articulación con el planteamiento de desarrollo humano. Revista de la Facultad de Ciencias Económicas y Administrativas de la Universidad de Nariño. Vol(10), no. 1, pp. 117-142.</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González Arencibio, M. (2006). Una gráfica de la teoría del desarrollo: Del crecimiento al desarrollo humano sostenible. Edición electrónica. ISBN-10: 84-689-8435-3. Recuperado de </w:t>
      </w:r>
      <w:hyperlink r:id="rId22" w:history="1">
        <w:r w:rsidRPr="000A2024">
          <w:rPr>
            <w:rFonts w:ascii="Arial" w:hAnsi="Arial" w:cs="Arial"/>
            <w:sz w:val="24"/>
            <w:szCs w:val="24"/>
          </w:rPr>
          <w:t>www.eumed.net/libros/2006a/mga-des/</w:t>
        </w:r>
      </w:hyperlink>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Programa de las naciones Unidas para el Desarrollo [PNUD]. (1990). Desarrollo humano Informe 1990. Bogotá: Tercer Mundo Editores.</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López Calva, L. F. y Vélez Grajales, R. (2003). El concepto de desarrollo humano, su importancia y aplicación en México. México: PNUD.</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Departamento de Evaluación Social, de la División Social del Ministerio de Planificación y Cooperación [MIDELPAN]. (octubre, 2002). Síntesis de los principales enfoques, métodos y estrategias para la superación de la pobreza. Trabajo elaborado en el marco del seminario “Perspectivas Innovativas en Política Social. Experiencias relevantes para la superación de </w:t>
      </w:r>
      <w:r w:rsidRPr="000A2024">
        <w:rPr>
          <w:rFonts w:ascii="Arial" w:hAnsi="Arial" w:cs="Arial"/>
          <w:sz w:val="24"/>
          <w:szCs w:val="24"/>
        </w:rPr>
        <w:lastRenderedPageBreak/>
        <w:t xml:space="preserve">la pobreza: Una mirada desde lo posible”. Santiago, Chile. Recuperado de </w:t>
      </w:r>
      <w:hyperlink r:id="rId23" w:history="1">
        <w:r w:rsidRPr="000A2024">
          <w:rPr>
            <w:rFonts w:ascii="Arial" w:hAnsi="Arial" w:cs="Arial"/>
            <w:sz w:val="24"/>
            <w:szCs w:val="24"/>
          </w:rPr>
          <w:t>http://www.ministeriodesarrollosocial.gob.cl/admin/docdescargas/centrodoc/centrodoc_108.pdf</w:t>
        </w:r>
      </w:hyperlink>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Spicker, P., Alvarez S. y Gordon D. (2009). Definiciones de pobreza: doce grupos de significados. En P. Spicker, Pobreza: un glosario internacional. Buenos Aires, Argentina: CLACSO. (pp. 291-306). Recuperado de </w:t>
      </w:r>
      <w:hyperlink r:id="rId24" w:history="1">
        <w:r w:rsidRPr="000A2024">
          <w:rPr>
            <w:rFonts w:ascii="Arial" w:hAnsi="Arial" w:cs="Arial"/>
            <w:sz w:val="24"/>
            <w:szCs w:val="24"/>
          </w:rPr>
          <w:t>http://biblioteca.clacso.edu.ar/gsdl/collect/clacso/index/assoc/D9376.dir/06spicker.pdf</w:t>
        </w:r>
      </w:hyperlink>
      <w:r w:rsidRPr="000A2024">
        <w:rPr>
          <w:rFonts w:ascii="Arial" w:hAnsi="Arial" w:cs="Arial"/>
          <w:sz w:val="24"/>
          <w:szCs w:val="24"/>
        </w:rPr>
        <w:t xml:space="preserve"> .</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División de Estadística de la CEPAL. (abril, 2013). La medición multidimensional de la pobreza. Documento presentado para su discusión en la XII reunión del Comité Ejecutivo de la Conferencia Estadística de las Américas. Pucón, Chile. Recuperado de </w:t>
      </w:r>
      <w:hyperlink r:id="rId25" w:history="1">
        <w:r w:rsidRPr="000A2024">
          <w:rPr>
            <w:rFonts w:ascii="Arial" w:hAnsi="Arial" w:cs="Arial"/>
            <w:sz w:val="24"/>
            <w:szCs w:val="24"/>
          </w:rPr>
          <w:t>http://www.cepal.org/es/comunicados/medicion-multidimensional-de-la-pobreza-e-indicadores-de-alerta-temprana-seran</w:t>
        </w:r>
      </w:hyperlink>
      <w:r w:rsidRPr="000A2024">
        <w:rPr>
          <w:rFonts w:ascii="Arial" w:hAnsi="Arial" w:cs="Arial"/>
          <w:sz w:val="24"/>
          <w:szCs w:val="24"/>
        </w:rPr>
        <w:t xml:space="preserve"> .</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Rodríguez Ramírez, H. (2004). Enfoques para la medición de la pobreza: breve revisión de la literatura. Recuperado de </w:t>
      </w:r>
      <w:hyperlink r:id="rId26" w:history="1">
        <w:r w:rsidRPr="000A2024">
          <w:rPr>
            <w:rFonts w:ascii="Arial" w:hAnsi="Arial" w:cs="Arial"/>
            <w:sz w:val="24"/>
            <w:szCs w:val="24"/>
          </w:rPr>
          <w:t>http://www.mty.itesm.mx/egap/centros/caep/imagenes/Pobreza.pdf</w:t>
        </w:r>
      </w:hyperlink>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Rocha Reza, S. Y. (2007). Pobreza, socialización y movilidad social. (Tesis de Doctorado). Universidad Iberoamericana. Recuperado de </w:t>
      </w:r>
      <w:hyperlink r:id="rId27" w:history="1">
        <w:r w:rsidRPr="000A2024">
          <w:rPr>
            <w:rFonts w:ascii="Arial" w:hAnsi="Arial" w:cs="Arial"/>
            <w:sz w:val="24"/>
            <w:szCs w:val="24"/>
          </w:rPr>
          <w:t>http://www.bib.uia.mx/tesis/pdf/014828/014828.pdf</w:t>
        </w:r>
      </w:hyperlink>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Sepúlveda Carmona, M. [Relatora Especial] (julio, 2012). Proyecto final de los Principios Rectores sobre la extrema pobreza y los derechos humano. Documento presentado en el tema 3 de la agenda “Promoción y protección de todos los derechos humanos, civiles, políticos, económicos, sociales y culturales, incluido el derecho al desarrollo”  del Consejo de Derechos Humanos  de la Asamblea General de las Naciones Unidas durante su vigésimo primero período de sesiones</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Keckeisen, Joseph E. (2001).  Las causas de la pobreza en el tercer mundo en Contribuciones a la economía de La Economía de Mercado, virtudes e </w:t>
      </w:r>
      <w:r w:rsidRPr="000A2024">
        <w:rPr>
          <w:rFonts w:ascii="Arial" w:hAnsi="Arial" w:cs="Arial"/>
          <w:sz w:val="24"/>
          <w:szCs w:val="24"/>
        </w:rPr>
        <w:lastRenderedPageBreak/>
        <w:t>inconvenientes</w:t>
      </w:r>
      <w:r w:rsidRPr="000A2024">
        <w:rPr>
          <w:rFonts w:ascii="Arial" w:hAnsi="Arial" w:cs="Arial"/>
          <w:sz w:val="24"/>
          <w:szCs w:val="24"/>
        </w:rPr>
        <w:br/>
        <w:t>recuperado de  </w:t>
      </w:r>
      <w:hyperlink r:id="rId28" w:history="1">
        <w:r w:rsidRPr="000A2024">
          <w:rPr>
            <w:rFonts w:ascii="Arial" w:hAnsi="Arial" w:cs="Arial"/>
            <w:sz w:val="24"/>
            <w:szCs w:val="24"/>
          </w:rPr>
          <w:t>http://www.eumed.net/cursecon/colaboraciones/index.htm</w:t>
        </w:r>
      </w:hyperlink>
      <w:r w:rsidRPr="000A2024">
        <w:rPr>
          <w:rFonts w:ascii="Arial" w:hAnsi="Arial" w:cs="Arial"/>
          <w:sz w:val="24"/>
          <w:szCs w:val="24"/>
        </w:rPr>
        <w:t xml:space="preserve"> .</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CONEVAL. (2010). Evolución y determinantes de la pobreza de las principales ciudades de México. Documento que forma parte de la agenda permanente de investigación del CONEVAL. Recuperado de </w:t>
      </w:r>
      <w:hyperlink r:id="rId29" w:history="1">
        <w:r w:rsidRPr="000A2024">
          <w:rPr>
            <w:rFonts w:ascii="Arial" w:hAnsi="Arial" w:cs="Arial"/>
            <w:sz w:val="24"/>
            <w:szCs w:val="24"/>
          </w:rPr>
          <w:t>http://www.coneval.gob.mx/Informes/Pobreza/Pobreza%20urbana/Evolucion_determinantes_de_la_pobreza_urbana.pdf</w:t>
        </w:r>
      </w:hyperlink>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Teitelboim, B. (2006) Factores concluyentes de la pobreza en base a un modelo logístico. (Tesis para optar al grado de Magíster en Bioestadística). Universidad de Chile. Recuperado de </w:t>
      </w:r>
      <w:hyperlink r:id="rId30" w:history="1">
        <w:r w:rsidRPr="000A2024">
          <w:rPr>
            <w:rFonts w:ascii="Arial" w:hAnsi="Arial" w:cs="Arial"/>
          </w:rPr>
          <w:t>http://bibliodigital.saludpublica.uchile.cl:8080/dspace/bitstream/handle/123456789/140/Berta%20Teitelboim_MBIO2006.pdf?sequence=1&amp;isAllowed=y</w:t>
        </w:r>
      </w:hyperlink>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Colafranceschi, M., Failache E. y Vigorito A. (2013). Desigualdad multidimensional y dinámica de la pobreza en Uruguay en los años recientes. Uruguay: PNUD.</w:t>
      </w:r>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Accinelli E. y Salas O. (eds.). (2010). Crecimiento y distribución del ingreso en América Latina. México. Recuperado de: </w:t>
      </w:r>
      <w:hyperlink r:id="rId31" w:history="1">
        <w:r w:rsidRPr="000A2024">
          <w:rPr>
            <w:rFonts w:ascii="Arial" w:hAnsi="Arial" w:cs="Arial"/>
          </w:rPr>
          <w:t>http://publicaciones.eco.uaslp.mx/Libros/Libro4.pdf</w:t>
        </w:r>
      </w:hyperlink>
    </w:p>
    <w:p w:rsidR="00080599" w:rsidRPr="000A2024" w:rsidRDefault="00080599" w:rsidP="00080599">
      <w:pPr>
        <w:pStyle w:val="Prrafodelista"/>
        <w:numPr>
          <w:ilvl w:val="0"/>
          <w:numId w:val="25"/>
        </w:numPr>
        <w:spacing w:after="120" w:line="360" w:lineRule="auto"/>
        <w:contextualSpacing w:val="0"/>
        <w:jc w:val="both"/>
        <w:rPr>
          <w:rFonts w:ascii="Arial" w:hAnsi="Arial" w:cs="Arial"/>
          <w:sz w:val="24"/>
          <w:szCs w:val="24"/>
        </w:rPr>
      </w:pPr>
      <w:r w:rsidRPr="000A2024">
        <w:rPr>
          <w:rFonts w:ascii="Arial" w:hAnsi="Arial" w:cs="Arial"/>
          <w:sz w:val="24"/>
          <w:szCs w:val="24"/>
        </w:rPr>
        <w:t xml:space="preserve">Sepulveda Carmona, M. (julio, 2012). Proyecto final de los Principios Rectores sobre la extrema pobreza y los derechos humanos. Presentado durante el 21° periodo de sesiones del Consejo de Derechos Humanos de la Asamblea General de las Naciones Unidas, en el Tema 3 de la agenda “Promoción y protección de todos los derechos humanos, civiles, políticos, económicos, sociales y culturales, incluido el derecho al desarrollo. PNUD. Recuperado de: </w:t>
      </w:r>
      <w:hyperlink r:id="rId32" w:history="1">
        <w:r w:rsidRPr="000A2024">
          <w:rPr>
            <w:rFonts w:ascii="Arial" w:hAnsi="Arial" w:cs="Arial"/>
          </w:rPr>
          <w:t>http://daccess-dds-ny.un.org/doc/UNDOC/GEN/G12/154/63/PDF/G1215463.pdf?OpenElement</w:t>
        </w:r>
      </w:hyperlink>
    </w:p>
    <w:p w:rsidR="00080599" w:rsidRPr="000A2024" w:rsidRDefault="00080599" w:rsidP="00080599">
      <w:pPr>
        <w:autoSpaceDE w:val="0"/>
        <w:autoSpaceDN w:val="0"/>
        <w:adjustRightInd w:val="0"/>
        <w:spacing w:after="0" w:line="240" w:lineRule="auto"/>
        <w:rPr>
          <w:rFonts w:ascii="Arial" w:hAnsi="Arial" w:cs="Arial"/>
          <w:iCs/>
          <w:sz w:val="23"/>
          <w:szCs w:val="23"/>
        </w:rPr>
      </w:pPr>
    </w:p>
    <w:p w:rsidR="006B118E" w:rsidRPr="000A2024" w:rsidRDefault="006B118E">
      <w:pPr>
        <w:rPr>
          <w:rFonts w:ascii="Arial" w:hAnsi="Arial" w:cs="Arial"/>
          <w:sz w:val="18"/>
          <w:szCs w:val="18"/>
        </w:rPr>
      </w:pPr>
    </w:p>
    <w:sectPr w:rsidR="006B118E" w:rsidRPr="000A2024">
      <w:footerReference w:type="default" r:id="rId3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4BD6" w:rsidRDefault="009D4BD6" w:rsidP="00590063">
      <w:pPr>
        <w:spacing w:after="0" w:line="240" w:lineRule="auto"/>
      </w:pPr>
      <w:r>
        <w:separator/>
      </w:r>
    </w:p>
  </w:endnote>
  <w:endnote w:type="continuationSeparator" w:id="0">
    <w:p w:rsidR="009D4BD6" w:rsidRDefault="009D4BD6" w:rsidP="005900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4981399"/>
      <w:docPartObj>
        <w:docPartGallery w:val="Page Numbers (Bottom of Page)"/>
        <w:docPartUnique/>
      </w:docPartObj>
    </w:sdtPr>
    <w:sdtEndPr>
      <w:rPr>
        <w:rFonts w:ascii="Times New Roman" w:hAnsi="Times New Roman" w:cs="Times New Roman"/>
        <w:sz w:val="24"/>
        <w:szCs w:val="24"/>
      </w:rPr>
    </w:sdtEndPr>
    <w:sdtContent>
      <w:p w:rsidR="000A2024" w:rsidRPr="003E7613" w:rsidRDefault="000A2024">
        <w:pPr>
          <w:pStyle w:val="Piedepgina"/>
          <w:jc w:val="right"/>
          <w:rPr>
            <w:rFonts w:ascii="Times New Roman" w:hAnsi="Times New Roman" w:cs="Times New Roman"/>
            <w:sz w:val="24"/>
            <w:szCs w:val="24"/>
          </w:rPr>
        </w:pPr>
        <w:r w:rsidRPr="003E7613">
          <w:rPr>
            <w:rFonts w:ascii="Times New Roman" w:hAnsi="Times New Roman" w:cs="Times New Roman"/>
            <w:sz w:val="24"/>
            <w:szCs w:val="24"/>
          </w:rPr>
          <w:fldChar w:fldCharType="begin"/>
        </w:r>
        <w:r w:rsidRPr="003E7613">
          <w:rPr>
            <w:rFonts w:ascii="Times New Roman" w:hAnsi="Times New Roman" w:cs="Times New Roman"/>
            <w:sz w:val="24"/>
            <w:szCs w:val="24"/>
          </w:rPr>
          <w:instrText>PAGE   \* MERGEFORMAT</w:instrText>
        </w:r>
        <w:r w:rsidRPr="003E7613">
          <w:rPr>
            <w:rFonts w:ascii="Times New Roman" w:hAnsi="Times New Roman" w:cs="Times New Roman"/>
            <w:sz w:val="24"/>
            <w:szCs w:val="24"/>
          </w:rPr>
          <w:fldChar w:fldCharType="separate"/>
        </w:r>
        <w:r w:rsidR="007F04DB" w:rsidRPr="007F04DB">
          <w:rPr>
            <w:rFonts w:ascii="Times New Roman" w:hAnsi="Times New Roman" w:cs="Times New Roman"/>
            <w:noProof/>
            <w:sz w:val="24"/>
            <w:szCs w:val="24"/>
            <w:lang w:val="es-ES"/>
          </w:rPr>
          <w:t>4</w:t>
        </w:r>
        <w:r w:rsidRPr="003E7613">
          <w:rPr>
            <w:rFonts w:ascii="Times New Roman" w:hAnsi="Times New Roman" w:cs="Times New Roman"/>
            <w:sz w:val="24"/>
            <w:szCs w:val="24"/>
          </w:rPr>
          <w:fldChar w:fldCharType="end"/>
        </w:r>
      </w:p>
    </w:sdtContent>
  </w:sdt>
  <w:p w:rsidR="000A2024" w:rsidRDefault="000A202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4BD6" w:rsidRDefault="009D4BD6" w:rsidP="00590063">
      <w:pPr>
        <w:spacing w:after="0" w:line="240" w:lineRule="auto"/>
      </w:pPr>
      <w:r>
        <w:separator/>
      </w:r>
    </w:p>
  </w:footnote>
  <w:footnote w:type="continuationSeparator" w:id="0">
    <w:p w:rsidR="009D4BD6" w:rsidRDefault="009D4BD6" w:rsidP="00590063">
      <w:pPr>
        <w:spacing w:after="0" w:line="240" w:lineRule="auto"/>
      </w:pPr>
      <w:r>
        <w:continuationSeparator/>
      </w:r>
    </w:p>
  </w:footnote>
  <w:footnote w:id="1">
    <w:p w:rsidR="000A2024" w:rsidRDefault="000A2024">
      <w:pPr>
        <w:pStyle w:val="Textonotapie"/>
      </w:pPr>
      <w:r>
        <w:rPr>
          <w:rStyle w:val="Refdenotaalpie"/>
        </w:rPr>
        <w:footnoteRef/>
      </w:r>
      <w:r>
        <w:t xml:space="preserve"> </w:t>
      </w:r>
      <w:r>
        <w:rPr>
          <w:rFonts w:ascii="Times New Roman" w:hAnsi="Times New Roman" w:cs="Times New Roman"/>
        </w:rPr>
        <w:t>Una economía subdesarrollada se interpreta como aquella</w:t>
      </w:r>
      <w:r w:rsidRPr="00536CD1">
        <w:rPr>
          <w:rFonts w:ascii="Times New Roman" w:hAnsi="Times New Roman" w:cs="Times New Roman"/>
        </w:rPr>
        <w:t xml:space="preserve"> eco</w:t>
      </w:r>
      <w:r>
        <w:rPr>
          <w:rFonts w:ascii="Times New Roman" w:hAnsi="Times New Roman" w:cs="Times New Roman"/>
        </w:rPr>
        <w:t>nomías que buscan el desarrollo.</w:t>
      </w:r>
    </w:p>
  </w:footnote>
  <w:footnote w:id="2">
    <w:p w:rsidR="000A2024" w:rsidRDefault="000A2024" w:rsidP="00080599">
      <w:pPr>
        <w:pStyle w:val="Textonotapie"/>
      </w:pPr>
      <w:r>
        <w:rPr>
          <w:rStyle w:val="Refdenotaalpie"/>
        </w:rPr>
        <w:footnoteRef/>
      </w:r>
      <w:r>
        <w:t xml:space="preserve"> </w:t>
      </w:r>
      <w:r w:rsidRPr="009668B6">
        <w:rPr>
          <w:rFonts w:ascii="Times New Roman" w:hAnsi="Times New Roman" w:cs="Times New Roman"/>
          <w:sz w:val="24"/>
          <w:szCs w:val="24"/>
        </w:rPr>
        <w:t>Es imperativo contemplar que cada sociedad cuenta con su manera de ser distintiva y propia en cuanto a sus capacidades, tecnologías, economía, cuadro institucional y reglas de preferencias de bienestar por lo que la selección de las variables y por ende del enfoque deberá ser un análisis individual encaminado a la realidad de la pobreza del contexto. Esto implica que no existe una solución que se pueda interpretar como única o que pueda aplicar en todos los contextos sociales.</w:t>
      </w:r>
    </w:p>
  </w:footnote>
  <w:footnote w:id="3">
    <w:p w:rsidR="000A2024" w:rsidRDefault="000A2024" w:rsidP="00080599">
      <w:pPr>
        <w:pStyle w:val="Textonotapie"/>
      </w:pPr>
      <w:r>
        <w:rPr>
          <w:rStyle w:val="Refdenotaalpie"/>
        </w:rPr>
        <w:footnoteRef/>
      </w:r>
      <w:r>
        <w:t xml:space="preserve"> </w:t>
      </w:r>
      <w:r w:rsidRPr="009668B6">
        <w:rPr>
          <w:rFonts w:ascii="Times New Roman" w:hAnsi="Times New Roman" w:cs="Times New Roman"/>
          <w:sz w:val="24"/>
          <w:szCs w:val="24"/>
        </w:rPr>
        <w:t>La división de estadística menciona el argumento de la indivisibilidad e los derechos social y afirma que una persona presenta una privación en esta variable cuando tiene al menos una de las 6 carencias sociales</w:t>
      </w:r>
    </w:p>
  </w:footnote>
  <w:footnote w:id="4">
    <w:p w:rsidR="000A2024" w:rsidRPr="003A50E2" w:rsidRDefault="000A2024" w:rsidP="00080599">
      <w:pPr>
        <w:pStyle w:val="Textonotapie"/>
      </w:pPr>
      <w:r>
        <w:rPr>
          <w:rStyle w:val="Refdenotaalpie"/>
        </w:rPr>
        <w:footnoteRef/>
      </w:r>
      <w:r>
        <w:t xml:space="preserve"> </w:t>
      </w:r>
      <w:r w:rsidRPr="00A25C2C">
        <w:rPr>
          <w:rFonts w:ascii="Times New Roman" w:hAnsi="Times New Roman" w:cs="Times New Roman"/>
          <w:sz w:val="24"/>
          <w:szCs w:val="24"/>
        </w:rPr>
        <w:t>Accinelli E. y Sánchez Carrera E. Crecimiento, imitación y trampas de la pobreza. En Crecimiento y distribución del ingreso en Am</w:t>
      </w:r>
      <w:r>
        <w:rPr>
          <w:rFonts w:ascii="Times New Roman" w:hAnsi="Times New Roman" w:cs="Times New Roman"/>
          <w:sz w:val="24"/>
          <w:szCs w:val="24"/>
        </w:rPr>
        <w:t>érica Latina. (2010)</w:t>
      </w:r>
      <w:r w:rsidRPr="00A25C2C">
        <w:rPr>
          <w:rFonts w:ascii="Times New Roman" w:hAnsi="Times New Roman" w:cs="Times New Roman"/>
          <w:sz w:val="24"/>
          <w:szCs w:val="24"/>
        </w:rPr>
        <w:t>.</w:t>
      </w:r>
    </w:p>
  </w:footnote>
  <w:footnote w:id="5">
    <w:p w:rsidR="000A2024" w:rsidRDefault="000A2024" w:rsidP="00080599">
      <w:pPr>
        <w:pStyle w:val="Textonotapie"/>
      </w:pPr>
      <w:r w:rsidRPr="00F141FA">
        <w:rPr>
          <w:rStyle w:val="Refdenotaalpie"/>
        </w:rPr>
        <w:footnoteRef/>
      </w:r>
      <w:r>
        <w:t xml:space="preserve"> El índice de desarrollo humano (IDH) es desarrollado mediante la combinación de diversos indicadores de expectativa de vida, cumplimiento educacional y nivel de ingresos.</w:t>
      </w:r>
    </w:p>
  </w:footnote>
  <w:footnote w:id="6">
    <w:p w:rsidR="000A2024" w:rsidRDefault="000A2024" w:rsidP="00080599">
      <w:pPr>
        <w:pStyle w:val="Textonotapie"/>
      </w:pPr>
      <w:r w:rsidRPr="00F141FA">
        <w:rPr>
          <w:rStyle w:val="Refdenotaalpie"/>
        </w:rPr>
        <w:footnoteRef/>
      </w:r>
      <w:r>
        <w:t xml:space="preserve"> </w:t>
      </w:r>
      <w:hyperlink r:id="rId1" w:history="1">
        <w:r w:rsidRPr="00CF6180">
          <w:rPr>
            <w:rStyle w:val="Hipervnculo"/>
          </w:rPr>
          <w:t>http://hdr.undp.org/es/countries</w:t>
        </w:r>
      </w:hyperlink>
    </w:p>
  </w:footnote>
  <w:footnote w:id="7">
    <w:p w:rsidR="000A2024" w:rsidRPr="00B201BA" w:rsidRDefault="000A2024" w:rsidP="00080599">
      <w:pPr>
        <w:pStyle w:val="Textonotapie"/>
      </w:pPr>
      <w:r w:rsidRPr="00F141FA">
        <w:rPr>
          <w:rStyle w:val="Refdenotaalpie"/>
        </w:rPr>
        <w:footnoteRef/>
      </w:r>
      <w:r>
        <w:t xml:space="preserve"> Según el </w:t>
      </w:r>
      <w:r>
        <w:rPr>
          <w:i/>
        </w:rPr>
        <w:t>Manual de A</w:t>
      </w:r>
      <w:r w:rsidRPr="00B201BA">
        <w:rPr>
          <w:i/>
        </w:rPr>
        <w:t xml:space="preserve">ntropometría </w:t>
      </w:r>
      <w:r w:rsidRPr="00B201BA">
        <w:t xml:space="preserve">estos indicadores </w:t>
      </w:r>
      <w:r>
        <w:t>se ocupan para medir las variaciones que presentan las dimensiones físicas y la composición del cuerpo humano en las diversas edades y grados de nutrición.</w:t>
      </w:r>
    </w:p>
  </w:footnote>
  <w:footnote w:id="8">
    <w:p w:rsidR="000A2024" w:rsidRDefault="000A2024" w:rsidP="00080599">
      <w:pPr>
        <w:pStyle w:val="Textonotapie"/>
      </w:pPr>
      <w:r w:rsidRPr="00F141FA">
        <w:rPr>
          <w:rStyle w:val="Refdenotaalpie"/>
        </w:rPr>
        <w:footnoteRef/>
      </w:r>
      <w:r>
        <w:t xml:space="preserve"> Pruebas y mediciones que implican mediciones repetidas en los sujetos a lo largo del tiempo.</w:t>
      </w:r>
    </w:p>
  </w:footnote>
  <w:footnote w:id="9">
    <w:p w:rsidR="000A2024" w:rsidRPr="00C02DB3" w:rsidRDefault="000A2024" w:rsidP="00080599">
      <w:pPr>
        <w:pStyle w:val="Textonotapie"/>
        <w:rPr>
          <w:rFonts w:ascii="Times New Roman" w:hAnsi="Times New Roman" w:cs="Times New Roman"/>
          <w:sz w:val="24"/>
          <w:szCs w:val="24"/>
        </w:rPr>
      </w:pPr>
      <w:r w:rsidRPr="00F141FA">
        <w:rPr>
          <w:rStyle w:val="Refdenotaalpie"/>
        </w:rPr>
        <w:footnoteRef/>
      </w:r>
      <w:r w:rsidRPr="00C02DB3">
        <w:rPr>
          <w:rFonts w:ascii="Times New Roman" w:hAnsi="Times New Roman" w:cs="Times New Roman"/>
          <w:sz w:val="24"/>
          <w:szCs w:val="24"/>
        </w:rPr>
        <w:t xml:space="preserve"> De </w:t>
      </w:r>
      <w:r>
        <w:rPr>
          <w:rFonts w:ascii="Times New Roman" w:hAnsi="Times New Roman" w:cs="Times New Roman"/>
          <w:i/>
          <w:sz w:val="24"/>
          <w:szCs w:val="24"/>
        </w:rPr>
        <w:t>Desigualdad multidimensional y dinámica de la pobreza en Uruguay en los años recientes</w:t>
      </w:r>
      <w:r w:rsidRPr="00C02DB3">
        <w:rPr>
          <w:rFonts w:ascii="Times New Roman" w:hAnsi="Times New Roman" w:cs="Times New Roman"/>
          <w:i/>
          <w:sz w:val="24"/>
          <w:szCs w:val="24"/>
        </w:rPr>
        <w:t xml:space="preserve">, </w:t>
      </w:r>
      <w:r w:rsidRPr="00C02DB3">
        <w:rPr>
          <w:rFonts w:ascii="Times New Roman" w:hAnsi="Times New Roman" w:cs="Times New Roman"/>
          <w:sz w:val="24"/>
          <w:szCs w:val="24"/>
        </w:rPr>
        <w:t xml:space="preserve">(p, 16), por </w:t>
      </w:r>
      <w:r>
        <w:rPr>
          <w:rFonts w:ascii="Times New Roman" w:hAnsi="Times New Roman" w:cs="Times New Roman"/>
          <w:sz w:val="24"/>
          <w:szCs w:val="24"/>
        </w:rPr>
        <w:t>Colafranceschi et al.(2013). Montevideo, Uruguay: PNUD. Derechos reservados 2013 por el PNUD. Reproducido con permiso.</w:t>
      </w:r>
    </w:p>
  </w:footnote>
  <w:footnote w:id="10">
    <w:p w:rsidR="000A2024" w:rsidRDefault="000A2024" w:rsidP="00080599">
      <w:pPr>
        <w:pStyle w:val="Textonotapie"/>
      </w:pPr>
      <w:r w:rsidRPr="00F141FA">
        <w:rPr>
          <w:rStyle w:val="Refdenotaalpie"/>
        </w:rPr>
        <w:footnoteRef/>
      </w:r>
      <w:r>
        <w:t xml:space="preserve"> Ley N° 13.728 del Plan Nacional de Viviendas. </w:t>
      </w:r>
      <w:r>
        <w:rPr>
          <w:rFonts w:cs="Arial"/>
        </w:rPr>
        <w:t xml:space="preserve">Publicada D.O. (27 dic/968). Nº 17982. </w:t>
      </w:r>
      <w:r>
        <w:t xml:space="preserve">Recuperada de </w:t>
      </w:r>
      <w:r w:rsidRPr="00DC195A">
        <w:t>http://www.parlamento.gub.uy/leyes/AccesoTextoLey.asp?Ley=13728&amp;Anchor=</w:t>
      </w:r>
    </w:p>
  </w:footnote>
  <w:footnote w:id="11">
    <w:p w:rsidR="000A2024" w:rsidRPr="00D53F36" w:rsidRDefault="000A2024" w:rsidP="00080599">
      <w:pPr>
        <w:pStyle w:val="Textonotapie"/>
        <w:rPr>
          <w:i/>
        </w:rPr>
      </w:pPr>
      <w:r w:rsidRPr="00F141FA">
        <w:rPr>
          <w:rStyle w:val="Refdenotaalpie"/>
        </w:rPr>
        <w:footnoteRef/>
      </w:r>
      <w:r>
        <w:t xml:space="preserve"> </w:t>
      </w:r>
      <w:r w:rsidRPr="00796F1E">
        <w:rPr>
          <w:rFonts w:ascii="Times New Roman" w:hAnsi="Times New Roman" w:cs="Times New Roman"/>
        </w:rPr>
        <w:t>Los Índices Compuestos expresan de manera resumida la variación promedio de un conjunto de variables respecto de un período o año base.</w:t>
      </w:r>
    </w:p>
  </w:footnote>
  <w:footnote w:id="12">
    <w:p w:rsidR="000A2024" w:rsidRPr="00DC692D" w:rsidRDefault="000A2024" w:rsidP="00080599">
      <w:pPr>
        <w:pStyle w:val="Textonotapie"/>
      </w:pPr>
      <w:r w:rsidRPr="00F141FA">
        <w:rPr>
          <w:rStyle w:val="Refdenotaalpie"/>
        </w:rPr>
        <w:footnoteRef/>
      </w:r>
      <w:r>
        <w:t xml:space="preserve"> </w:t>
      </w:r>
      <w:r w:rsidRPr="00796F1E">
        <w:rPr>
          <w:rFonts w:ascii="Times New Roman" w:hAnsi="Times New Roman" w:cs="Times New Roman"/>
        </w:rPr>
        <w:t>Con y sin cielorraso. Entendiendo a cielorraso como el techo del interior de una sala o habitación.</w:t>
      </w:r>
    </w:p>
  </w:footnote>
  <w:footnote w:id="13">
    <w:p w:rsidR="000A2024" w:rsidRDefault="000A2024" w:rsidP="00080599">
      <w:pPr>
        <w:pStyle w:val="Textonotapie"/>
      </w:pPr>
      <w:r w:rsidRPr="00F141FA">
        <w:rPr>
          <w:rStyle w:val="Refdenotaalpie"/>
        </w:rPr>
        <w:footnoteRef/>
      </w:r>
      <w:r>
        <w:t xml:space="preserve"> </w:t>
      </w:r>
      <w:r w:rsidRPr="00796F1E">
        <w:rPr>
          <w:rFonts w:ascii="Times New Roman" w:hAnsi="Times New Roman" w:cs="Times New Roman"/>
        </w:rPr>
        <w:t>Evolución del clima educativo, hacinamiento, ingreso per cápita e índice de bienes durables. Índices calculados con año base = 2</w:t>
      </w:r>
      <w:r>
        <w:rPr>
          <w:rFonts w:ascii="Times New Roman" w:hAnsi="Times New Roman" w:cs="Times New Roman"/>
        </w:rPr>
        <w:t xml:space="preserve"> </w:t>
      </w:r>
      <w:r w:rsidRPr="00796F1E">
        <w:rPr>
          <w:rFonts w:ascii="Times New Roman" w:hAnsi="Times New Roman" w:cs="Times New Roman"/>
        </w:rPr>
        <w:t xml:space="preserve">001. De </w:t>
      </w:r>
      <w:r w:rsidRPr="00796F1E">
        <w:rPr>
          <w:rFonts w:ascii="Times New Roman" w:hAnsi="Times New Roman" w:cs="Times New Roman"/>
          <w:i/>
        </w:rPr>
        <w:t xml:space="preserve">Desigualdad multidimensional y dinámica de la pobreza en Uruguay en los años recientes, </w:t>
      </w:r>
      <w:r w:rsidRPr="00796F1E">
        <w:rPr>
          <w:rFonts w:ascii="Times New Roman" w:hAnsi="Times New Roman" w:cs="Times New Roman"/>
        </w:rPr>
        <w:t>(p, 25), por Colafranceschi, M., Failache, E. y Vigorito, A. (2013). Montevideo, Uruguay: PNUD. Derechos reservados 2013 por el PNUD. Reproducido con permiso.</w:t>
      </w:r>
    </w:p>
  </w:footnote>
  <w:footnote w:id="14">
    <w:p w:rsidR="000A2024" w:rsidRDefault="000A2024" w:rsidP="00080599">
      <w:pPr>
        <w:pStyle w:val="Textonotapie"/>
      </w:pPr>
      <w:r w:rsidRPr="00F141FA">
        <w:rPr>
          <w:rStyle w:val="Refdenotaalpie"/>
        </w:rPr>
        <w:footnoteRef/>
      </w:r>
      <w:r w:rsidRPr="00796F1E">
        <w:rPr>
          <w:rFonts w:ascii="Times New Roman" w:hAnsi="Times New Roman" w:cs="Times New Roman"/>
        </w:rPr>
        <w:t xml:space="preserve">Evolución del tamaño promedio de los hogares y del número de habitaciones disponibles en las viviendas. De </w:t>
      </w:r>
      <w:r w:rsidRPr="00796F1E">
        <w:rPr>
          <w:rFonts w:ascii="Times New Roman" w:hAnsi="Times New Roman" w:cs="Times New Roman"/>
          <w:i/>
        </w:rPr>
        <w:t xml:space="preserve">Desigualdad multidimensional y dinámica de la pobreza en Uruguay en los años recientes, </w:t>
      </w:r>
      <w:r w:rsidRPr="00796F1E">
        <w:rPr>
          <w:rFonts w:ascii="Times New Roman" w:hAnsi="Times New Roman" w:cs="Times New Roman"/>
        </w:rPr>
        <w:t>(p, 26), por Colafranceschi, M., Failache, E. y Vigorito, A. (2013). Montevideo, Uruguay: PNUD. Derechos reservados 2013 por el PNUD. Reproducido con permiso.</w:t>
      </w:r>
    </w:p>
  </w:footnote>
  <w:footnote w:id="15">
    <w:p w:rsidR="000A2024" w:rsidRDefault="000A2024" w:rsidP="00080599">
      <w:pPr>
        <w:pStyle w:val="Textonotapie"/>
      </w:pPr>
      <w:r w:rsidRPr="00F141FA">
        <w:rPr>
          <w:rStyle w:val="Refdenotaalpie"/>
        </w:rPr>
        <w:footnoteRef/>
      </w:r>
      <w:r>
        <w:t xml:space="preserve"> </w:t>
      </w:r>
      <w:r w:rsidRPr="00796F1E">
        <w:rPr>
          <w:rFonts w:ascii="Times New Roman" w:hAnsi="Times New Roman" w:cs="Times New Roman"/>
        </w:rPr>
        <w:t xml:space="preserve">Evolución del clima educativo, hacinamiento, ingreso per cápita e índice de bienes durables. Índices calculados con año base = 2001. De </w:t>
      </w:r>
      <w:r w:rsidRPr="00796F1E">
        <w:rPr>
          <w:rFonts w:ascii="Times New Roman" w:hAnsi="Times New Roman" w:cs="Times New Roman"/>
          <w:i/>
        </w:rPr>
        <w:t xml:space="preserve">Desigualdad multidimensional y dinámica de la pobreza en Uruguay en los años recientes, </w:t>
      </w:r>
      <w:r w:rsidRPr="00796F1E">
        <w:rPr>
          <w:rFonts w:ascii="Times New Roman" w:hAnsi="Times New Roman" w:cs="Times New Roman"/>
        </w:rPr>
        <w:t>(p, 25), por Colafranceschi, M., Failache, E. y Vigorito, A. (2013). Montevideo, Uruguay: PNUD. Derechos reservados 2013 por el PNUD. Reproducido con permiso.</w:t>
      </w:r>
    </w:p>
  </w:footnote>
  <w:footnote w:id="16">
    <w:p w:rsidR="001B6066" w:rsidRPr="00796F1E" w:rsidRDefault="001B6066" w:rsidP="001B6066">
      <w:pPr>
        <w:pStyle w:val="Textonotapie"/>
        <w:rPr>
          <w:rFonts w:ascii="Times New Roman" w:hAnsi="Times New Roman" w:cs="Times New Roman"/>
        </w:rPr>
      </w:pPr>
      <w:r w:rsidRPr="00F141FA">
        <w:rPr>
          <w:rStyle w:val="Refdenotaalpie"/>
        </w:rPr>
        <w:footnoteRef/>
      </w:r>
      <w:r>
        <w:t xml:space="preserve"> </w:t>
      </w:r>
      <w:r w:rsidRPr="00796F1E">
        <w:rPr>
          <w:rFonts w:ascii="Times New Roman" w:hAnsi="Times New Roman" w:cs="Times New Roman"/>
        </w:rPr>
        <w:t xml:space="preserve">Valor promedio de los indicadores de educación, vivienda, acceso a bienes durables e ingreso de los hogares por cada percentil de ingreso per cápita. 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27</w:t>
      </w:r>
      <w:r w:rsidRPr="00796F1E">
        <w:rPr>
          <w:rFonts w:ascii="Times New Roman" w:hAnsi="Times New Roman" w:cs="Times New Roman"/>
        </w:rPr>
        <w:t>), por Colafranceschi, M., Failache, E. y Vigorito, A. (2013). Montevideo, Uruguay: PNUD. Derechos reservados 2013 por el PNUD. Reproducido con permiso.</w:t>
      </w:r>
    </w:p>
  </w:footnote>
  <w:footnote w:id="17">
    <w:p w:rsidR="000A2024" w:rsidRDefault="000A2024" w:rsidP="00080599">
      <w:pPr>
        <w:pStyle w:val="Textonotapie"/>
      </w:pPr>
      <w:r w:rsidRPr="00F141FA">
        <w:rPr>
          <w:rStyle w:val="Refdenotaalpie"/>
        </w:rPr>
        <w:footnoteRef/>
      </w:r>
      <w:r>
        <w:t xml:space="preserve"> </w:t>
      </w:r>
      <w:r w:rsidRPr="004E0587">
        <w:rPr>
          <w:rFonts w:ascii="Times New Roman" w:hAnsi="Times New Roman" w:cs="Times New Roman"/>
        </w:rPr>
        <w:t xml:space="preserve">Evolución del índice de desigualdad </w:t>
      </w:r>
      <w:r>
        <w:rPr>
          <w:rFonts w:ascii="Times New Roman" w:hAnsi="Times New Roman" w:cs="Times New Roman"/>
        </w:rPr>
        <w:t>detallada</w:t>
      </w:r>
      <w:r w:rsidRPr="004E0587">
        <w:rPr>
          <w:rFonts w:ascii="Times New Roman" w:hAnsi="Times New Roman" w:cs="Times New Roman"/>
        </w:rPr>
        <w:t xml:space="preserve"> en cada dimensión para el periodo (2006 – 2011). De </w:t>
      </w:r>
      <w:r w:rsidRPr="004E0587">
        <w:rPr>
          <w:rFonts w:ascii="Times New Roman" w:hAnsi="Times New Roman" w:cs="Times New Roman"/>
          <w:i/>
        </w:rPr>
        <w:t>Desigualdad multidimensional y dinámica de la pobreza en Uruguay en los años recientes</w:t>
      </w:r>
      <w:r w:rsidRPr="004E0587">
        <w:rPr>
          <w:rFonts w:ascii="Times New Roman" w:hAnsi="Times New Roman" w:cs="Times New Roman"/>
        </w:rPr>
        <w:t>, (p, 29), por Colafranceschi, M., Failache, E. y Vigorito, A. (2013). Montevideo, Uruguay: PNUD. Derechos reservados 2013 por el PNUD. Reproducido con permiso.</w:t>
      </w:r>
    </w:p>
  </w:footnote>
  <w:footnote w:id="18">
    <w:p w:rsidR="000A2024" w:rsidRDefault="000A2024" w:rsidP="00080599">
      <w:pPr>
        <w:pStyle w:val="Textonotapie"/>
      </w:pPr>
      <w:r w:rsidRPr="00F141FA">
        <w:rPr>
          <w:rStyle w:val="Refdenotaalpie"/>
        </w:rPr>
        <w:footnoteRef/>
      </w:r>
      <w:r>
        <w:t xml:space="preserve"> </w:t>
      </w:r>
      <w:r>
        <w:rPr>
          <w:rFonts w:ascii="Times New Roman" w:hAnsi="Times New Roman" w:cs="Times New Roman"/>
        </w:rPr>
        <w:t>Índice de Gini por dimensión según la región estudiada para el periodo 2006 – 2011.</w:t>
      </w:r>
      <w:r w:rsidRPr="00796F1E">
        <w:rPr>
          <w:rFonts w:ascii="Times New Roman" w:hAnsi="Times New Roman" w:cs="Times New Roman"/>
        </w:rPr>
        <w:t xml:space="preserve"> 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31</w:t>
      </w:r>
      <w:r w:rsidRPr="00796F1E">
        <w:rPr>
          <w:rFonts w:ascii="Times New Roman" w:hAnsi="Times New Roman" w:cs="Times New Roman"/>
        </w:rPr>
        <w:t>), por Colafranceschi, M., Failache, E. y Vigorito, A. (2013). Montevideo, Uruguay: PNUD. Derechos reservados 2013 por el PNUD. Reproducido con permiso.</w:t>
      </w:r>
    </w:p>
  </w:footnote>
  <w:footnote w:id="19">
    <w:p w:rsidR="000A2024" w:rsidRDefault="000A2024" w:rsidP="00080599">
      <w:pPr>
        <w:pStyle w:val="Textonotapie"/>
      </w:pPr>
      <w:r w:rsidRPr="00F141FA">
        <w:rPr>
          <w:rStyle w:val="Refdenotaalpie"/>
        </w:rPr>
        <w:footnoteRef/>
      </w:r>
      <w:r>
        <w:t xml:space="preserve"> </w:t>
      </w:r>
      <w:r>
        <w:rPr>
          <w:rFonts w:ascii="Times New Roman" w:hAnsi="Times New Roman" w:cs="Times New Roman"/>
        </w:rPr>
        <w:t xml:space="preserve">Índices de desigualdad multidimensional según los parámetros </w:t>
      </w:r>
      <m:oMath>
        <m:r>
          <w:rPr>
            <w:rFonts w:ascii="Cambria Math" w:hAnsi="Cambria Math" w:cs="Times New Roman"/>
          </w:rPr>
          <m:t>α</m:t>
        </m:r>
      </m:oMath>
      <w:r>
        <w:rPr>
          <w:rFonts w:ascii="Times New Roman" w:eastAsiaTheme="minorEastAsia" w:hAnsi="Times New Roman" w:cs="Times New Roman"/>
        </w:rPr>
        <w:t xml:space="preserve"> y</w:t>
      </w:r>
      <w:r>
        <w:rPr>
          <w:rFonts w:ascii="Times New Roman" w:hAnsi="Times New Roman" w:cs="Times New Roman"/>
        </w:rPr>
        <w:t xml:space="preserve"> </w:t>
      </w:r>
      <m:oMath>
        <m:r>
          <w:rPr>
            <w:rFonts w:ascii="Cambria Math" w:hAnsi="Cambria Math"/>
            <w:sz w:val="24"/>
          </w:rPr>
          <m:t>β</m:t>
        </m:r>
      </m:oMath>
      <w:r>
        <w:rPr>
          <w:rFonts w:ascii="Times New Roman" w:hAnsi="Times New Roman" w:cs="Times New Roman"/>
        </w:rPr>
        <w:t xml:space="preserve"> para el periodo 2006 – 2011.</w:t>
      </w:r>
      <w:r w:rsidRPr="00796F1E">
        <w:rPr>
          <w:rFonts w:ascii="Times New Roman" w:hAnsi="Times New Roman" w:cs="Times New Roman"/>
        </w:rPr>
        <w:t xml:space="preserve"> 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31</w:t>
      </w:r>
      <w:r w:rsidRPr="00796F1E">
        <w:rPr>
          <w:rFonts w:ascii="Times New Roman" w:hAnsi="Times New Roman" w:cs="Times New Roman"/>
        </w:rPr>
        <w:t>), por Colafranceschi, M., Failache, E. y Vigorito, A. (2013). Montevideo, Uruguay: PNUD. Derechos reservados 2013 por el PNUD. Reproducido con permiso.</w:t>
      </w:r>
    </w:p>
  </w:footnote>
  <w:footnote w:id="20">
    <w:p w:rsidR="000A2024" w:rsidRDefault="000A2024" w:rsidP="00080599">
      <w:pPr>
        <w:pStyle w:val="Textonotapie"/>
      </w:pPr>
      <w:r w:rsidRPr="00F141FA">
        <w:rPr>
          <w:rStyle w:val="Refdenotaalpie"/>
        </w:rPr>
        <w:footnoteRef/>
      </w:r>
      <w:r>
        <w:t xml:space="preserve"> </w:t>
      </w:r>
      <w:r>
        <w:rPr>
          <w:rFonts w:ascii="Times New Roman" w:hAnsi="Times New Roman" w:cs="Times New Roman"/>
        </w:rPr>
        <w:t>Incidencia de problemas nutricionales según ola de ESNN.</w:t>
      </w:r>
      <w:r w:rsidRPr="00796F1E">
        <w:rPr>
          <w:rFonts w:ascii="Times New Roman" w:hAnsi="Times New Roman" w:cs="Times New Roman"/>
        </w:rPr>
        <w:t xml:space="preserve"> 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31</w:t>
      </w:r>
      <w:r w:rsidRPr="00796F1E">
        <w:rPr>
          <w:rFonts w:ascii="Times New Roman" w:hAnsi="Times New Roman" w:cs="Times New Roman"/>
        </w:rPr>
        <w:t>), por Colafranceschi, M., Failache, E. y Vigorito, A. (2013). Montevideo, Uruguay: PNUD. Derechos reservados 2013 por el PNUD. Reproducido con permiso.</w:t>
      </w:r>
    </w:p>
  </w:footnote>
  <w:footnote w:id="21">
    <w:p w:rsidR="000A2024" w:rsidRDefault="000A2024" w:rsidP="00080599">
      <w:pPr>
        <w:pStyle w:val="Textonotapie"/>
      </w:pPr>
      <w:r w:rsidRPr="00F141FA">
        <w:rPr>
          <w:rStyle w:val="Refdenotaalpie"/>
        </w:rPr>
        <w:footnoteRef/>
      </w:r>
      <w:r>
        <w:t xml:space="preserve"> </w:t>
      </w:r>
      <w:r>
        <w:rPr>
          <w:rFonts w:ascii="Times New Roman" w:hAnsi="Times New Roman" w:cs="Times New Roman"/>
        </w:rPr>
        <w:t>Transiciones de los hogares a la condición de pobreza entre 2004 – 2011.</w:t>
      </w:r>
      <w:r w:rsidRPr="00796F1E">
        <w:rPr>
          <w:rFonts w:ascii="Times New Roman" w:hAnsi="Times New Roman" w:cs="Times New Roman"/>
        </w:rPr>
        <w:t xml:space="preserve"> 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42</w:t>
      </w:r>
      <w:r w:rsidRPr="00796F1E">
        <w:rPr>
          <w:rFonts w:ascii="Times New Roman" w:hAnsi="Times New Roman" w:cs="Times New Roman"/>
        </w:rPr>
        <w:t>), por Colafranceschi, M., Failache, E. y Vigorito, A. (2013). Montevideo, Uruguay: PNUD. Derechos reservados 2013 por el PNUD. Reproducido con permiso.</w:t>
      </w:r>
    </w:p>
  </w:footnote>
  <w:footnote w:id="22">
    <w:p w:rsidR="000A2024" w:rsidRDefault="000A2024" w:rsidP="00080599">
      <w:pPr>
        <w:pStyle w:val="Textonotapie"/>
      </w:pPr>
      <w:r w:rsidRPr="00F141FA">
        <w:rPr>
          <w:rStyle w:val="Refdenotaalpie"/>
        </w:rPr>
        <w:footnoteRef/>
      </w:r>
      <w:r>
        <w:t xml:space="preserve"> </w:t>
      </w:r>
      <w:r>
        <w:rPr>
          <w:rFonts w:ascii="Times New Roman" w:hAnsi="Times New Roman" w:cs="Times New Roman"/>
        </w:rPr>
        <w:t>Transiciones según categoría del IMC. Olas 1 y 3.</w:t>
      </w:r>
      <w:r w:rsidRPr="00796F1E">
        <w:rPr>
          <w:rFonts w:ascii="Times New Roman" w:hAnsi="Times New Roman" w:cs="Times New Roman"/>
        </w:rPr>
        <w:t xml:space="preserve"> 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42</w:t>
      </w:r>
      <w:r w:rsidRPr="00796F1E">
        <w:rPr>
          <w:rFonts w:ascii="Times New Roman" w:hAnsi="Times New Roman" w:cs="Times New Roman"/>
        </w:rPr>
        <w:t>), por Colafranceschi, M., Failache, E. y Vigorito, A. (2013). Montevideo, Uruguay: PNUD. Derechos reservados 2013 por el PNUD. Reproducido con permiso.</w:t>
      </w:r>
    </w:p>
  </w:footnote>
  <w:footnote w:id="23">
    <w:p w:rsidR="000A2024" w:rsidRDefault="000A2024" w:rsidP="00080599">
      <w:pPr>
        <w:pStyle w:val="Textonotapie"/>
      </w:pPr>
      <w:r w:rsidRPr="00F141FA">
        <w:rPr>
          <w:rStyle w:val="Refdenotaalpie"/>
        </w:rPr>
        <w:footnoteRef/>
      </w:r>
      <w:r>
        <w:t xml:space="preserve"> </w:t>
      </w:r>
      <w:r>
        <w:rPr>
          <w:rFonts w:ascii="Times New Roman" w:hAnsi="Times New Roman" w:cs="Times New Roman"/>
        </w:rPr>
        <w:t>Transiciones en la condición de actividad entre 2004 y 2011.</w:t>
      </w:r>
      <w:r w:rsidRPr="00796F1E">
        <w:rPr>
          <w:rFonts w:ascii="Times New Roman" w:hAnsi="Times New Roman" w:cs="Times New Roman"/>
        </w:rPr>
        <w:t xml:space="preserve"> 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43</w:t>
      </w:r>
      <w:r w:rsidRPr="00796F1E">
        <w:rPr>
          <w:rFonts w:ascii="Times New Roman" w:hAnsi="Times New Roman" w:cs="Times New Roman"/>
        </w:rPr>
        <w:t>), por Colafranceschi, M., Failache, E. y Vigorito, A. (2013). Montevideo, Uruguay: PNUD. Derechos reservados 2013 por el PNUD. Reproducido con permiso.</w:t>
      </w:r>
    </w:p>
  </w:footnote>
  <w:footnote w:id="24">
    <w:p w:rsidR="000A2024" w:rsidRPr="00AF037D" w:rsidRDefault="000A2024" w:rsidP="00080599">
      <w:pPr>
        <w:pStyle w:val="Textonotapie"/>
        <w:rPr>
          <w:rFonts w:ascii="Times New Roman" w:hAnsi="Times New Roman" w:cs="Times New Roman"/>
        </w:rPr>
      </w:pPr>
      <w:r>
        <w:rPr>
          <w:rStyle w:val="Refdenotaalpie"/>
        </w:rPr>
        <w:footnoteRef/>
      </w:r>
      <w:r>
        <w:t xml:space="preserve"> </w:t>
      </w:r>
      <w:r w:rsidRPr="00AF037D">
        <w:rPr>
          <w:rFonts w:ascii="Times New Roman" w:hAnsi="Times New Roman" w:cs="Times New Roman"/>
        </w:rPr>
        <w:t>Transición desde distintas co</w:t>
      </w:r>
      <w:r>
        <w:rPr>
          <w:rFonts w:ascii="Times New Roman" w:hAnsi="Times New Roman" w:cs="Times New Roman"/>
        </w:rPr>
        <w:t xml:space="preserve">ndiciones de actividad en 2004 </w:t>
      </w:r>
      <w:r w:rsidRPr="00AF037D">
        <w:rPr>
          <w:rFonts w:ascii="Times New Roman" w:hAnsi="Times New Roman" w:cs="Times New Roman"/>
        </w:rPr>
        <w:t>a la condición de ocupados en 2</w:t>
      </w:r>
      <w:r>
        <w:rPr>
          <w:rFonts w:ascii="Times New Roman" w:hAnsi="Times New Roman" w:cs="Times New Roman"/>
        </w:rPr>
        <w:t xml:space="preserve">011 según transición realizada </w:t>
      </w:r>
      <w:r w:rsidRPr="00AF037D">
        <w:rPr>
          <w:rFonts w:ascii="Times New Roman" w:hAnsi="Times New Roman" w:cs="Times New Roman"/>
        </w:rPr>
        <w:t>en términos de pobreza (en porcentaje)</w:t>
      </w:r>
      <w:r>
        <w:rPr>
          <w:rFonts w:ascii="Times New Roman" w:hAnsi="Times New Roman" w:cs="Times New Roman"/>
        </w:rPr>
        <w:t xml:space="preserve">. </w:t>
      </w:r>
      <w:r w:rsidRPr="00796F1E">
        <w:rPr>
          <w:rFonts w:ascii="Times New Roman" w:hAnsi="Times New Roman" w:cs="Times New Roman"/>
        </w:rPr>
        <w:t xml:space="preserve">De </w:t>
      </w:r>
      <w:r w:rsidRPr="00796F1E">
        <w:rPr>
          <w:rFonts w:ascii="Times New Roman" w:hAnsi="Times New Roman" w:cs="Times New Roman"/>
          <w:i/>
        </w:rPr>
        <w:t>Desigualdad multidimensional y dinámica de la pobreza en Uruguay en los años recientes</w:t>
      </w:r>
      <w:r>
        <w:rPr>
          <w:rFonts w:ascii="Times New Roman" w:hAnsi="Times New Roman" w:cs="Times New Roman"/>
        </w:rPr>
        <w:t>, (p, 44</w:t>
      </w:r>
      <w:r w:rsidRPr="00796F1E">
        <w:rPr>
          <w:rFonts w:ascii="Times New Roman" w:hAnsi="Times New Roman" w:cs="Times New Roman"/>
        </w:rPr>
        <w:t>), por Colafranceschi, M., Failache, E. y Vigorito, A. (2013). Montevideo, Uruguay: PNUD. Derechos reservados 2013 por el PNUD. Reproducido con permiso.</w:t>
      </w:r>
    </w:p>
  </w:footnote>
  <w:footnote w:id="25">
    <w:p w:rsidR="000A2024" w:rsidRPr="003A50E2" w:rsidRDefault="000A2024" w:rsidP="00080599">
      <w:pPr>
        <w:pStyle w:val="Textonotapie"/>
      </w:pPr>
      <w:r>
        <w:rPr>
          <w:rStyle w:val="Refdenotaalpie"/>
        </w:rPr>
        <w:footnoteRef/>
      </w:r>
      <w:r>
        <w:t xml:space="preserve"> </w:t>
      </w:r>
      <w:r w:rsidRPr="00B401CA">
        <w:t>Accinelli</w:t>
      </w:r>
      <w:r>
        <w:t xml:space="preserve"> E. y </w:t>
      </w:r>
      <w:r w:rsidRPr="00B401CA">
        <w:t>Sánchez Carrera</w:t>
      </w:r>
      <w:r>
        <w:t xml:space="preserve"> E. </w:t>
      </w:r>
      <w:r>
        <w:rPr>
          <w:i/>
        </w:rPr>
        <w:t>Crecimiento, imitación y trampas de la pobreza</w:t>
      </w:r>
      <w:r>
        <w:t xml:space="preserve">. En </w:t>
      </w:r>
      <w:r w:rsidRPr="003A50E2">
        <w:rPr>
          <w:i/>
        </w:rPr>
        <w:t>Crecimiento y distribuci</w:t>
      </w:r>
      <w:r>
        <w:rPr>
          <w:i/>
        </w:rPr>
        <w:t xml:space="preserve">ón del ingreso en América Latina. </w:t>
      </w:r>
      <w:r>
        <w:t>(2010). (pp. 71-75).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F228"/>
      </v:shape>
    </w:pict>
  </w:numPicBullet>
  <w:abstractNum w:abstractNumId="0" w15:restartNumberingAfterBreak="0">
    <w:nsid w:val="00E03AF2"/>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1" w15:restartNumberingAfterBreak="0">
    <w:nsid w:val="01F13A7F"/>
    <w:multiLevelType w:val="hybridMultilevel"/>
    <w:tmpl w:val="8FF2C2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2B5115B"/>
    <w:multiLevelType w:val="hybridMultilevel"/>
    <w:tmpl w:val="2638B630"/>
    <w:lvl w:ilvl="0" w:tplc="8D58EE4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51644EF"/>
    <w:multiLevelType w:val="hybridMultilevel"/>
    <w:tmpl w:val="86783EA0"/>
    <w:lvl w:ilvl="0" w:tplc="080A0019">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15:restartNumberingAfterBreak="0">
    <w:nsid w:val="05983BB2"/>
    <w:multiLevelType w:val="hybridMultilevel"/>
    <w:tmpl w:val="CD827F10"/>
    <w:lvl w:ilvl="0" w:tplc="080A0003">
      <w:start w:val="1"/>
      <w:numFmt w:val="bullet"/>
      <w:lvlText w:val="o"/>
      <w:lvlJc w:val="left"/>
      <w:pPr>
        <w:ind w:left="2340" w:hanging="360"/>
      </w:pPr>
      <w:rPr>
        <w:rFonts w:ascii="Courier New" w:hAnsi="Courier New" w:cs="Courier New" w:hint="default"/>
      </w:r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5" w15:restartNumberingAfterBreak="0">
    <w:nsid w:val="05AE0A47"/>
    <w:multiLevelType w:val="hybridMultilevel"/>
    <w:tmpl w:val="FD1225A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6005915"/>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7" w15:restartNumberingAfterBreak="0">
    <w:nsid w:val="0798147B"/>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8" w15:restartNumberingAfterBreak="0">
    <w:nsid w:val="07C84741"/>
    <w:multiLevelType w:val="hybridMultilevel"/>
    <w:tmpl w:val="B0F63F52"/>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08E90422"/>
    <w:multiLevelType w:val="hybridMultilevel"/>
    <w:tmpl w:val="9FAADCE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09E82AF4"/>
    <w:multiLevelType w:val="hybridMultilevel"/>
    <w:tmpl w:val="C87A771E"/>
    <w:lvl w:ilvl="0" w:tplc="C15EE3BE">
      <w:start w:val="303"/>
      <w:numFmt w:val="bullet"/>
      <w:lvlText w:val="-"/>
      <w:lvlJc w:val="left"/>
      <w:pPr>
        <w:ind w:left="720" w:hanging="360"/>
      </w:pPr>
      <w:rPr>
        <w:rFonts w:ascii="Cambria" w:eastAsiaTheme="minorHAnsi" w:hAnsi="Cambria" w:cstheme="minorBidi" w:hint="default"/>
      </w:rPr>
    </w:lvl>
    <w:lvl w:ilvl="1" w:tplc="080A0003">
      <w:start w:val="1"/>
      <w:numFmt w:val="bullet"/>
      <w:lvlText w:val="o"/>
      <w:lvlJc w:val="left"/>
      <w:pPr>
        <w:ind w:left="1440" w:hanging="360"/>
      </w:pPr>
      <w:rPr>
        <w:rFonts w:ascii="Courier New" w:hAnsi="Courier New" w:cs="Courier New" w:hint="default"/>
      </w:rPr>
    </w:lvl>
    <w:lvl w:ilvl="2" w:tplc="080A001B">
      <w:start w:val="1"/>
      <w:numFmt w:val="lowerRoman"/>
      <w:lvlText w:val="%3."/>
      <w:lvlJc w:val="right"/>
      <w:pPr>
        <w:ind w:left="2160" w:hanging="360"/>
      </w:pPr>
      <w:rPr>
        <w:rFont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0A4058E6"/>
    <w:multiLevelType w:val="hybridMultilevel"/>
    <w:tmpl w:val="5C361B14"/>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0B462DF7"/>
    <w:multiLevelType w:val="hybridMultilevel"/>
    <w:tmpl w:val="47A28F1C"/>
    <w:lvl w:ilvl="0" w:tplc="39BC5406">
      <w:start w:val="1"/>
      <w:numFmt w:val="ordin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0C0A006C"/>
    <w:multiLevelType w:val="hybridMultilevel"/>
    <w:tmpl w:val="9A60FA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DFF2BEA"/>
    <w:multiLevelType w:val="hybridMultilevel"/>
    <w:tmpl w:val="FC501C3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F9C0769"/>
    <w:multiLevelType w:val="hybridMultilevel"/>
    <w:tmpl w:val="0CEAA82A"/>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6" w15:restartNumberingAfterBreak="0">
    <w:nsid w:val="10467ABA"/>
    <w:multiLevelType w:val="hybridMultilevel"/>
    <w:tmpl w:val="FFF610D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104C7422"/>
    <w:multiLevelType w:val="hybridMultilevel"/>
    <w:tmpl w:val="2FDA10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11AB717A"/>
    <w:multiLevelType w:val="hybridMultilevel"/>
    <w:tmpl w:val="D278BE4E"/>
    <w:lvl w:ilvl="0" w:tplc="080A000F">
      <w:start w:val="1"/>
      <w:numFmt w:val="decimal"/>
      <w:lvlText w:val="%1."/>
      <w:lvlJc w:val="left"/>
      <w:pPr>
        <w:ind w:left="360" w:hanging="360"/>
      </w:pPr>
      <w:rPr>
        <w:rFonts w:hint="default"/>
      </w:rPr>
    </w:lvl>
    <w:lvl w:ilvl="1" w:tplc="080A0013">
      <w:start w:val="1"/>
      <w:numFmt w:val="upperRoman"/>
      <w:lvlText w:val="%2."/>
      <w:lvlJc w:val="right"/>
      <w:pPr>
        <w:ind w:left="851"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148A1AE8"/>
    <w:multiLevelType w:val="hybridMultilevel"/>
    <w:tmpl w:val="ECB0AA5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167D62E5"/>
    <w:multiLevelType w:val="hybridMultilevel"/>
    <w:tmpl w:val="805235E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16FD1701"/>
    <w:multiLevelType w:val="hybridMultilevel"/>
    <w:tmpl w:val="F7F4F6A0"/>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733350E"/>
    <w:multiLevelType w:val="hybridMultilevel"/>
    <w:tmpl w:val="209A2AD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17461431"/>
    <w:multiLevelType w:val="hybridMultilevel"/>
    <w:tmpl w:val="9B6648E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17781E83"/>
    <w:multiLevelType w:val="hybridMultilevel"/>
    <w:tmpl w:val="67E8994A"/>
    <w:lvl w:ilvl="0" w:tplc="CBDC6978">
      <w:start w:val="1"/>
      <w:numFmt w:val="ordinalText"/>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179D08DC"/>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26" w15:restartNumberingAfterBreak="0">
    <w:nsid w:val="18E82ADA"/>
    <w:multiLevelType w:val="hybridMultilevel"/>
    <w:tmpl w:val="42CE5678"/>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AA90B65"/>
    <w:multiLevelType w:val="hybridMultilevel"/>
    <w:tmpl w:val="A0520CE0"/>
    <w:lvl w:ilvl="0" w:tplc="080A0017">
      <w:start w:val="1"/>
      <w:numFmt w:val="lowerLetter"/>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8" w15:restartNumberingAfterBreak="0">
    <w:nsid w:val="1AEB5FA8"/>
    <w:multiLevelType w:val="hybridMultilevel"/>
    <w:tmpl w:val="F7F4F6A0"/>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1B90177F"/>
    <w:multiLevelType w:val="hybridMultilevel"/>
    <w:tmpl w:val="3A4E3EB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1CE00133"/>
    <w:multiLevelType w:val="hybridMultilevel"/>
    <w:tmpl w:val="6046CD5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1DEC188C"/>
    <w:multiLevelType w:val="hybridMultilevel"/>
    <w:tmpl w:val="C22ED7F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1E1B35B2"/>
    <w:multiLevelType w:val="hybridMultilevel"/>
    <w:tmpl w:val="728AA466"/>
    <w:lvl w:ilvl="0" w:tplc="080A000F">
      <w:start w:val="1"/>
      <w:numFmt w:val="decimal"/>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3" w15:restartNumberingAfterBreak="0">
    <w:nsid w:val="1E740292"/>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34" w15:restartNumberingAfterBreak="0">
    <w:nsid w:val="22F306BB"/>
    <w:multiLevelType w:val="hybridMultilevel"/>
    <w:tmpl w:val="CAC0CB14"/>
    <w:lvl w:ilvl="0" w:tplc="72D83846">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266C29D8"/>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29D76AF9"/>
    <w:multiLevelType w:val="hybridMultilevel"/>
    <w:tmpl w:val="52A27C92"/>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2C5B4BF9"/>
    <w:multiLevelType w:val="hybridMultilevel"/>
    <w:tmpl w:val="C8DE84F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2E4A7D05"/>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39" w15:restartNumberingAfterBreak="0">
    <w:nsid w:val="31E13A19"/>
    <w:multiLevelType w:val="hybridMultilevel"/>
    <w:tmpl w:val="FD7E8CA4"/>
    <w:lvl w:ilvl="0" w:tplc="080A0001">
      <w:start w:val="1"/>
      <w:numFmt w:val="bullet"/>
      <w:lvlText w:val=""/>
      <w:lvlJc w:val="left"/>
      <w:pPr>
        <w:ind w:left="2340" w:hanging="360"/>
      </w:pPr>
      <w:rPr>
        <w:rFonts w:ascii="Symbol" w:hAnsi="Symbol" w:hint="default"/>
      </w:r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40" w15:restartNumberingAfterBreak="0">
    <w:nsid w:val="32C43917"/>
    <w:multiLevelType w:val="hybridMultilevel"/>
    <w:tmpl w:val="AE1CF4C4"/>
    <w:lvl w:ilvl="0" w:tplc="080A0001">
      <w:start w:val="1"/>
      <w:numFmt w:val="bullet"/>
      <w:lvlText w:val=""/>
      <w:lvlJc w:val="left"/>
      <w:pPr>
        <w:ind w:left="774" w:hanging="360"/>
      </w:pPr>
      <w:rPr>
        <w:rFonts w:ascii="Symbol" w:hAnsi="Symbol" w:hint="default"/>
      </w:rPr>
    </w:lvl>
    <w:lvl w:ilvl="1" w:tplc="080A000B">
      <w:start w:val="1"/>
      <w:numFmt w:val="bullet"/>
      <w:lvlText w:val=""/>
      <w:lvlJc w:val="left"/>
      <w:pPr>
        <w:ind w:left="1494" w:hanging="360"/>
      </w:pPr>
      <w:rPr>
        <w:rFonts w:ascii="Wingdings" w:hAnsi="Wingdings" w:hint="default"/>
      </w:rPr>
    </w:lvl>
    <w:lvl w:ilvl="2" w:tplc="080A0005" w:tentative="1">
      <w:start w:val="1"/>
      <w:numFmt w:val="bullet"/>
      <w:lvlText w:val=""/>
      <w:lvlJc w:val="left"/>
      <w:pPr>
        <w:ind w:left="2214" w:hanging="360"/>
      </w:pPr>
      <w:rPr>
        <w:rFonts w:ascii="Wingdings" w:hAnsi="Wingdings" w:hint="default"/>
      </w:rPr>
    </w:lvl>
    <w:lvl w:ilvl="3" w:tplc="080A0001" w:tentative="1">
      <w:start w:val="1"/>
      <w:numFmt w:val="bullet"/>
      <w:lvlText w:val=""/>
      <w:lvlJc w:val="left"/>
      <w:pPr>
        <w:ind w:left="2934" w:hanging="360"/>
      </w:pPr>
      <w:rPr>
        <w:rFonts w:ascii="Symbol" w:hAnsi="Symbol" w:hint="default"/>
      </w:rPr>
    </w:lvl>
    <w:lvl w:ilvl="4" w:tplc="080A0003" w:tentative="1">
      <w:start w:val="1"/>
      <w:numFmt w:val="bullet"/>
      <w:lvlText w:val="o"/>
      <w:lvlJc w:val="left"/>
      <w:pPr>
        <w:ind w:left="3654" w:hanging="360"/>
      </w:pPr>
      <w:rPr>
        <w:rFonts w:ascii="Courier New" w:hAnsi="Courier New" w:cs="Courier New" w:hint="default"/>
      </w:rPr>
    </w:lvl>
    <w:lvl w:ilvl="5" w:tplc="080A0005" w:tentative="1">
      <w:start w:val="1"/>
      <w:numFmt w:val="bullet"/>
      <w:lvlText w:val=""/>
      <w:lvlJc w:val="left"/>
      <w:pPr>
        <w:ind w:left="4374" w:hanging="360"/>
      </w:pPr>
      <w:rPr>
        <w:rFonts w:ascii="Wingdings" w:hAnsi="Wingdings" w:hint="default"/>
      </w:rPr>
    </w:lvl>
    <w:lvl w:ilvl="6" w:tplc="080A0001" w:tentative="1">
      <w:start w:val="1"/>
      <w:numFmt w:val="bullet"/>
      <w:lvlText w:val=""/>
      <w:lvlJc w:val="left"/>
      <w:pPr>
        <w:ind w:left="5094" w:hanging="360"/>
      </w:pPr>
      <w:rPr>
        <w:rFonts w:ascii="Symbol" w:hAnsi="Symbol" w:hint="default"/>
      </w:rPr>
    </w:lvl>
    <w:lvl w:ilvl="7" w:tplc="080A0003" w:tentative="1">
      <w:start w:val="1"/>
      <w:numFmt w:val="bullet"/>
      <w:lvlText w:val="o"/>
      <w:lvlJc w:val="left"/>
      <w:pPr>
        <w:ind w:left="5814" w:hanging="360"/>
      </w:pPr>
      <w:rPr>
        <w:rFonts w:ascii="Courier New" w:hAnsi="Courier New" w:cs="Courier New" w:hint="default"/>
      </w:rPr>
    </w:lvl>
    <w:lvl w:ilvl="8" w:tplc="080A0005" w:tentative="1">
      <w:start w:val="1"/>
      <w:numFmt w:val="bullet"/>
      <w:lvlText w:val=""/>
      <w:lvlJc w:val="left"/>
      <w:pPr>
        <w:ind w:left="6534" w:hanging="360"/>
      </w:pPr>
      <w:rPr>
        <w:rFonts w:ascii="Wingdings" w:hAnsi="Wingdings" w:hint="default"/>
      </w:rPr>
    </w:lvl>
  </w:abstractNum>
  <w:abstractNum w:abstractNumId="41" w15:restartNumberingAfterBreak="0">
    <w:nsid w:val="32F06FE0"/>
    <w:multiLevelType w:val="hybridMultilevel"/>
    <w:tmpl w:val="F7F4F6A0"/>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33922C04"/>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43" w15:restartNumberingAfterBreak="0">
    <w:nsid w:val="33DC4D89"/>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3F990B57"/>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45" w15:restartNumberingAfterBreak="0">
    <w:nsid w:val="3FA321F9"/>
    <w:multiLevelType w:val="hybridMultilevel"/>
    <w:tmpl w:val="780CF486"/>
    <w:lvl w:ilvl="0" w:tplc="6D12BB02">
      <w:start w:val="1"/>
      <w:numFmt w:val="bullet"/>
      <w:pStyle w:val="SubTema1"/>
      <w:lvlText w:val=""/>
      <w:lvlPicBulletId w:val="0"/>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6" w15:restartNumberingAfterBreak="0">
    <w:nsid w:val="418F4F12"/>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452C7CE3"/>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47B123DB"/>
    <w:multiLevelType w:val="hybridMultilevel"/>
    <w:tmpl w:val="66982E84"/>
    <w:lvl w:ilvl="0" w:tplc="F674543A">
      <w:start w:val="1"/>
      <w:numFmt w:val="decimal"/>
      <w:pStyle w:val="Sub3"/>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9" w15:restartNumberingAfterBreak="0">
    <w:nsid w:val="4857015A"/>
    <w:multiLevelType w:val="hybridMultilevel"/>
    <w:tmpl w:val="7CAE8CF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4A0B442C"/>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15:restartNumberingAfterBreak="0">
    <w:nsid w:val="4A526E81"/>
    <w:multiLevelType w:val="hybridMultilevel"/>
    <w:tmpl w:val="59463C4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4AE61A02"/>
    <w:multiLevelType w:val="hybridMultilevel"/>
    <w:tmpl w:val="E69EE91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4B595FE0"/>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4B6B102A"/>
    <w:multiLevelType w:val="hybridMultilevel"/>
    <w:tmpl w:val="80500E9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4D092A6A"/>
    <w:multiLevelType w:val="hybridMultilevel"/>
    <w:tmpl w:val="E1F4F146"/>
    <w:lvl w:ilvl="0" w:tplc="A5149188">
      <w:start w:val="1"/>
      <w:numFmt w:val="ordinalText"/>
      <w:lvlText w:val="%1."/>
      <w:lvlJc w:val="righ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4F2A4CA4"/>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51AF7C95"/>
    <w:multiLevelType w:val="hybridMultilevel"/>
    <w:tmpl w:val="78027AA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54325858"/>
    <w:multiLevelType w:val="hybridMultilevel"/>
    <w:tmpl w:val="01823A0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54A921A6"/>
    <w:multiLevelType w:val="hybridMultilevel"/>
    <w:tmpl w:val="42AC513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5517154E"/>
    <w:multiLevelType w:val="hybridMultilevel"/>
    <w:tmpl w:val="F8BAA52A"/>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5A8D1D97"/>
    <w:multiLevelType w:val="hybridMultilevel"/>
    <w:tmpl w:val="D4AA2C8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5AAC4D3A"/>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63" w15:restartNumberingAfterBreak="0">
    <w:nsid w:val="5E146A9A"/>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5F520CCC"/>
    <w:multiLevelType w:val="hybridMultilevel"/>
    <w:tmpl w:val="53C6510C"/>
    <w:lvl w:ilvl="0" w:tplc="080A000F">
      <w:start w:val="1"/>
      <w:numFmt w:val="decimal"/>
      <w:lvlText w:val="%1."/>
      <w:lvlJc w:val="left"/>
      <w:pPr>
        <w:ind w:left="540" w:hanging="180"/>
      </w:pPr>
    </w:lvl>
    <w:lvl w:ilvl="1" w:tplc="080A0019" w:tentative="1">
      <w:start w:val="1"/>
      <w:numFmt w:val="lowerLetter"/>
      <w:lvlText w:val="%2."/>
      <w:lvlJc w:val="left"/>
      <w:pPr>
        <w:ind w:left="1260" w:hanging="360"/>
      </w:pPr>
    </w:lvl>
    <w:lvl w:ilvl="2" w:tplc="080A001B" w:tentative="1">
      <w:start w:val="1"/>
      <w:numFmt w:val="lowerRoman"/>
      <w:lvlText w:val="%3."/>
      <w:lvlJc w:val="right"/>
      <w:pPr>
        <w:ind w:left="1980" w:hanging="180"/>
      </w:pPr>
    </w:lvl>
    <w:lvl w:ilvl="3" w:tplc="080A000F" w:tentative="1">
      <w:start w:val="1"/>
      <w:numFmt w:val="decimal"/>
      <w:lvlText w:val="%4."/>
      <w:lvlJc w:val="left"/>
      <w:pPr>
        <w:ind w:left="2700" w:hanging="360"/>
      </w:pPr>
    </w:lvl>
    <w:lvl w:ilvl="4" w:tplc="080A0019" w:tentative="1">
      <w:start w:val="1"/>
      <w:numFmt w:val="lowerLetter"/>
      <w:lvlText w:val="%5."/>
      <w:lvlJc w:val="left"/>
      <w:pPr>
        <w:ind w:left="3420" w:hanging="360"/>
      </w:pPr>
    </w:lvl>
    <w:lvl w:ilvl="5" w:tplc="080A001B" w:tentative="1">
      <w:start w:val="1"/>
      <w:numFmt w:val="lowerRoman"/>
      <w:lvlText w:val="%6."/>
      <w:lvlJc w:val="right"/>
      <w:pPr>
        <w:ind w:left="4140" w:hanging="180"/>
      </w:pPr>
    </w:lvl>
    <w:lvl w:ilvl="6" w:tplc="080A000F" w:tentative="1">
      <w:start w:val="1"/>
      <w:numFmt w:val="decimal"/>
      <w:lvlText w:val="%7."/>
      <w:lvlJc w:val="left"/>
      <w:pPr>
        <w:ind w:left="4860" w:hanging="360"/>
      </w:pPr>
    </w:lvl>
    <w:lvl w:ilvl="7" w:tplc="080A0019" w:tentative="1">
      <w:start w:val="1"/>
      <w:numFmt w:val="lowerLetter"/>
      <w:lvlText w:val="%8."/>
      <w:lvlJc w:val="left"/>
      <w:pPr>
        <w:ind w:left="5580" w:hanging="360"/>
      </w:pPr>
    </w:lvl>
    <w:lvl w:ilvl="8" w:tplc="080A001B" w:tentative="1">
      <w:start w:val="1"/>
      <w:numFmt w:val="lowerRoman"/>
      <w:lvlText w:val="%9."/>
      <w:lvlJc w:val="right"/>
      <w:pPr>
        <w:ind w:left="6300" w:hanging="180"/>
      </w:pPr>
    </w:lvl>
  </w:abstractNum>
  <w:abstractNum w:abstractNumId="65" w15:restartNumberingAfterBreak="0">
    <w:nsid w:val="614613DA"/>
    <w:multiLevelType w:val="hybridMultilevel"/>
    <w:tmpl w:val="BB32015A"/>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6" w15:restartNumberingAfterBreak="0">
    <w:nsid w:val="63DA7904"/>
    <w:multiLevelType w:val="hybridMultilevel"/>
    <w:tmpl w:val="1D84C602"/>
    <w:lvl w:ilvl="0" w:tplc="080A001B">
      <w:start w:val="1"/>
      <w:numFmt w:val="lowerRoman"/>
      <w:lvlText w:val="%1."/>
      <w:lvlJc w:val="right"/>
      <w:pPr>
        <w:ind w:left="2340" w:hanging="360"/>
      </w:p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67" w15:restartNumberingAfterBreak="0">
    <w:nsid w:val="65320A8B"/>
    <w:multiLevelType w:val="hybridMultilevel"/>
    <w:tmpl w:val="7138EA6C"/>
    <w:lvl w:ilvl="0" w:tplc="D1089B3A">
      <w:start w:val="1"/>
      <w:numFmt w:val="ordinalText"/>
      <w:lvlText w:val="%1."/>
      <w:lvlJc w:val="right"/>
      <w:pPr>
        <w:ind w:left="720" w:hanging="36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657B5F84"/>
    <w:multiLevelType w:val="hybridMultilevel"/>
    <w:tmpl w:val="3638721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67341255"/>
    <w:multiLevelType w:val="hybridMultilevel"/>
    <w:tmpl w:val="D8DE47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6B0914EB"/>
    <w:multiLevelType w:val="hybridMultilevel"/>
    <w:tmpl w:val="5268EC78"/>
    <w:lvl w:ilvl="0" w:tplc="080A0001">
      <w:start w:val="1"/>
      <w:numFmt w:val="bullet"/>
      <w:lvlText w:val=""/>
      <w:lvlJc w:val="left"/>
      <w:pPr>
        <w:ind w:left="2340" w:hanging="360"/>
      </w:pPr>
      <w:rPr>
        <w:rFonts w:ascii="Symbol" w:hAnsi="Symbol" w:hint="default"/>
      </w:rPr>
    </w:lvl>
    <w:lvl w:ilvl="1" w:tplc="080A0019" w:tentative="1">
      <w:start w:val="1"/>
      <w:numFmt w:val="lowerLetter"/>
      <w:lvlText w:val="%2."/>
      <w:lvlJc w:val="left"/>
      <w:pPr>
        <w:ind w:left="3060" w:hanging="360"/>
      </w:pPr>
    </w:lvl>
    <w:lvl w:ilvl="2" w:tplc="080A001B" w:tentative="1">
      <w:start w:val="1"/>
      <w:numFmt w:val="lowerRoman"/>
      <w:lvlText w:val="%3."/>
      <w:lvlJc w:val="right"/>
      <w:pPr>
        <w:ind w:left="3780" w:hanging="180"/>
      </w:pPr>
    </w:lvl>
    <w:lvl w:ilvl="3" w:tplc="080A000F" w:tentative="1">
      <w:start w:val="1"/>
      <w:numFmt w:val="decimal"/>
      <w:lvlText w:val="%4."/>
      <w:lvlJc w:val="left"/>
      <w:pPr>
        <w:ind w:left="4500" w:hanging="360"/>
      </w:pPr>
    </w:lvl>
    <w:lvl w:ilvl="4" w:tplc="080A0019" w:tentative="1">
      <w:start w:val="1"/>
      <w:numFmt w:val="lowerLetter"/>
      <w:lvlText w:val="%5."/>
      <w:lvlJc w:val="left"/>
      <w:pPr>
        <w:ind w:left="5220" w:hanging="360"/>
      </w:pPr>
    </w:lvl>
    <w:lvl w:ilvl="5" w:tplc="080A001B" w:tentative="1">
      <w:start w:val="1"/>
      <w:numFmt w:val="lowerRoman"/>
      <w:lvlText w:val="%6."/>
      <w:lvlJc w:val="right"/>
      <w:pPr>
        <w:ind w:left="5940" w:hanging="180"/>
      </w:pPr>
    </w:lvl>
    <w:lvl w:ilvl="6" w:tplc="080A000F" w:tentative="1">
      <w:start w:val="1"/>
      <w:numFmt w:val="decimal"/>
      <w:lvlText w:val="%7."/>
      <w:lvlJc w:val="left"/>
      <w:pPr>
        <w:ind w:left="6660" w:hanging="360"/>
      </w:pPr>
    </w:lvl>
    <w:lvl w:ilvl="7" w:tplc="080A0019" w:tentative="1">
      <w:start w:val="1"/>
      <w:numFmt w:val="lowerLetter"/>
      <w:lvlText w:val="%8."/>
      <w:lvlJc w:val="left"/>
      <w:pPr>
        <w:ind w:left="7380" w:hanging="360"/>
      </w:pPr>
    </w:lvl>
    <w:lvl w:ilvl="8" w:tplc="080A001B" w:tentative="1">
      <w:start w:val="1"/>
      <w:numFmt w:val="lowerRoman"/>
      <w:lvlText w:val="%9."/>
      <w:lvlJc w:val="right"/>
      <w:pPr>
        <w:ind w:left="8100" w:hanging="180"/>
      </w:pPr>
    </w:lvl>
  </w:abstractNum>
  <w:abstractNum w:abstractNumId="71" w15:restartNumberingAfterBreak="0">
    <w:nsid w:val="6D563B53"/>
    <w:multiLevelType w:val="hybridMultilevel"/>
    <w:tmpl w:val="2DE4FC3E"/>
    <w:lvl w:ilvl="0" w:tplc="080A000B">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71EA79DA"/>
    <w:multiLevelType w:val="hybridMultilevel"/>
    <w:tmpl w:val="F4FAABB6"/>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7218655C"/>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7400733F"/>
    <w:multiLevelType w:val="hybridMultilevel"/>
    <w:tmpl w:val="0F86098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743D2C36"/>
    <w:multiLevelType w:val="hybridMultilevel"/>
    <w:tmpl w:val="8F4260A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6" w15:restartNumberingAfterBreak="0">
    <w:nsid w:val="752C772F"/>
    <w:multiLevelType w:val="hybridMultilevel"/>
    <w:tmpl w:val="134E1E6A"/>
    <w:lvl w:ilvl="0" w:tplc="080A0003">
      <w:start w:val="1"/>
      <w:numFmt w:val="bullet"/>
      <w:lvlText w:val="o"/>
      <w:lvlJc w:val="left"/>
      <w:pPr>
        <w:ind w:left="1776" w:hanging="360"/>
      </w:pPr>
      <w:rPr>
        <w:rFonts w:ascii="Courier New" w:hAnsi="Courier New" w:cs="Courier New"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77" w15:restartNumberingAfterBreak="0">
    <w:nsid w:val="785D5674"/>
    <w:multiLevelType w:val="hybridMultilevel"/>
    <w:tmpl w:val="BE58AAC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78774C9F"/>
    <w:multiLevelType w:val="hybridMultilevel"/>
    <w:tmpl w:val="6D9ECA6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7AF31E75"/>
    <w:multiLevelType w:val="hybridMultilevel"/>
    <w:tmpl w:val="3BCC57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7F31600B"/>
    <w:multiLevelType w:val="hybridMultilevel"/>
    <w:tmpl w:val="2E1A1B2A"/>
    <w:lvl w:ilvl="0" w:tplc="7C7E75AA">
      <w:start w:val="1"/>
      <w:numFmt w:val="upperRoman"/>
      <w:pStyle w:val="SubTema"/>
      <w:lvlText w:val="%1."/>
      <w:lvlJc w:val="right"/>
      <w:pPr>
        <w:ind w:left="360" w:hanging="360"/>
      </w:pPr>
      <w:rPr>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65"/>
  </w:num>
  <w:num w:numId="2">
    <w:abstractNumId w:val="80"/>
  </w:num>
  <w:num w:numId="3">
    <w:abstractNumId w:val="48"/>
  </w:num>
  <w:num w:numId="4">
    <w:abstractNumId w:val="45"/>
  </w:num>
  <w:num w:numId="5">
    <w:abstractNumId w:val="18"/>
  </w:num>
  <w:num w:numId="6">
    <w:abstractNumId w:val="26"/>
  </w:num>
  <w:num w:numId="7">
    <w:abstractNumId w:val="32"/>
  </w:num>
  <w:num w:numId="8">
    <w:abstractNumId w:val="61"/>
  </w:num>
  <w:num w:numId="9">
    <w:abstractNumId w:val="30"/>
  </w:num>
  <w:num w:numId="10">
    <w:abstractNumId w:val="12"/>
  </w:num>
  <w:num w:numId="11">
    <w:abstractNumId w:val="52"/>
  </w:num>
  <w:num w:numId="12">
    <w:abstractNumId w:val="76"/>
  </w:num>
  <w:num w:numId="13">
    <w:abstractNumId w:val="54"/>
  </w:num>
  <w:num w:numId="14">
    <w:abstractNumId w:val="16"/>
  </w:num>
  <w:num w:numId="15">
    <w:abstractNumId w:val="29"/>
  </w:num>
  <w:num w:numId="16">
    <w:abstractNumId w:val="23"/>
  </w:num>
  <w:num w:numId="17">
    <w:abstractNumId w:val="77"/>
  </w:num>
  <w:num w:numId="18">
    <w:abstractNumId w:val="37"/>
  </w:num>
  <w:num w:numId="19">
    <w:abstractNumId w:val="58"/>
  </w:num>
  <w:num w:numId="20">
    <w:abstractNumId w:val="22"/>
  </w:num>
  <w:num w:numId="21">
    <w:abstractNumId w:val="14"/>
  </w:num>
  <w:num w:numId="22">
    <w:abstractNumId w:val="59"/>
  </w:num>
  <w:num w:numId="23">
    <w:abstractNumId w:val="27"/>
  </w:num>
  <w:num w:numId="24">
    <w:abstractNumId w:val="2"/>
  </w:num>
  <w:num w:numId="25">
    <w:abstractNumId w:val="75"/>
  </w:num>
  <w:num w:numId="26">
    <w:abstractNumId w:val="3"/>
  </w:num>
  <w:num w:numId="27">
    <w:abstractNumId w:val="36"/>
  </w:num>
  <w:num w:numId="28">
    <w:abstractNumId w:val="57"/>
  </w:num>
  <w:num w:numId="29">
    <w:abstractNumId w:val="11"/>
  </w:num>
  <w:num w:numId="30">
    <w:abstractNumId w:val="60"/>
  </w:num>
  <w:num w:numId="31">
    <w:abstractNumId w:val="8"/>
  </w:num>
  <w:num w:numId="32">
    <w:abstractNumId w:val="10"/>
  </w:num>
  <w:num w:numId="33">
    <w:abstractNumId w:val="49"/>
  </w:num>
  <w:num w:numId="34">
    <w:abstractNumId w:val="67"/>
  </w:num>
  <w:num w:numId="35">
    <w:abstractNumId w:val="55"/>
  </w:num>
  <w:num w:numId="36">
    <w:abstractNumId w:val="64"/>
  </w:num>
  <w:num w:numId="37">
    <w:abstractNumId w:val="9"/>
  </w:num>
  <w:num w:numId="38">
    <w:abstractNumId w:val="28"/>
  </w:num>
  <w:num w:numId="39">
    <w:abstractNumId w:val="21"/>
  </w:num>
  <w:num w:numId="40">
    <w:abstractNumId w:val="41"/>
  </w:num>
  <w:num w:numId="41">
    <w:abstractNumId w:val="69"/>
  </w:num>
  <w:num w:numId="42">
    <w:abstractNumId w:val="15"/>
  </w:num>
  <w:num w:numId="43">
    <w:abstractNumId w:val="1"/>
  </w:num>
  <w:num w:numId="44">
    <w:abstractNumId w:val="72"/>
  </w:num>
  <w:num w:numId="45">
    <w:abstractNumId w:val="40"/>
  </w:num>
  <w:num w:numId="46">
    <w:abstractNumId w:val="79"/>
  </w:num>
  <w:num w:numId="47">
    <w:abstractNumId w:val="31"/>
  </w:num>
  <w:num w:numId="48">
    <w:abstractNumId w:val="71"/>
  </w:num>
  <w:num w:numId="49">
    <w:abstractNumId w:val="34"/>
  </w:num>
  <w:num w:numId="50">
    <w:abstractNumId w:val="13"/>
  </w:num>
  <w:num w:numId="51">
    <w:abstractNumId w:val="20"/>
  </w:num>
  <w:num w:numId="52">
    <w:abstractNumId w:val="68"/>
  </w:num>
  <w:num w:numId="53">
    <w:abstractNumId w:val="78"/>
  </w:num>
  <w:num w:numId="54">
    <w:abstractNumId w:val="38"/>
  </w:num>
  <w:num w:numId="55">
    <w:abstractNumId w:val="63"/>
  </w:num>
  <w:num w:numId="56">
    <w:abstractNumId w:val="39"/>
  </w:num>
  <w:num w:numId="57">
    <w:abstractNumId w:val="35"/>
  </w:num>
  <w:num w:numId="58">
    <w:abstractNumId w:val="0"/>
  </w:num>
  <w:num w:numId="59">
    <w:abstractNumId w:val="53"/>
  </w:num>
  <w:num w:numId="60">
    <w:abstractNumId w:val="6"/>
  </w:num>
  <w:num w:numId="61">
    <w:abstractNumId w:val="50"/>
  </w:num>
  <w:num w:numId="62">
    <w:abstractNumId w:val="66"/>
  </w:num>
  <w:num w:numId="63">
    <w:abstractNumId w:val="70"/>
  </w:num>
  <w:num w:numId="64">
    <w:abstractNumId w:val="43"/>
  </w:num>
  <w:num w:numId="65">
    <w:abstractNumId w:val="7"/>
  </w:num>
  <w:num w:numId="66">
    <w:abstractNumId w:val="56"/>
  </w:num>
  <w:num w:numId="67">
    <w:abstractNumId w:val="42"/>
  </w:num>
  <w:num w:numId="68">
    <w:abstractNumId w:val="73"/>
  </w:num>
  <w:num w:numId="69">
    <w:abstractNumId w:val="25"/>
  </w:num>
  <w:num w:numId="70">
    <w:abstractNumId w:val="47"/>
  </w:num>
  <w:num w:numId="71">
    <w:abstractNumId w:val="44"/>
  </w:num>
  <w:num w:numId="72">
    <w:abstractNumId w:val="46"/>
  </w:num>
  <w:num w:numId="73">
    <w:abstractNumId w:val="33"/>
  </w:num>
  <w:num w:numId="74">
    <w:abstractNumId w:val="62"/>
  </w:num>
  <w:num w:numId="75">
    <w:abstractNumId w:val="4"/>
  </w:num>
  <w:num w:numId="76">
    <w:abstractNumId w:val="51"/>
  </w:num>
  <w:num w:numId="77">
    <w:abstractNumId w:val="19"/>
  </w:num>
  <w:num w:numId="78">
    <w:abstractNumId w:val="5"/>
  </w:num>
  <w:num w:numId="79">
    <w:abstractNumId w:val="74"/>
  </w:num>
  <w:num w:numId="80">
    <w:abstractNumId w:val="24"/>
  </w:num>
  <w:num w:numId="81">
    <w:abstractNumId w:val="80"/>
    <w:lvlOverride w:ilvl="0">
      <w:startOverride w:val="1"/>
    </w:lvlOverride>
  </w:num>
  <w:num w:numId="82">
    <w:abstractNumId w:val="48"/>
    <w:lvlOverride w:ilvl="0">
      <w:startOverride w:val="1"/>
    </w:lvlOverride>
  </w:num>
  <w:num w:numId="83">
    <w:abstractNumId w:val="80"/>
    <w:lvlOverride w:ilvl="0">
      <w:startOverride w:val="1"/>
    </w:lvlOverride>
  </w:num>
  <w:num w:numId="84">
    <w:abstractNumId w:val="17"/>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MX" w:vendorID="64" w:dllVersion="131078" w:nlCheck="1" w:checkStyle="0"/>
  <w:activeWritingStyle w:appName="MSWord" w:lang="en-US" w:vendorID="64" w:dllVersion="131078" w:nlCheck="1" w:checkStyle="0"/>
  <w:activeWritingStyle w:appName="MSWord" w:lang="es-ES"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3D6E"/>
    <w:rsid w:val="0004471C"/>
    <w:rsid w:val="000735D7"/>
    <w:rsid w:val="00080599"/>
    <w:rsid w:val="000A2024"/>
    <w:rsid w:val="000C2E3C"/>
    <w:rsid w:val="000C4693"/>
    <w:rsid w:val="000D492A"/>
    <w:rsid w:val="000E6699"/>
    <w:rsid w:val="0012444D"/>
    <w:rsid w:val="00145B42"/>
    <w:rsid w:val="00147436"/>
    <w:rsid w:val="00183390"/>
    <w:rsid w:val="00186A7C"/>
    <w:rsid w:val="001A0F84"/>
    <w:rsid w:val="001A4B0B"/>
    <w:rsid w:val="001B6066"/>
    <w:rsid w:val="0025535D"/>
    <w:rsid w:val="002716C3"/>
    <w:rsid w:val="002A6B79"/>
    <w:rsid w:val="00335347"/>
    <w:rsid w:val="00345E30"/>
    <w:rsid w:val="00371763"/>
    <w:rsid w:val="00387211"/>
    <w:rsid w:val="003958B6"/>
    <w:rsid w:val="003C5C41"/>
    <w:rsid w:val="003E7613"/>
    <w:rsid w:val="00431E9B"/>
    <w:rsid w:val="00476831"/>
    <w:rsid w:val="004C24F4"/>
    <w:rsid w:val="004E7402"/>
    <w:rsid w:val="004F3F54"/>
    <w:rsid w:val="0052158D"/>
    <w:rsid w:val="00536CD1"/>
    <w:rsid w:val="00590063"/>
    <w:rsid w:val="005A0500"/>
    <w:rsid w:val="005A24C4"/>
    <w:rsid w:val="005A3C52"/>
    <w:rsid w:val="005C2CA4"/>
    <w:rsid w:val="005E4273"/>
    <w:rsid w:val="005F2D90"/>
    <w:rsid w:val="00605DC8"/>
    <w:rsid w:val="00682C89"/>
    <w:rsid w:val="006B118E"/>
    <w:rsid w:val="006E3C52"/>
    <w:rsid w:val="006E61B4"/>
    <w:rsid w:val="006F0012"/>
    <w:rsid w:val="006F4874"/>
    <w:rsid w:val="006F50EA"/>
    <w:rsid w:val="007C6375"/>
    <w:rsid w:val="007C6A89"/>
    <w:rsid w:val="007F04DB"/>
    <w:rsid w:val="00821AD1"/>
    <w:rsid w:val="00843CD6"/>
    <w:rsid w:val="00851328"/>
    <w:rsid w:val="0088775D"/>
    <w:rsid w:val="008A78F4"/>
    <w:rsid w:val="008D2816"/>
    <w:rsid w:val="008E5CB4"/>
    <w:rsid w:val="008F40EB"/>
    <w:rsid w:val="00924AA9"/>
    <w:rsid w:val="00973A80"/>
    <w:rsid w:val="00995B01"/>
    <w:rsid w:val="009A4FEB"/>
    <w:rsid w:val="009C0312"/>
    <w:rsid w:val="009C5BB4"/>
    <w:rsid w:val="009D4BD6"/>
    <w:rsid w:val="009E0329"/>
    <w:rsid w:val="009E1111"/>
    <w:rsid w:val="00AB282A"/>
    <w:rsid w:val="00AC2B2C"/>
    <w:rsid w:val="00B43BF2"/>
    <w:rsid w:val="00BC0C26"/>
    <w:rsid w:val="00BC3157"/>
    <w:rsid w:val="00C009E2"/>
    <w:rsid w:val="00C01572"/>
    <w:rsid w:val="00C0259D"/>
    <w:rsid w:val="00C046A8"/>
    <w:rsid w:val="00CE1FCA"/>
    <w:rsid w:val="00D2193B"/>
    <w:rsid w:val="00D90A35"/>
    <w:rsid w:val="00D9168E"/>
    <w:rsid w:val="00DD112F"/>
    <w:rsid w:val="00DE5B50"/>
    <w:rsid w:val="00E43D6E"/>
    <w:rsid w:val="00E4609C"/>
    <w:rsid w:val="00E511C5"/>
    <w:rsid w:val="00E744DE"/>
    <w:rsid w:val="00E926E0"/>
    <w:rsid w:val="00EC2372"/>
    <w:rsid w:val="00ED73D3"/>
    <w:rsid w:val="00F30CCD"/>
    <w:rsid w:val="00F447F1"/>
    <w:rsid w:val="00F54386"/>
    <w:rsid w:val="00F665E3"/>
    <w:rsid w:val="00F80494"/>
    <w:rsid w:val="00FA7C6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874101"/>
  <w15:docId w15:val="{7540D4BD-130E-4326-8476-AA7864703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3D6E"/>
    <w:pPr>
      <w:spacing w:after="160" w:line="300" w:lineRule="auto"/>
    </w:pPr>
    <w:rPr>
      <w:rFonts w:eastAsiaTheme="minorEastAsia"/>
      <w:sz w:val="17"/>
      <w:szCs w:val="17"/>
      <w:lang w:eastAsia="ja-JP"/>
    </w:rPr>
  </w:style>
  <w:style w:type="paragraph" w:styleId="Ttulo1">
    <w:name w:val="heading 1"/>
    <w:basedOn w:val="Normal"/>
    <w:next w:val="Normal"/>
    <w:link w:val="Ttulo1Car"/>
    <w:uiPriority w:val="9"/>
    <w:qFormat/>
    <w:rsid w:val="000E669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semiHidden/>
    <w:unhideWhenUsed/>
    <w:qFormat/>
    <w:rsid w:val="00DD112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2716C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semiHidden/>
    <w:unhideWhenUsed/>
    <w:qFormat/>
    <w:rsid w:val="006F001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900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0063"/>
    <w:rPr>
      <w:rFonts w:eastAsiaTheme="minorEastAsia"/>
      <w:sz w:val="17"/>
      <w:szCs w:val="17"/>
      <w:lang w:eastAsia="ja-JP"/>
    </w:rPr>
  </w:style>
  <w:style w:type="paragraph" w:styleId="Piedepgina">
    <w:name w:val="footer"/>
    <w:basedOn w:val="Normal"/>
    <w:link w:val="PiedepginaCar"/>
    <w:uiPriority w:val="99"/>
    <w:unhideWhenUsed/>
    <w:rsid w:val="0059006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90063"/>
    <w:rPr>
      <w:rFonts w:eastAsiaTheme="minorEastAsia"/>
      <w:sz w:val="17"/>
      <w:szCs w:val="17"/>
      <w:lang w:eastAsia="ja-JP"/>
    </w:rPr>
  </w:style>
  <w:style w:type="paragraph" w:styleId="Prrafodelista">
    <w:name w:val="List Paragraph"/>
    <w:basedOn w:val="Normal"/>
    <w:uiPriority w:val="34"/>
    <w:qFormat/>
    <w:rsid w:val="006B118E"/>
    <w:pPr>
      <w:spacing w:after="200" w:line="276" w:lineRule="auto"/>
      <w:ind w:left="720"/>
      <w:contextualSpacing/>
    </w:pPr>
    <w:rPr>
      <w:rFonts w:eastAsiaTheme="minorHAnsi"/>
      <w:sz w:val="22"/>
      <w:szCs w:val="22"/>
      <w:lang w:eastAsia="en-US"/>
    </w:rPr>
  </w:style>
  <w:style w:type="paragraph" w:styleId="Textonotapie">
    <w:name w:val="footnote text"/>
    <w:basedOn w:val="Normal"/>
    <w:link w:val="TextonotapieCar"/>
    <w:uiPriority w:val="99"/>
    <w:unhideWhenUsed/>
    <w:rsid w:val="00080599"/>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rsid w:val="00080599"/>
    <w:rPr>
      <w:sz w:val="20"/>
      <w:szCs w:val="20"/>
    </w:rPr>
  </w:style>
  <w:style w:type="character" w:styleId="Refdenotaalpie">
    <w:name w:val="footnote reference"/>
    <w:basedOn w:val="Fuentedeprrafopredeter"/>
    <w:uiPriority w:val="99"/>
    <w:semiHidden/>
    <w:unhideWhenUsed/>
    <w:rsid w:val="00080599"/>
    <w:rPr>
      <w:vertAlign w:val="superscript"/>
    </w:rPr>
  </w:style>
  <w:style w:type="table" w:styleId="Tablaconcuadrcula">
    <w:name w:val="Table Grid"/>
    <w:basedOn w:val="Tablanormal"/>
    <w:uiPriority w:val="59"/>
    <w:rsid w:val="000805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080599"/>
    <w:rPr>
      <w:i/>
      <w:iCs/>
    </w:rPr>
  </w:style>
  <w:style w:type="character" w:styleId="Hipervnculo">
    <w:name w:val="Hyperlink"/>
    <w:basedOn w:val="Fuentedeprrafopredeter"/>
    <w:uiPriority w:val="99"/>
    <w:unhideWhenUsed/>
    <w:rsid w:val="00080599"/>
    <w:rPr>
      <w:color w:val="0000FF" w:themeColor="hyperlink"/>
      <w:u w:val="single"/>
    </w:rPr>
  </w:style>
  <w:style w:type="character" w:styleId="Refdenotaalfinal">
    <w:name w:val="endnote reference"/>
    <w:basedOn w:val="Fuentedeprrafopredeter"/>
    <w:uiPriority w:val="99"/>
    <w:semiHidden/>
    <w:unhideWhenUsed/>
    <w:rsid w:val="00080599"/>
    <w:rPr>
      <w:vertAlign w:val="superscript"/>
    </w:rPr>
  </w:style>
  <w:style w:type="paragraph" w:styleId="Textodeglobo">
    <w:name w:val="Balloon Text"/>
    <w:basedOn w:val="Normal"/>
    <w:link w:val="TextodegloboCar"/>
    <w:uiPriority w:val="99"/>
    <w:semiHidden/>
    <w:unhideWhenUsed/>
    <w:rsid w:val="00080599"/>
    <w:pPr>
      <w:spacing w:after="0" w:line="240" w:lineRule="auto"/>
    </w:pPr>
    <w:rPr>
      <w:rFonts w:ascii="Tahoma" w:eastAsiaTheme="minorHAnsi" w:hAnsi="Tahoma" w:cs="Tahoma"/>
      <w:sz w:val="16"/>
      <w:szCs w:val="16"/>
      <w:lang w:eastAsia="en-US"/>
    </w:rPr>
  </w:style>
  <w:style w:type="character" w:customStyle="1" w:styleId="TextodegloboCar">
    <w:name w:val="Texto de globo Car"/>
    <w:basedOn w:val="Fuentedeprrafopredeter"/>
    <w:link w:val="Textodeglobo"/>
    <w:uiPriority w:val="99"/>
    <w:semiHidden/>
    <w:rsid w:val="00080599"/>
    <w:rPr>
      <w:rFonts w:ascii="Tahoma" w:hAnsi="Tahoma" w:cs="Tahoma"/>
      <w:sz w:val="16"/>
      <w:szCs w:val="16"/>
    </w:rPr>
  </w:style>
  <w:style w:type="paragraph" w:customStyle="1" w:styleId="Ttulo10">
    <w:name w:val="Título1"/>
    <w:basedOn w:val="Ttulo1"/>
    <w:link w:val="Ttulo1Car0"/>
    <w:qFormat/>
    <w:rsid w:val="000E6699"/>
    <w:pPr>
      <w:spacing w:line="360" w:lineRule="auto"/>
      <w:jc w:val="both"/>
    </w:pPr>
    <w:rPr>
      <w:rFonts w:ascii="Times New Roman" w:hAnsi="Times New Roman" w:cs="Times New Roman"/>
      <w:sz w:val="24"/>
      <w:szCs w:val="24"/>
    </w:rPr>
  </w:style>
  <w:style w:type="paragraph" w:styleId="Sinespaciado">
    <w:name w:val="No Spacing"/>
    <w:uiPriority w:val="1"/>
    <w:qFormat/>
    <w:rsid w:val="00DD112F"/>
    <w:pPr>
      <w:spacing w:after="0" w:line="240" w:lineRule="auto"/>
    </w:pPr>
    <w:rPr>
      <w:rFonts w:eastAsiaTheme="minorEastAsia"/>
      <w:sz w:val="17"/>
      <w:szCs w:val="17"/>
      <w:lang w:eastAsia="ja-JP"/>
    </w:rPr>
  </w:style>
  <w:style w:type="character" w:customStyle="1" w:styleId="Ttulo1Car">
    <w:name w:val="Título 1 Car"/>
    <w:basedOn w:val="Fuentedeprrafopredeter"/>
    <w:link w:val="Ttulo1"/>
    <w:uiPriority w:val="9"/>
    <w:rsid w:val="000E6699"/>
    <w:rPr>
      <w:rFonts w:asciiTheme="majorHAnsi" w:eastAsiaTheme="majorEastAsia" w:hAnsiTheme="majorHAnsi" w:cstheme="majorBidi"/>
      <w:color w:val="365F91" w:themeColor="accent1" w:themeShade="BF"/>
      <w:sz w:val="32"/>
      <w:szCs w:val="32"/>
      <w:lang w:eastAsia="ja-JP"/>
    </w:rPr>
  </w:style>
  <w:style w:type="character" w:customStyle="1" w:styleId="Ttulo1Car0">
    <w:name w:val="Título1 Car"/>
    <w:basedOn w:val="Ttulo1Car"/>
    <w:link w:val="Ttulo10"/>
    <w:rsid w:val="000E6699"/>
    <w:rPr>
      <w:rFonts w:ascii="Times New Roman" w:eastAsiaTheme="majorEastAsia" w:hAnsi="Times New Roman" w:cs="Times New Roman"/>
      <w:color w:val="365F91" w:themeColor="accent1" w:themeShade="BF"/>
      <w:sz w:val="24"/>
      <w:szCs w:val="24"/>
      <w:lang w:eastAsia="ja-JP"/>
    </w:rPr>
  </w:style>
  <w:style w:type="paragraph" w:customStyle="1" w:styleId="Primero">
    <w:name w:val="Primero"/>
    <w:basedOn w:val="Ttulo10"/>
    <w:next w:val="Normal"/>
    <w:link w:val="PrimeroCar"/>
    <w:qFormat/>
    <w:rsid w:val="00DD112F"/>
    <w:rPr>
      <w:b/>
      <w:color w:val="auto"/>
    </w:rPr>
  </w:style>
  <w:style w:type="paragraph" w:customStyle="1" w:styleId="Capitulos">
    <w:name w:val="Capitulos"/>
    <w:basedOn w:val="Ttulo10"/>
    <w:link w:val="CapitulosCar"/>
    <w:qFormat/>
    <w:rsid w:val="00DD112F"/>
    <w:rPr>
      <w:b/>
      <w:color w:val="000000" w:themeColor="text1"/>
      <w:sz w:val="44"/>
    </w:rPr>
  </w:style>
  <w:style w:type="character" w:customStyle="1" w:styleId="PrimeroCar">
    <w:name w:val="Primero Car"/>
    <w:basedOn w:val="Fuentedeprrafopredeter"/>
    <w:link w:val="Primero"/>
    <w:rsid w:val="00DD112F"/>
    <w:rPr>
      <w:rFonts w:ascii="Times New Roman" w:eastAsiaTheme="majorEastAsia" w:hAnsi="Times New Roman" w:cs="Times New Roman"/>
      <w:b/>
      <w:sz w:val="24"/>
      <w:szCs w:val="24"/>
      <w:lang w:eastAsia="ja-JP"/>
    </w:rPr>
  </w:style>
  <w:style w:type="paragraph" w:customStyle="1" w:styleId="SubTema">
    <w:name w:val="Sub Tema"/>
    <w:basedOn w:val="Ttulo2"/>
    <w:next w:val="Normal"/>
    <w:link w:val="SubTemaCar"/>
    <w:qFormat/>
    <w:rsid w:val="00DD112F"/>
    <w:pPr>
      <w:numPr>
        <w:numId w:val="2"/>
      </w:numPr>
      <w:spacing w:line="360" w:lineRule="auto"/>
      <w:ind w:left="357" w:hanging="357"/>
      <w:jc w:val="both"/>
    </w:pPr>
    <w:rPr>
      <w:rFonts w:ascii="Times New Roman" w:hAnsi="Times New Roman" w:cs="Times New Roman"/>
      <w:b/>
      <w:color w:val="auto"/>
      <w:sz w:val="24"/>
      <w:szCs w:val="24"/>
    </w:rPr>
  </w:style>
  <w:style w:type="character" w:customStyle="1" w:styleId="CapitulosCar">
    <w:name w:val="Capitulos Car"/>
    <w:basedOn w:val="Ttulo1Car0"/>
    <w:link w:val="Capitulos"/>
    <w:rsid w:val="00DD112F"/>
    <w:rPr>
      <w:rFonts w:ascii="Times New Roman" w:eastAsiaTheme="majorEastAsia" w:hAnsi="Times New Roman" w:cs="Times New Roman"/>
      <w:b/>
      <w:color w:val="000000" w:themeColor="text1"/>
      <w:sz w:val="44"/>
      <w:szCs w:val="24"/>
      <w:lang w:eastAsia="ja-JP"/>
    </w:rPr>
  </w:style>
  <w:style w:type="paragraph" w:customStyle="1" w:styleId="Sub3">
    <w:name w:val="Sub 3"/>
    <w:basedOn w:val="Ttulo3"/>
    <w:next w:val="Normal"/>
    <w:link w:val="Sub3Car"/>
    <w:qFormat/>
    <w:rsid w:val="002716C3"/>
    <w:pPr>
      <w:numPr>
        <w:numId w:val="3"/>
      </w:numPr>
      <w:jc w:val="both"/>
    </w:pPr>
    <w:rPr>
      <w:rFonts w:ascii="Times New Roman" w:hAnsi="Times New Roman" w:cs="Times New Roman"/>
      <w:color w:val="auto"/>
    </w:rPr>
  </w:style>
  <w:style w:type="character" w:customStyle="1" w:styleId="Ttulo2Car">
    <w:name w:val="Título 2 Car"/>
    <w:basedOn w:val="Fuentedeprrafopredeter"/>
    <w:link w:val="Ttulo2"/>
    <w:uiPriority w:val="9"/>
    <w:semiHidden/>
    <w:rsid w:val="00DD112F"/>
    <w:rPr>
      <w:rFonts w:asciiTheme="majorHAnsi" w:eastAsiaTheme="majorEastAsia" w:hAnsiTheme="majorHAnsi" w:cstheme="majorBidi"/>
      <w:color w:val="365F91" w:themeColor="accent1" w:themeShade="BF"/>
      <w:sz w:val="26"/>
      <w:szCs w:val="26"/>
      <w:lang w:eastAsia="ja-JP"/>
    </w:rPr>
  </w:style>
  <w:style w:type="character" w:customStyle="1" w:styleId="SubTemaCar">
    <w:name w:val="Sub Tema Car"/>
    <w:basedOn w:val="Ttulo2Car"/>
    <w:link w:val="SubTema"/>
    <w:rsid w:val="00DD112F"/>
    <w:rPr>
      <w:rFonts w:ascii="Times New Roman" w:eastAsiaTheme="majorEastAsia" w:hAnsi="Times New Roman" w:cs="Times New Roman"/>
      <w:b/>
      <w:color w:val="365F91" w:themeColor="accent1" w:themeShade="BF"/>
      <w:sz w:val="24"/>
      <w:szCs w:val="24"/>
      <w:lang w:eastAsia="ja-JP"/>
    </w:rPr>
  </w:style>
  <w:style w:type="paragraph" w:customStyle="1" w:styleId="SubTema1">
    <w:name w:val="SubTema1"/>
    <w:basedOn w:val="Ttulo3"/>
    <w:link w:val="SubTema1Car"/>
    <w:qFormat/>
    <w:rsid w:val="002716C3"/>
    <w:pPr>
      <w:numPr>
        <w:numId w:val="4"/>
      </w:numPr>
      <w:jc w:val="both"/>
    </w:pPr>
    <w:rPr>
      <w:rFonts w:ascii="Times New Roman" w:hAnsi="Times New Roman" w:cs="Times New Roman"/>
      <w:b/>
      <w:color w:val="auto"/>
    </w:rPr>
  </w:style>
  <w:style w:type="character" w:customStyle="1" w:styleId="Ttulo3Car">
    <w:name w:val="Título 3 Car"/>
    <w:basedOn w:val="Fuentedeprrafopredeter"/>
    <w:link w:val="Ttulo3"/>
    <w:uiPriority w:val="9"/>
    <w:semiHidden/>
    <w:rsid w:val="002716C3"/>
    <w:rPr>
      <w:rFonts w:asciiTheme="majorHAnsi" w:eastAsiaTheme="majorEastAsia" w:hAnsiTheme="majorHAnsi" w:cstheme="majorBidi"/>
      <w:color w:val="243F60" w:themeColor="accent1" w:themeShade="7F"/>
      <w:sz w:val="24"/>
      <w:szCs w:val="24"/>
      <w:lang w:eastAsia="ja-JP"/>
    </w:rPr>
  </w:style>
  <w:style w:type="character" w:customStyle="1" w:styleId="Sub3Car">
    <w:name w:val="Sub 3 Car"/>
    <w:basedOn w:val="Ttulo3Car"/>
    <w:link w:val="Sub3"/>
    <w:rsid w:val="002716C3"/>
    <w:rPr>
      <w:rFonts w:ascii="Times New Roman" w:eastAsiaTheme="majorEastAsia" w:hAnsi="Times New Roman" w:cs="Times New Roman"/>
      <w:color w:val="243F60" w:themeColor="accent1" w:themeShade="7F"/>
      <w:sz w:val="24"/>
      <w:szCs w:val="24"/>
      <w:lang w:eastAsia="ja-JP"/>
    </w:rPr>
  </w:style>
  <w:style w:type="character" w:customStyle="1" w:styleId="SubTema1Car">
    <w:name w:val="SubTema1 Car"/>
    <w:basedOn w:val="Ttulo2Car"/>
    <w:link w:val="SubTema1"/>
    <w:rsid w:val="002716C3"/>
    <w:rPr>
      <w:rFonts w:ascii="Times New Roman" w:eastAsiaTheme="majorEastAsia" w:hAnsi="Times New Roman" w:cs="Times New Roman"/>
      <w:b/>
      <w:color w:val="365F91" w:themeColor="accent1" w:themeShade="BF"/>
      <w:sz w:val="24"/>
      <w:szCs w:val="24"/>
      <w:lang w:eastAsia="ja-JP"/>
    </w:rPr>
  </w:style>
  <w:style w:type="paragraph" w:customStyle="1" w:styleId="SubTema4">
    <w:name w:val="SubTema4"/>
    <w:basedOn w:val="Ttulo4"/>
    <w:next w:val="Normal"/>
    <w:link w:val="SubTema4Car"/>
    <w:qFormat/>
    <w:rsid w:val="006F0012"/>
    <w:pPr>
      <w:jc w:val="both"/>
    </w:pPr>
    <w:rPr>
      <w:rFonts w:ascii="Times New Roman" w:hAnsi="Times New Roman" w:cs="Times New Roman"/>
      <w:b/>
      <w:color w:val="auto"/>
      <w:sz w:val="24"/>
      <w:szCs w:val="24"/>
    </w:rPr>
  </w:style>
  <w:style w:type="character" w:customStyle="1" w:styleId="Ttulo4Car">
    <w:name w:val="Título 4 Car"/>
    <w:basedOn w:val="Fuentedeprrafopredeter"/>
    <w:link w:val="Ttulo4"/>
    <w:uiPriority w:val="9"/>
    <w:semiHidden/>
    <w:rsid w:val="006F0012"/>
    <w:rPr>
      <w:rFonts w:asciiTheme="majorHAnsi" w:eastAsiaTheme="majorEastAsia" w:hAnsiTheme="majorHAnsi" w:cstheme="majorBidi"/>
      <w:i/>
      <w:iCs/>
      <w:color w:val="365F91" w:themeColor="accent1" w:themeShade="BF"/>
      <w:sz w:val="17"/>
      <w:szCs w:val="17"/>
      <w:lang w:eastAsia="ja-JP"/>
    </w:rPr>
  </w:style>
  <w:style w:type="character" w:customStyle="1" w:styleId="SubTema4Car">
    <w:name w:val="SubTema4 Car"/>
    <w:basedOn w:val="Ttulo4Car"/>
    <w:link w:val="SubTema4"/>
    <w:rsid w:val="006F0012"/>
    <w:rPr>
      <w:rFonts w:ascii="Times New Roman" w:eastAsiaTheme="majorEastAsia" w:hAnsi="Times New Roman" w:cs="Times New Roman"/>
      <w:b/>
      <w:i/>
      <w:iCs/>
      <w:color w:val="365F91" w:themeColor="accent1" w:themeShade="BF"/>
      <w:sz w:val="24"/>
      <w:szCs w:val="24"/>
      <w:lang w:eastAsia="ja-JP"/>
    </w:rPr>
  </w:style>
  <w:style w:type="paragraph" w:customStyle="1" w:styleId="SubTema3SinNum">
    <w:name w:val="SubTema3SinNum"/>
    <w:basedOn w:val="Ttulo3"/>
    <w:next w:val="Normal"/>
    <w:link w:val="SubTema3SinNumCar"/>
    <w:qFormat/>
    <w:rsid w:val="003C5C41"/>
    <w:pPr>
      <w:jc w:val="both"/>
    </w:pPr>
    <w:rPr>
      <w:rFonts w:ascii="Times New Roman" w:hAnsi="Times New Roman" w:cs="Times New Roman"/>
      <w:b/>
      <w:color w:val="auto"/>
    </w:rPr>
  </w:style>
  <w:style w:type="paragraph" w:styleId="TtuloTDC">
    <w:name w:val="TOC Heading"/>
    <w:basedOn w:val="Ttulo1"/>
    <w:next w:val="Normal"/>
    <w:uiPriority w:val="39"/>
    <w:unhideWhenUsed/>
    <w:qFormat/>
    <w:rsid w:val="00D90A35"/>
    <w:pPr>
      <w:spacing w:line="259" w:lineRule="auto"/>
      <w:outlineLvl w:val="9"/>
    </w:pPr>
    <w:rPr>
      <w:lang w:eastAsia="es-MX"/>
    </w:rPr>
  </w:style>
  <w:style w:type="character" w:customStyle="1" w:styleId="SubTema3SinNumCar">
    <w:name w:val="SubTema3SinNum Car"/>
    <w:basedOn w:val="Fuentedeprrafopredeter"/>
    <w:link w:val="SubTema3SinNum"/>
    <w:rsid w:val="003C5C41"/>
    <w:rPr>
      <w:rFonts w:ascii="Times New Roman" w:eastAsiaTheme="majorEastAsia" w:hAnsi="Times New Roman" w:cs="Times New Roman"/>
      <w:b/>
      <w:sz w:val="24"/>
      <w:szCs w:val="24"/>
      <w:lang w:eastAsia="ja-JP"/>
    </w:rPr>
  </w:style>
  <w:style w:type="paragraph" w:styleId="TDC1">
    <w:name w:val="toc 1"/>
    <w:basedOn w:val="Normal"/>
    <w:next w:val="Normal"/>
    <w:autoRedefine/>
    <w:uiPriority w:val="39"/>
    <w:unhideWhenUsed/>
    <w:rsid w:val="00D90A35"/>
    <w:pPr>
      <w:spacing w:after="100"/>
    </w:pPr>
  </w:style>
  <w:style w:type="paragraph" w:styleId="TDC2">
    <w:name w:val="toc 2"/>
    <w:basedOn w:val="Normal"/>
    <w:next w:val="Normal"/>
    <w:autoRedefine/>
    <w:uiPriority w:val="39"/>
    <w:unhideWhenUsed/>
    <w:rsid w:val="00D90A35"/>
    <w:pPr>
      <w:spacing w:after="100"/>
      <w:ind w:left="170"/>
    </w:pPr>
  </w:style>
  <w:style w:type="paragraph" w:styleId="TDC3">
    <w:name w:val="toc 3"/>
    <w:basedOn w:val="Normal"/>
    <w:next w:val="Normal"/>
    <w:autoRedefine/>
    <w:uiPriority w:val="39"/>
    <w:unhideWhenUsed/>
    <w:rsid w:val="00D90A35"/>
    <w:pPr>
      <w:spacing w:after="100"/>
      <w:ind w:left="3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556897">
      <w:bodyDiv w:val="1"/>
      <w:marLeft w:val="0"/>
      <w:marRight w:val="0"/>
      <w:marTop w:val="0"/>
      <w:marBottom w:val="0"/>
      <w:divBdr>
        <w:top w:val="none" w:sz="0" w:space="0" w:color="auto"/>
        <w:left w:val="none" w:sz="0" w:space="0" w:color="auto"/>
        <w:bottom w:val="none" w:sz="0" w:space="0" w:color="auto"/>
        <w:right w:val="none" w:sz="0" w:space="0" w:color="auto"/>
      </w:divBdr>
      <w:divsChild>
        <w:div w:id="992560448">
          <w:marLeft w:val="0"/>
          <w:marRight w:val="0"/>
          <w:marTop w:val="0"/>
          <w:marBottom w:val="0"/>
          <w:divBdr>
            <w:top w:val="none" w:sz="0" w:space="0" w:color="auto"/>
            <w:left w:val="none" w:sz="0" w:space="0" w:color="auto"/>
            <w:bottom w:val="none" w:sz="0" w:space="0" w:color="auto"/>
            <w:right w:val="none" w:sz="0" w:space="0" w:color="auto"/>
          </w:divBdr>
          <w:divsChild>
            <w:div w:id="858278675">
              <w:marLeft w:val="0"/>
              <w:marRight w:val="0"/>
              <w:marTop w:val="0"/>
              <w:marBottom w:val="0"/>
              <w:divBdr>
                <w:top w:val="none" w:sz="0" w:space="0" w:color="auto"/>
                <w:left w:val="none" w:sz="0" w:space="0" w:color="auto"/>
                <w:bottom w:val="none" w:sz="0" w:space="0" w:color="auto"/>
                <w:right w:val="none" w:sz="0" w:space="0" w:color="auto"/>
              </w:divBdr>
              <w:divsChild>
                <w:div w:id="161088080">
                  <w:marLeft w:val="0"/>
                  <w:marRight w:val="0"/>
                  <w:marTop w:val="0"/>
                  <w:marBottom w:val="0"/>
                  <w:divBdr>
                    <w:top w:val="none" w:sz="0" w:space="0" w:color="auto"/>
                    <w:left w:val="none" w:sz="0" w:space="0" w:color="auto"/>
                    <w:bottom w:val="none" w:sz="0" w:space="0" w:color="auto"/>
                    <w:right w:val="none" w:sz="0" w:space="0" w:color="auto"/>
                  </w:divBdr>
                  <w:divsChild>
                    <w:div w:id="357973360">
                      <w:marLeft w:val="0"/>
                      <w:marRight w:val="0"/>
                      <w:marTop w:val="0"/>
                      <w:marBottom w:val="0"/>
                      <w:divBdr>
                        <w:top w:val="none" w:sz="0" w:space="0" w:color="auto"/>
                        <w:left w:val="none" w:sz="0" w:space="0" w:color="auto"/>
                        <w:bottom w:val="none" w:sz="0" w:space="0" w:color="auto"/>
                        <w:right w:val="none" w:sz="0" w:space="0" w:color="auto"/>
                      </w:divBdr>
                      <w:divsChild>
                        <w:div w:id="1591742819">
                          <w:marLeft w:val="0"/>
                          <w:marRight w:val="0"/>
                          <w:marTop w:val="0"/>
                          <w:marBottom w:val="0"/>
                          <w:divBdr>
                            <w:top w:val="none" w:sz="0" w:space="0" w:color="auto"/>
                            <w:left w:val="none" w:sz="0" w:space="0" w:color="auto"/>
                            <w:bottom w:val="none" w:sz="0" w:space="0" w:color="auto"/>
                            <w:right w:val="none" w:sz="0" w:space="0" w:color="auto"/>
                          </w:divBdr>
                          <w:divsChild>
                            <w:div w:id="189881806">
                              <w:marLeft w:val="0"/>
                              <w:marRight w:val="0"/>
                              <w:marTop w:val="0"/>
                              <w:marBottom w:val="0"/>
                              <w:divBdr>
                                <w:top w:val="none" w:sz="0" w:space="0" w:color="auto"/>
                                <w:left w:val="none" w:sz="0" w:space="0" w:color="auto"/>
                                <w:bottom w:val="none" w:sz="0" w:space="0" w:color="auto"/>
                                <w:right w:val="none" w:sz="0" w:space="0" w:color="auto"/>
                              </w:divBdr>
                              <w:divsChild>
                                <w:div w:id="292558940">
                                  <w:marLeft w:val="0"/>
                                  <w:marRight w:val="0"/>
                                  <w:marTop w:val="0"/>
                                  <w:marBottom w:val="0"/>
                                  <w:divBdr>
                                    <w:top w:val="none" w:sz="0" w:space="0" w:color="auto"/>
                                    <w:left w:val="none" w:sz="0" w:space="0" w:color="auto"/>
                                    <w:bottom w:val="none" w:sz="0" w:space="0" w:color="auto"/>
                                    <w:right w:val="none" w:sz="0" w:space="0" w:color="auto"/>
                                  </w:divBdr>
                                  <w:divsChild>
                                    <w:div w:id="157964334">
                                      <w:marLeft w:val="0"/>
                                      <w:marRight w:val="0"/>
                                      <w:marTop w:val="0"/>
                                      <w:marBottom w:val="0"/>
                                      <w:divBdr>
                                        <w:top w:val="none" w:sz="0" w:space="0" w:color="auto"/>
                                        <w:left w:val="none" w:sz="0" w:space="0" w:color="auto"/>
                                        <w:bottom w:val="none" w:sz="0" w:space="0" w:color="auto"/>
                                        <w:right w:val="none" w:sz="0" w:space="0" w:color="auto"/>
                                      </w:divBdr>
                                      <w:divsChild>
                                        <w:div w:id="1098258754">
                                          <w:marLeft w:val="0"/>
                                          <w:marRight w:val="0"/>
                                          <w:marTop w:val="0"/>
                                          <w:marBottom w:val="0"/>
                                          <w:divBdr>
                                            <w:top w:val="none" w:sz="0" w:space="0" w:color="auto"/>
                                            <w:left w:val="none" w:sz="0" w:space="0" w:color="auto"/>
                                            <w:bottom w:val="none" w:sz="0" w:space="0" w:color="auto"/>
                                            <w:right w:val="none" w:sz="0" w:space="0" w:color="auto"/>
                                          </w:divBdr>
                                          <w:divsChild>
                                            <w:div w:id="183908141">
                                              <w:marLeft w:val="0"/>
                                              <w:marRight w:val="0"/>
                                              <w:marTop w:val="0"/>
                                              <w:marBottom w:val="0"/>
                                              <w:divBdr>
                                                <w:top w:val="none" w:sz="0" w:space="0" w:color="auto"/>
                                                <w:left w:val="none" w:sz="0" w:space="0" w:color="auto"/>
                                                <w:bottom w:val="none" w:sz="0" w:space="0" w:color="auto"/>
                                                <w:right w:val="none" w:sz="0" w:space="0" w:color="auto"/>
                                              </w:divBdr>
                                              <w:divsChild>
                                                <w:div w:id="40789576">
                                                  <w:marLeft w:val="0"/>
                                                  <w:marRight w:val="0"/>
                                                  <w:marTop w:val="0"/>
                                                  <w:marBottom w:val="0"/>
                                                  <w:divBdr>
                                                    <w:top w:val="none" w:sz="0" w:space="0" w:color="auto"/>
                                                    <w:left w:val="none" w:sz="0" w:space="0" w:color="auto"/>
                                                    <w:bottom w:val="none" w:sz="0" w:space="0" w:color="auto"/>
                                                    <w:right w:val="none" w:sz="0" w:space="0" w:color="auto"/>
                                                  </w:divBdr>
                                                  <w:divsChild>
                                                    <w:div w:id="812410247">
                                                      <w:marLeft w:val="0"/>
                                                      <w:marRight w:val="0"/>
                                                      <w:marTop w:val="0"/>
                                                      <w:marBottom w:val="0"/>
                                                      <w:divBdr>
                                                        <w:top w:val="none" w:sz="0" w:space="0" w:color="auto"/>
                                                        <w:left w:val="none" w:sz="0" w:space="0" w:color="auto"/>
                                                        <w:bottom w:val="none" w:sz="0" w:space="0" w:color="auto"/>
                                                        <w:right w:val="none" w:sz="0" w:space="0" w:color="auto"/>
                                                      </w:divBdr>
                                                      <w:divsChild>
                                                        <w:div w:id="1388409181">
                                                          <w:marLeft w:val="0"/>
                                                          <w:marRight w:val="0"/>
                                                          <w:marTop w:val="0"/>
                                                          <w:marBottom w:val="0"/>
                                                          <w:divBdr>
                                                            <w:top w:val="none" w:sz="0" w:space="0" w:color="auto"/>
                                                            <w:left w:val="none" w:sz="0" w:space="0" w:color="auto"/>
                                                            <w:bottom w:val="none" w:sz="0" w:space="0" w:color="auto"/>
                                                            <w:right w:val="none" w:sz="0" w:space="0" w:color="auto"/>
                                                          </w:divBdr>
                                                          <w:divsChild>
                                                            <w:div w:id="1382554651">
                                                              <w:marLeft w:val="0"/>
                                                              <w:marRight w:val="0"/>
                                                              <w:marTop w:val="0"/>
                                                              <w:marBottom w:val="0"/>
                                                              <w:divBdr>
                                                                <w:top w:val="none" w:sz="0" w:space="0" w:color="auto"/>
                                                                <w:left w:val="none" w:sz="0" w:space="0" w:color="auto"/>
                                                                <w:bottom w:val="none" w:sz="0" w:space="0" w:color="auto"/>
                                                                <w:right w:val="none" w:sz="0" w:space="0" w:color="auto"/>
                                                              </w:divBdr>
                                                              <w:divsChild>
                                                                <w:div w:id="20009722">
                                                                  <w:marLeft w:val="0"/>
                                                                  <w:marRight w:val="0"/>
                                                                  <w:marTop w:val="0"/>
                                                                  <w:marBottom w:val="0"/>
                                                                  <w:divBdr>
                                                                    <w:top w:val="none" w:sz="0" w:space="0" w:color="auto"/>
                                                                    <w:left w:val="none" w:sz="0" w:space="0" w:color="auto"/>
                                                                    <w:bottom w:val="none" w:sz="0" w:space="0" w:color="auto"/>
                                                                    <w:right w:val="none" w:sz="0" w:space="0" w:color="auto"/>
                                                                  </w:divBdr>
                                                                  <w:divsChild>
                                                                    <w:div w:id="1398627905">
                                                                      <w:marLeft w:val="0"/>
                                                                      <w:marRight w:val="0"/>
                                                                      <w:marTop w:val="0"/>
                                                                      <w:marBottom w:val="0"/>
                                                                      <w:divBdr>
                                                                        <w:top w:val="none" w:sz="0" w:space="0" w:color="auto"/>
                                                                        <w:left w:val="none" w:sz="0" w:space="0" w:color="auto"/>
                                                                        <w:bottom w:val="none" w:sz="0" w:space="0" w:color="auto"/>
                                                                        <w:right w:val="none" w:sz="0" w:space="0" w:color="auto"/>
                                                                      </w:divBdr>
                                                                      <w:divsChild>
                                                                        <w:div w:id="113209701">
                                                                          <w:marLeft w:val="0"/>
                                                                          <w:marRight w:val="0"/>
                                                                          <w:marTop w:val="0"/>
                                                                          <w:marBottom w:val="0"/>
                                                                          <w:divBdr>
                                                                            <w:top w:val="none" w:sz="0" w:space="0" w:color="auto"/>
                                                                            <w:left w:val="none" w:sz="0" w:space="0" w:color="auto"/>
                                                                            <w:bottom w:val="none" w:sz="0" w:space="0" w:color="auto"/>
                                                                            <w:right w:val="none" w:sz="0" w:space="0" w:color="auto"/>
                                                                          </w:divBdr>
                                                                          <w:divsChild>
                                                                            <w:div w:id="198206718">
                                                                              <w:marLeft w:val="0"/>
                                                                              <w:marRight w:val="0"/>
                                                                              <w:marTop w:val="0"/>
                                                                              <w:marBottom w:val="0"/>
                                                                              <w:divBdr>
                                                                                <w:top w:val="none" w:sz="0" w:space="0" w:color="auto"/>
                                                                                <w:left w:val="none" w:sz="0" w:space="0" w:color="auto"/>
                                                                                <w:bottom w:val="none" w:sz="0" w:space="0" w:color="auto"/>
                                                                                <w:right w:val="none" w:sz="0" w:space="0" w:color="auto"/>
                                                                              </w:divBdr>
                                                                              <w:divsChild>
                                                                                <w:div w:id="1038430045">
                                                                                  <w:marLeft w:val="0"/>
                                                                                  <w:marRight w:val="0"/>
                                                                                  <w:marTop w:val="0"/>
                                                                                  <w:marBottom w:val="0"/>
                                                                                  <w:divBdr>
                                                                                    <w:top w:val="none" w:sz="0" w:space="0" w:color="auto"/>
                                                                                    <w:left w:val="none" w:sz="0" w:space="0" w:color="auto"/>
                                                                                    <w:bottom w:val="none" w:sz="0" w:space="0" w:color="auto"/>
                                                                                    <w:right w:val="none" w:sz="0" w:space="0" w:color="auto"/>
                                                                                  </w:divBdr>
                                                                                  <w:divsChild>
                                                                                    <w:div w:id="1770546435">
                                                                                      <w:marLeft w:val="0"/>
                                                                                      <w:marRight w:val="0"/>
                                                                                      <w:marTop w:val="0"/>
                                                                                      <w:marBottom w:val="0"/>
                                                                                      <w:divBdr>
                                                                                        <w:top w:val="none" w:sz="0" w:space="0" w:color="auto"/>
                                                                                        <w:left w:val="none" w:sz="0" w:space="0" w:color="auto"/>
                                                                                        <w:bottom w:val="none" w:sz="0" w:space="0" w:color="auto"/>
                                                                                        <w:right w:val="none" w:sz="0" w:space="0" w:color="auto"/>
                                                                                      </w:divBdr>
                                                                                      <w:divsChild>
                                                                                        <w:div w:id="616834987">
                                                                                          <w:marLeft w:val="0"/>
                                                                                          <w:marRight w:val="0"/>
                                                                                          <w:marTop w:val="0"/>
                                                                                          <w:marBottom w:val="0"/>
                                                                                          <w:divBdr>
                                                                                            <w:top w:val="none" w:sz="0" w:space="0" w:color="auto"/>
                                                                                            <w:left w:val="none" w:sz="0" w:space="0" w:color="auto"/>
                                                                                            <w:bottom w:val="none" w:sz="0" w:space="0" w:color="auto"/>
                                                                                            <w:right w:val="none" w:sz="0" w:space="0" w:color="auto"/>
                                                                                          </w:divBdr>
                                                                                          <w:divsChild>
                                                                                            <w:div w:id="2009281697">
                                                                                              <w:marLeft w:val="0"/>
                                                                                              <w:marRight w:val="120"/>
                                                                                              <w:marTop w:val="0"/>
                                                                                              <w:marBottom w:val="150"/>
                                                                                              <w:divBdr>
                                                                                                <w:top w:val="single" w:sz="2" w:space="0" w:color="EFEFEF"/>
                                                                                                <w:left w:val="single" w:sz="6" w:space="0" w:color="EFEFEF"/>
                                                                                                <w:bottom w:val="single" w:sz="6" w:space="0" w:color="E2E2E2"/>
                                                                                                <w:right w:val="single" w:sz="6" w:space="0" w:color="EFEFEF"/>
                                                                                              </w:divBdr>
                                                                                              <w:divsChild>
                                                                                                <w:div w:id="2008553927">
                                                                                                  <w:marLeft w:val="0"/>
                                                                                                  <w:marRight w:val="0"/>
                                                                                                  <w:marTop w:val="0"/>
                                                                                                  <w:marBottom w:val="0"/>
                                                                                                  <w:divBdr>
                                                                                                    <w:top w:val="none" w:sz="0" w:space="0" w:color="auto"/>
                                                                                                    <w:left w:val="none" w:sz="0" w:space="0" w:color="auto"/>
                                                                                                    <w:bottom w:val="none" w:sz="0" w:space="0" w:color="auto"/>
                                                                                                    <w:right w:val="none" w:sz="0" w:space="0" w:color="auto"/>
                                                                                                  </w:divBdr>
                                                                                                  <w:divsChild>
                                                                                                    <w:div w:id="859319519">
                                                                                                      <w:marLeft w:val="0"/>
                                                                                                      <w:marRight w:val="0"/>
                                                                                                      <w:marTop w:val="0"/>
                                                                                                      <w:marBottom w:val="0"/>
                                                                                                      <w:divBdr>
                                                                                                        <w:top w:val="none" w:sz="0" w:space="0" w:color="auto"/>
                                                                                                        <w:left w:val="none" w:sz="0" w:space="0" w:color="auto"/>
                                                                                                        <w:bottom w:val="none" w:sz="0" w:space="0" w:color="auto"/>
                                                                                                        <w:right w:val="none" w:sz="0" w:space="0" w:color="auto"/>
                                                                                                      </w:divBdr>
                                                                                                      <w:divsChild>
                                                                                                        <w:div w:id="459029619">
                                                                                                          <w:marLeft w:val="0"/>
                                                                                                          <w:marRight w:val="0"/>
                                                                                                          <w:marTop w:val="0"/>
                                                                                                          <w:marBottom w:val="0"/>
                                                                                                          <w:divBdr>
                                                                                                            <w:top w:val="none" w:sz="0" w:space="0" w:color="auto"/>
                                                                                                            <w:left w:val="none" w:sz="0" w:space="0" w:color="auto"/>
                                                                                                            <w:bottom w:val="none" w:sz="0" w:space="0" w:color="auto"/>
                                                                                                            <w:right w:val="none" w:sz="0" w:space="0" w:color="auto"/>
                                                                                                          </w:divBdr>
                                                                                                          <w:divsChild>
                                                                                                            <w:div w:id="558367221">
                                                                                                              <w:marLeft w:val="0"/>
                                                                                                              <w:marRight w:val="0"/>
                                                                                                              <w:marTop w:val="0"/>
                                                                                                              <w:marBottom w:val="0"/>
                                                                                                              <w:divBdr>
                                                                                                                <w:top w:val="none" w:sz="0" w:space="0" w:color="auto"/>
                                                                                                                <w:left w:val="none" w:sz="0" w:space="0" w:color="auto"/>
                                                                                                                <w:bottom w:val="none" w:sz="0" w:space="0" w:color="auto"/>
                                                                                                                <w:right w:val="none" w:sz="0" w:space="0" w:color="auto"/>
                                                                                                              </w:divBdr>
                                                                                                              <w:divsChild>
                                                                                                                <w:div w:id="353965529">
                                                                                                                  <w:marLeft w:val="0"/>
                                                                                                                  <w:marRight w:val="0"/>
                                                                                                                  <w:marTop w:val="0"/>
                                                                                                                  <w:marBottom w:val="0"/>
                                                                                                                  <w:divBdr>
                                                                                                                    <w:top w:val="single" w:sz="2" w:space="4" w:color="D0D0D0"/>
                                                                                                                    <w:left w:val="single" w:sz="2" w:space="0" w:color="D0D0D0"/>
                                                                                                                    <w:bottom w:val="single" w:sz="2" w:space="4" w:color="D0D0D0"/>
                                                                                                                    <w:right w:val="single" w:sz="2" w:space="0" w:color="D0D0D0"/>
                                                                                                                  </w:divBdr>
                                                                                                                  <w:divsChild>
                                                                                                                    <w:div w:id="1273051070">
                                                                                                                      <w:marLeft w:val="225"/>
                                                                                                                      <w:marRight w:val="225"/>
                                                                                                                      <w:marTop w:val="75"/>
                                                                                                                      <w:marBottom w:val="75"/>
                                                                                                                      <w:divBdr>
                                                                                                                        <w:top w:val="none" w:sz="0" w:space="0" w:color="auto"/>
                                                                                                                        <w:left w:val="none" w:sz="0" w:space="0" w:color="auto"/>
                                                                                                                        <w:bottom w:val="none" w:sz="0" w:space="0" w:color="auto"/>
                                                                                                                        <w:right w:val="none" w:sz="0" w:space="0" w:color="auto"/>
                                                                                                                      </w:divBdr>
                                                                                                                      <w:divsChild>
                                                                                                                        <w:div w:id="1889222245">
                                                                                                                          <w:marLeft w:val="0"/>
                                                                                                                          <w:marRight w:val="0"/>
                                                                                                                          <w:marTop w:val="0"/>
                                                                                                                          <w:marBottom w:val="0"/>
                                                                                                                          <w:divBdr>
                                                                                                                            <w:top w:val="single" w:sz="6" w:space="0" w:color="auto"/>
                                                                                                                            <w:left w:val="single" w:sz="6" w:space="0" w:color="auto"/>
                                                                                                                            <w:bottom w:val="single" w:sz="6" w:space="0" w:color="auto"/>
                                                                                                                            <w:right w:val="single" w:sz="6" w:space="0" w:color="auto"/>
                                                                                                                          </w:divBdr>
                                                                                                                          <w:divsChild>
                                                                                                                            <w:div w:id="1800567406">
                                                                                                                              <w:marLeft w:val="0"/>
                                                                                                                              <w:marRight w:val="0"/>
                                                                                                                              <w:marTop w:val="0"/>
                                                                                                                              <w:marBottom w:val="0"/>
                                                                                                                              <w:divBdr>
                                                                                                                                <w:top w:val="none" w:sz="0" w:space="0" w:color="auto"/>
                                                                                                                                <w:left w:val="none" w:sz="0" w:space="0" w:color="auto"/>
                                                                                                                                <w:bottom w:val="none" w:sz="0" w:space="0" w:color="auto"/>
                                                                                                                                <w:right w:val="none" w:sz="0" w:space="0" w:color="auto"/>
                                                                                                                              </w:divBdr>
                                                                                                                              <w:divsChild>
                                                                                                                                <w:div w:id="165409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www.mty.itesm.mx/egap/centros/caep/imagenes/Pobreza.pdf" TargetMode="External"/><Relationship Id="rId3" Type="http://schemas.openxmlformats.org/officeDocument/2006/relationships/styles" Target="style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www.cepal.org/es/comunicados/medicion-multidimensional-de-la-pobreza-e-indicadores-de-alerta-temprana-seran"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www.coneval.gob.mx/Informes/Pobreza/Pobreza%20urbana/Evolucion_determinantes_de_la_pobreza_urban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http://biblioteca.clacso.edu.ar/gsdl/collect/clacso/index/assoc/D9376.dir/06spicker.pdf" TargetMode="External"/><Relationship Id="rId32" Type="http://schemas.openxmlformats.org/officeDocument/2006/relationships/hyperlink" Target="http://daccess-dds-ny.un.org/doc/UNDOC/GEN/G12/154/63/PDF/G1215463.pdf?OpenElement" TargetMode="Externa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hyperlink" Target="http://www.ministeriodesarrollosocial.gob.cl/admin/docdescargas/centrodoc/centrodoc_108.pdf" TargetMode="External"/><Relationship Id="rId28" Type="http://schemas.openxmlformats.org/officeDocument/2006/relationships/hyperlink" Target="http://www.eumed.net/cursecon/colaboraciones/index.htm"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publicaciones.eco.uaslp.mx/Libros/Libro4.pdf"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www.eumed.net/libros/2006a/mga-des/" TargetMode="External"/><Relationship Id="rId27" Type="http://schemas.openxmlformats.org/officeDocument/2006/relationships/hyperlink" Target="http://www.bib.uia.mx/tesis/pdf/014828/014828.pdf" TargetMode="External"/><Relationship Id="rId30" Type="http://schemas.openxmlformats.org/officeDocument/2006/relationships/hyperlink" Target="http://bibliodigital.saludpublica.uchile.cl:8080/dspace/bitstream/handle/123456789/140/Berta%20Teitelboim_MBIO2006.pdf?sequence=1&amp;isAllowed=y" TargetMode="External"/><Relationship Id="rId35" Type="http://schemas.openxmlformats.org/officeDocument/2006/relationships/theme" Target="theme/theme1.xml"/><Relationship Id="rId8" Type="http://schemas.openxmlformats.org/officeDocument/2006/relationships/image" Target="media/image2.jpeg"/></Relationships>
</file>

<file path=word/_rels/footnotes.xml.rels><?xml version="1.0" encoding="UTF-8" standalone="yes"?>
<Relationships xmlns="http://schemas.openxmlformats.org/package/2006/relationships"><Relationship Id="rId1" Type="http://schemas.openxmlformats.org/officeDocument/2006/relationships/hyperlink" Target="http://hdr.undp.org/es/countries"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441ACB-DE98-4BEC-A19F-558F665B5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34225</Words>
  <Characters>188239</Characters>
  <Application>Microsoft Office Word</Application>
  <DocSecurity>0</DocSecurity>
  <Lines>1568</Lines>
  <Paragraphs>444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222020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Fac. Economía GEDRM</dc:creator>
  <cp:lastModifiedBy>Usuario de Windows</cp:lastModifiedBy>
  <cp:revision>2</cp:revision>
  <dcterms:created xsi:type="dcterms:W3CDTF">2018-04-11T22:55:00Z</dcterms:created>
  <dcterms:modified xsi:type="dcterms:W3CDTF">2018-04-11T22:55:00Z</dcterms:modified>
</cp:coreProperties>
</file>