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CD" w:rsidRDefault="00811B88" w:rsidP="003D2ECD">
      <w:pPr>
        <w:spacing w:before="120" w:after="0" w:line="360" w:lineRule="auto"/>
        <w:ind w:right="1610"/>
        <w:jc w:val="center"/>
        <w:rPr>
          <w:rFonts w:ascii="Arial" w:hAnsi="Arial" w:cs="Arial"/>
          <w:sz w:val="24"/>
          <w:szCs w:val="24"/>
        </w:rPr>
      </w:pPr>
      <w:r w:rsidRPr="003D2ECD">
        <w:rPr>
          <w:rFonts w:ascii="Arial" w:hAnsi="Arial" w:cs="Arial"/>
          <w:noProof/>
          <w:sz w:val="24"/>
          <w:szCs w:val="24"/>
          <w:lang w:eastAsia="es-MX"/>
        </w:rPr>
        <w:drawing>
          <wp:anchor distT="0" distB="0" distL="114300" distR="114300" simplePos="0" relativeHeight="251673600" behindDoc="1" locked="0" layoutInCell="1" allowOverlap="1" wp14:anchorId="33E96AF8" wp14:editId="1CB9875C">
            <wp:simplePos x="0" y="0"/>
            <wp:positionH relativeFrom="column">
              <wp:posOffset>3751580</wp:posOffset>
            </wp:positionH>
            <wp:positionV relativeFrom="paragraph">
              <wp:posOffset>-5080</wp:posOffset>
            </wp:positionV>
            <wp:extent cx="1049655" cy="1257300"/>
            <wp:effectExtent l="0" t="0" r="0" b="0"/>
            <wp:wrapNone/>
            <wp:docPr id="24" name="Imagen 24" descr="Facultad de Econ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Facultad de Economí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49655" cy="1257300"/>
                    </a:xfrm>
                    <a:prstGeom prst="rect">
                      <a:avLst/>
                    </a:prstGeom>
                    <a:noFill/>
                  </pic:spPr>
                </pic:pic>
              </a:graphicData>
            </a:graphic>
            <wp14:sizeRelH relativeFrom="page">
              <wp14:pctWidth>0</wp14:pctWidth>
            </wp14:sizeRelH>
            <wp14:sizeRelV relativeFrom="page">
              <wp14:pctHeight>0</wp14:pctHeight>
            </wp14:sizeRelV>
          </wp:anchor>
        </w:drawing>
      </w:r>
      <w:r w:rsidR="00976B25">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1pt;width:89.95pt;height:88.5pt;z-index:251674624;mso-position-horizontal-relative:text;mso-position-vertical-relative:text">
            <v:imagedata r:id="rId11" o:title=""/>
            <w10:wrap type="square"/>
          </v:shape>
          <o:OLEObject Type="Embed" ProgID="Word.Picture.8" ShapeID="_x0000_s1026" DrawAspect="Content" ObjectID="_1588668886" r:id="rId12"/>
        </w:pict>
      </w:r>
      <w:r w:rsidR="003D2ECD">
        <w:rPr>
          <w:rFonts w:ascii="Arial" w:hAnsi="Arial" w:cs="Arial"/>
          <w:sz w:val="24"/>
          <w:szCs w:val="24"/>
        </w:rPr>
        <w:t>Universidad Autónoma del Estado de México</w:t>
      </w:r>
    </w:p>
    <w:p w:rsidR="003D2ECD" w:rsidRDefault="004C1675" w:rsidP="003D2ECD">
      <w:pPr>
        <w:spacing w:after="0" w:line="360" w:lineRule="auto"/>
        <w:ind w:right="1610"/>
        <w:jc w:val="center"/>
        <w:rPr>
          <w:rFonts w:ascii="Arial" w:hAnsi="Arial" w:cs="Arial"/>
          <w:sz w:val="24"/>
          <w:szCs w:val="24"/>
        </w:rPr>
      </w:pPr>
      <w:r w:rsidRPr="003D2ECD">
        <w:rPr>
          <w:rFonts w:ascii="Arial" w:hAnsi="Arial" w:cs="Arial"/>
          <w:sz w:val="24"/>
          <w:szCs w:val="24"/>
        </w:rPr>
        <w:t>UAEM</w:t>
      </w:r>
    </w:p>
    <w:p w:rsidR="003D2ECD" w:rsidRDefault="003D2ECD" w:rsidP="003D2ECD">
      <w:pPr>
        <w:spacing w:after="0" w:line="240" w:lineRule="auto"/>
        <w:ind w:right="1610"/>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59D52D57" wp14:editId="62394DE7">
                <wp:simplePos x="0" y="0"/>
                <wp:positionH relativeFrom="column">
                  <wp:posOffset>63500</wp:posOffset>
                </wp:positionH>
                <wp:positionV relativeFrom="paragraph">
                  <wp:posOffset>3175</wp:posOffset>
                </wp:positionV>
                <wp:extent cx="3403600" cy="6350"/>
                <wp:effectExtent l="19050" t="19050" r="6350" b="31750"/>
                <wp:wrapNone/>
                <wp:docPr id="27" name="27 Conector recto"/>
                <wp:cNvGraphicFramePr/>
                <a:graphic xmlns:a="http://schemas.openxmlformats.org/drawingml/2006/main">
                  <a:graphicData uri="http://schemas.microsoft.com/office/word/2010/wordprocessingShape">
                    <wps:wsp>
                      <wps:cNvCnPr/>
                      <wps:spPr>
                        <a:xfrm flipV="1">
                          <a:off x="0" y="0"/>
                          <a:ext cx="3403600" cy="6350"/>
                        </a:xfrm>
                        <a:prstGeom prst="line">
                          <a:avLst/>
                        </a:prstGeom>
                        <a:ln w="38100">
                          <a:solidFill>
                            <a:srgbClr val="B4BD9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7 Conector recto"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5pt" to="2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" strokecolor="#b4bd9f" strokeweight="3pt"/>
            </w:pict>
          </mc:Fallback>
        </mc:AlternateContent>
      </w:r>
      <w:r>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3C31F373" wp14:editId="635548C2">
                <wp:simplePos x="0" y="0"/>
                <wp:positionH relativeFrom="column">
                  <wp:posOffset>127000</wp:posOffset>
                </wp:positionH>
                <wp:positionV relativeFrom="paragraph">
                  <wp:posOffset>60325</wp:posOffset>
                </wp:positionV>
                <wp:extent cx="3282950" cy="6350"/>
                <wp:effectExtent l="0" t="0" r="12700" b="31750"/>
                <wp:wrapNone/>
                <wp:docPr id="29" name="29 Conector recto"/>
                <wp:cNvGraphicFramePr/>
                <a:graphic xmlns:a="http://schemas.openxmlformats.org/drawingml/2006/main">
                  <a:graphicData uri="http://schemas.microsoft.com/office/word/2010/wordprocessingShape">
                    <wps:wsp>
                      <wps:cNvCnPr/>
                      <wps:spPr>
                        <a:xfrm flipV="1">
                          <a:off x="0" y="0"/>
                          <a:ext cx="3282950" cy="6350"/>
                        </a:xfrm>
                        <a:prstGeom prst="line">
                          <a:avLst/>
                        </a:prstGeom>
                        <a:ln w="25400">
                          <a:solidFill>
                            <a:schemeClr val="accent3">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9 Conector recto"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0pt,4.75pt" to="26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" strokecolor="#76923c [2406]" strokeweight="2pt"/>
            </w:pict>
          </mc:Fallback>
        </mc:AlternateContent>
      </w:r>
    </w:p>
    <w:p w:rsidR="004C1675" w:rsidRPr="003D2ECD" w:rsidRDefault="003D2ECD" w:rsidP="003D2ECD">
      <w:pPr>
        <w:spacing w:after="0" w:line="360" w:lineRule="auto"/>
        <w:ind w:right="1608"/>
        <w:jc w:val="center"/>
        <w:rPr>
          <w:rFonts w:ascii="Arial" w:hAnsi="Arial" w:cs="Arial"/>
          <w:sz w:val="24"/>
          <w:szCs w:val="24"/>
        </w:rPr>
      </w:pPr>
      <w:r>
        <w:rPr>
          <w:rFonts w:ascii="Arial" w:hAnsi="Arial" w:cs="Arial"/>
          <w:sz w:val="24"/>
          <w:szCs w:val="24"/>
        </w:rPr>
        <w:t>Facultad de Economía</w:t>
      </w:r>
    </w:p>
    <w:p w:rsidR="004C1675" w:rsidRPr="003D2ECD" w:rsidRDefault="004C1675" w:rsidP="003D2ECD">
      <w:pPr>
        <w:spacing w:after="0" w:line="360" w:lineRule="auto"/>
        <w:ind w:right="1608"/>
        <w:jc w:val="center"/>
        <w:rPr>
          <w:rFonts w:ascii="Arial" w:hAnsi="Arial" w:cs="Arial"/>
          <w:sz w:val="24"/>
          <w:szCs w:val="24"/>
        </w:rPr>
      </w:pPr>
    </w:p>
    <w:p w:rsidR="00811B88" w:rsidRPr="00811B88" w:rsidRDefault="00811B88" w:rsidP="00811B88">
      <w:pPr>
        <w:spacing w:after="0" w:line="360" w:lineRule="auto"/>
        <w:jc w:val="center"/>
        <w:rPr>
          <w:rFonts w:ascii="Arial" w:hAnsi="Arial" w:cs="Arial"/>
          <w:sz w:val="24"/>
          <w:szCs w:val="24"/>
        </w:rPr>
      </w:pPr>
      <w:r w:rsidRPr="00811B88">
        <w:rPr>
          <w:rFonts w:ascii="Arial" w:hAnsi="Arial" w:cs="Arial"/>
          <w:sz w:val="24"/>
          <w:szCs w:val="24"/>
        </w:rPr>
        <w:t>EVOLUCIÓN DE LA FISCALIZACIÓN EN EL ESTADO DE MEXICO REVISIÓN DE LAS FINANZAS PÚBLICAS, CASO PRÁCTICO “APLICACIÓN DE INDICADORES A LOS RECURSOS DEL RAMO GENERAL 33 MINISTRADOS AL ESTADO DE MEXICO”</w:t>
      </w:r>
    </w:p>
    <w:p w:rsidR="00811B88" w:rsidRDefault="00811B88" w:rsidP="00811B88">
      <w:pPr>
        <w:spacing w:after="0" w:line="360" w:lineRule="auto"/>
        <w:rPr>
          <w:rFonts w:ascii="Arial" w:hAnsi="Arial" w:cs="Arial"/>
          <w:sz w:val="24"/>
          <w:szCs w:val="24"/>
        </w:rPr>
      </w:pPr>
    </w:p>
    <w:p w:rsidR="00CE5730" w:rsidRDefault="00CE5730" w:rsidP="00811B88">
      <w:pPr>
        <w:spacing w:after="0" w:line="360" w:lineRule="auto"/>
        <w:rPr>
          <w:rFonts w:ascii="Arial" w:hAnsi="Arial" w:cs="Arial"/>
          <w:sz w:val="24"/>
          <w:szCs w:val="24"/>
        </w:rPr>
      </w:pPr>
    </w:p>
    <w:p w:rsidR="00811B88" w:rsidRPr="00811B88" w:rsidRDefault="00811B88" w:rsidP="00811B88">
      <w:pPr>
        <w:spacing w:after="0" w:line="360" w:lineRule="auto"/>
        <w:jc w:val="center"/>
        <w:rPr>
          <w:rFonts w:ascii="Arial" w:hAnsi="Arial" w:cs="Arial"/>
          <w:sz w:val="24"/>
          <w:szCs w:val="24"/>
        </w:rPr>
      </w:pPr>
      <w:r>
        <w:rPr>
          <w:rFonts w:ascii="Arial" w:hAnsi="Arial" w:cs="Arial"/>
          <w:sz w:val="24"/>
          <w:szCs w:val="24"/>
        </w:rPr>
        <w:t>TESINA</w:t>
      </w:r>
    </w:p>
    <w:p w:rsidR="00811B88" w:rsidRDefault="00811B88" w:rsidP="00811B88">
      <w:pPr>
        <w:spacing w:after="0" w:line="360" w:lineRule="auto"/>
        <w:jc w:val="center"/>
        <w:rPr>
          <w:rFonts w:ascii="Arial" w:hAnsi="Arial" w:cs="Arial"/>
          <w:sz w:val="24"/>
          <w:szCs w:val="24"/>
        </w:rPr>
      </w:pPr>
      <w:r>
        <w:rPr>
          <w:rFonts w:ascii="Arial" w:hAnsi="Arial" w:cs="Arial"/>
          <w:sz w:val="24"/>
          <w:szCs w:val="24"/>
        </w:rPr>
        <w:t>QUE PARA OBTENER</w:t>
      </w:r>
    </w:p>
    <w:p w:rsidR="00811B88" w:rsidRDefault="00811B88" w:rsidP="00811B88">
      <w:pPr>
        <w:spacing w:after="0" w:line="360" w:lineRule="auto"/>
        <w:jc w:val="center"/>
        <w:rPr>
          <w:rFonts w:ascii="Arial" w:hAnsi="Arial" w:cs="Arial"/>
          <w:sz w:val="24"/>
          <w:szCs w:val="24"/>
        </w:rPr>
      </w:pPr>
      <w:r>
        <w:rPr>
          <w:rFonts w:ascii="Arial" w:hAnsi="Arial" w:cs="Arial"/>
          <w:sz w:val="24"/>
          <w:szCs w:val="24"/>
        </w:rPr>
        <w:t>EL TÍTULO DE:</w:t>
      </w:r>
    </w:p>
    <w:p w:rsidR="00811B88" w:rsidRDefault="00811B88" w:rsidP="00811B88">
      <w:pPr>
        <w:spacing w:after="0" w:line="360" w:lineRule="auto"/>
        <w:jc w:val="center"/>
        <w:rPr>
          <w:rFonts w:ascii="Arial" w:hAnsi="Arial" w:cs="Arial"/>
          <w:sz w:val="24"/>
          <w:szCs w:val="24"/>
        </w:rPr>
      </w:pPr>
    </w:p>
    <w:p w:rsidR="00811B88" w:rsidRPr="00811B88" w:rsidRDefault="00811B88" w:rsidP="00811B88">
      <w:pPr>
        <w:spacing w:after="0" w:line="360" w:lineRule="auto"/>
        <w:jc w:val="center"/>
        <w:rPr>
          <w:rFonts w:ascii="Arial" w:hAnsi="Arial" w:cs="Arial"/>
          <w:sz w:val="24"/>
          <w:szCs w:val="24"/>
          <w:lang w:eastAsia="es-ES"/>
        </w:rPr>
      </w:pPr>
      <w:r w:rsidRPr="00811B88">
        <w:rPr>
          <w:rFonts w:ascii="Arial" w:hAnsi="Arial" w:cs="Arial"/>
          <w:sz w:val="24"/>
          <w:szCs w:val="24"/>
        </w:rPr>
        <w:t>LICENCIADO EN RELACIONES ECONOMICAS INTERNACIONALES</w:t>
      </w:r>
    </w:p>
    <w:p w:rsidR="00811B88" w:rsidRDefault="00811B88" w:rsidP="00811B88">
      <w:pPr>
        <w:spacing w:after="0" w:line="360" w:lineRule="auto"/>
        <w:rPr>
          <w:rFonts w:ascii="Arial" w:hAnsi="Arial" w:cs="Arial"/>
          <w:sz w:val="24"/>
          <w:szCs w:val="24"/>
          <w:lang w:eastAsia="es-ES"/>
        </w:rPr>
      </w:pPr>
    </w:p>
    <w:p w:rsidR="00811B88" w:rsidRPr="00811B88" w:rsidRDefault="00811B88" w:rsidP="00811B88">
      <w:pPr>
        <w:spacing w:after="0" w:line="360" w:lineRule="auto"/>
        <w:rPr>
          <w:rFonts w:ascii="Arial" w:hAnsi="Arial" w:cs="Arial"/>
          <w:sz w:val="24"/>
          <w:szCs w:val="24"/>
          <w:lang w:eastAsia="es-ES"/>
        </w:rPr>
      </w:pPr>
    </w:p>
    <w:p w:rsidR="004C1675" w:rsidRDefault="00811B88" w:rsidP="00811B88">
      <w:pPr>
        <w:spacing w:after="0" w:line="360" w:lineRule="auto"/>
        <w:jc w:val="center"/>
        <w:rPr>
          <w:rFonts w:ascii="Arial" w:hAnsi="Arial" w:cs="Arial"/>
          <w:sz w:val="24"/>
          <w:szCs w:val="24"/>
          <w:lang w:eastAsia="es-ES"/>
        </w:rPr>
      </w:pPr>
      <w:r>
        <w:rPr>
          <w:rFonts w:ascii="Arial" w:hAnsi="Arial" w:cs="Arial"/>
          <w:sz w:val="24"/>
          <w:szCs w:val="24"/>
          <w:lang w:eastAsia="es-ES"/>
        </w:rPr>
        <w:t>Presenta:</w:t>
      </w:r>
    </w:p>
    <w:p w:rsidR="00811B88" w:rsidRPr="00811B88" w:rsidRDefault="00811B88" w:rsidP="00811B88">
      <w:pPr>
        <w:spacing w:after="0" w:line="360" w:lineRule="auto"/>
        <w:jc w:val="center"/>
        <w:rPr>
          <w:rFonts w:ascii="Arial" w:hAnsi="Arial" w:cs="Arial"/>
          <w:sz w:val="24"/>
          <w:szCs w:val="24"/>
          <w:lang w:eastAsia="es-ES"/>
        </w:rPr>
      </w:pPr>
      <w:r>
        <w:rPr>
          <w:rFonts w:ascii="Arial" w:hAnsi="Arial" w:cs="Arial"/>
          <w:sz w:val="24"/>
          <w:szCs w:val="24"/>
          <w:lang w:eastAsia="es-ES"/>
        </w:rPr>
        <w:t>Oscar Cárdenas Díaz</w:t>
      </w:r>
    </w:p>
    <w:p w:rsidR="004C1675" w:rsidRDefault="004C1675" w:rsidP="00811B88">
      <w:pPr>
        <w:spacing w:after="0" w:line="360" w:lineRule="auto"/>
        <w:rPr>
          <w:rFonts w:ascii="Arial" w:hAnsi="Arial" w:cs="Arial"/>
          <w:sz w:val="24"/>
          <w:szCs w:val="24"/>
          <w:lang w:eastAsia="es-ES"/>
        </w:rPr>
      </w:pPr>
    </w:p>
    <w:p w:rsidR="00811B88" w:rsidRDefault="00811B88" w:rsidP="00811B88">
      <w:pPr>
        <w:spacing w:after="0" w:line="360" w:lineRule="auto"/>
        <w:rPr>
          <w:rFonts w:ascii="Arial" w:hAnsi="Arial" w:cs="Arial"/>
          <w:sz w:val="24"/>
          <w:szCs w:val="24"/>
          <w:lang w:eastAsia="es-ES"/>
        </w:rPr>
      </w:pPr>
    </w:p>
    <w:p w:rsidR="00811B88" w:rsidRDefault="00811B88" w:rsidP="00811B88">
      <w:pPr>
        <w:spacing w:after="0" w:line="360" w:lineRule="auto"/>
        <w:jc w:val="center"/>
        <w:rPr>
          <w:rFonts w:ascii="Arial" w:hAnsi="Arial" w:cs="Arial"/>
          <w:sz w:val="24"/>
          <w:szCs w:val="24"/>
          <w:lang w:eastAsia="es-ES"/>
        </w:rPr>
      </w:pPr>
      <w:r>
        <w:rPr>
          <w:rFonts w:ascii="Arial" w:hAnsi="Arial" w:cs="Arial"/>
          <w:sz w:val="24"/>
          <w:szCs w:val="24"/>
          <w:lang w:eastAsia="es-ES"/>
        </w:rPr>
        <w:t>Asesor:</w:t>
      </w:r>
    </w:p>
    <w:p w:rsidR="00811B88" w:rsidRDefault="00811B88" w:rsidP="00811B88">
      <w:pPr>
        <w:spacing w:after="0" w:line="360" w:lineRule="auto"/>
        <w:jc w:val="center"/>
        <w:rPr>
          <w:rFonts w:ascii="Arial" w:hAnsi="Arial" w:cs="Arial"/>
          <w:sz w:val="24"/>
          <w:szCs w:val="24"/>
          <w:lang w:eastAsia="es-ES"/>
        </w:rPr>
      </w:pPr>
      <w:r>
        <w:rPr>
          <w:rFonts w:ascii="Arial" w:hAnsi="Arial" w:cs="Arial"/>
          <w:sz w:val="24"/>
          <w:szCs w:val="24"/>
          <w:lang w:eastAsia="es-ES"/>
        </w:rPr>
        <w:t>D</w:t>
      </w:r>
      <w:r w:rsidR="00904646">
        <w:rPr>
          <w:rFonts w:ascii="Arial" w:hAnsi="Arial" w:cs="Arial"/>
          <w:sz w:val="24"/>
          <w:szCs w:val="24"/>
          <w:lang w:eastAsia="es-ES"/>
        </w:rPr>
        <w:t>. en C.S</w:t>
      </w:r>
      <w:r>
        <w:rPr>
          <w:rFonts w:ascii="Arial" w:hAnsi="Arial" w:cs="Arial"/>
          <w:sz w:val="24"/>
          <w:szCs w:val="24"/>
          <w:lang w:eastAsia="es-ES"/>
        </w:rPr>
        <w:t>. Oscar Manuel Rodríguez Pichardo</w:t>
      </w:r>
    </w:p>
    <w:p w:rsidR="00811B88" w:rsidRDefault="00811B88" w:rsidP="00811B88">
      <w:pPr>
        <w:spacing w:after="0" w:line="360" w:lineRule="auto"/>
        <w:rPr>
          <w:rFonts w:ascii="Arial" w:hAnsi="Arial" w:cs="Arial"/>
          <w:sz w:val="24"/>
          <w:szCs w:val="24"/>
          <w:lang w:eastAsia="es-ES"/>
        </w:rPr>
      </w:pPr>
    </w:p>
    <w:p w:rsidR="00811B88" w:rsidRDefault="00811B88" w:rsidP="00811B88">
      <w:pPr>
        <w:spacing w:after="0" w:line="360" w:lineRule="auto"/>
        <w:rPr>
          <w:rFonts w:ascii="Arial" w:hAnsi="Arial" w:cs="Arial"/>
          <w:sz w:val="24"/>
          <w:szCs w:val="24"/>
          <w:lang w:eastAsia="es-ES"/>
        </w:rPr>
      </w:pPr>
    </w:p>
    <w:p w:rsidR="00811B88" w:rsidRDefault="00811B88" w:rsidP="00811B88">
      <w:pPr>
        <w:spacing w:after="0" w:line="360" w:lineRule="auto"/>
        <w:jc w:val="center"/>
        <w:rPr>
          <w:rFonts w:ascii="Arial" w:hAnsi="Arial" w:cs="Arial"/>
          <w:sz w:val="24"/>
          <w:szCs w:val="24"/>
          <w:lang w:eastAsia="es-ES"/>
        </w:rPr>
      </w:pPr>
      <w:r>
        <w:rPr>
          <w:rFonts w:ascii="Arial" w:hAnsi="Arial" w:cs="Arial"/>
          <w:sz w:val="24"/>
          <w:szCs w:val="24"/>
          <w:lang w:eastAsia="es-ES"/>
        </w:rPr>
        <w:t>Revisor</w:t>
      </w:r>
      <w:r w:rsidR="003C3965">
        <w:rPr>
          <w:rFonts w:ascii="Arial" w:hAnsi="Arial" w:cs="Arial"/>
          <w:sz w:val="24"/>
          <w:szCs w:val="24"/>
          <w:lang w:eastAsia="es-ES"/>
        </w:rPr>
        <w:t>es</w:t>
      </w:r>
      <w:r>
        <w:rPr>
          <w:rFonts w:ascii="Arial" w:hAnsi="Arial" w:cs="Arial"/>
          <w:sz w:val="24"/>
          <w:szCs w:val="24"/>
          <w:lang w:eastAsia="es-ES"/>
        </w:rPr>
        <w:t>:</w:t>
      </w:r>
    </w:p>
    <w:p w:rsidR="003C3965" w:rsidRDefault="003C3965" w:rsidP="003C3965">
      <w:pPr>
        <w:spacing w:after="0" w:line="360" w:lineRule="auto"/>
        <w:jc w:val="center"/>
        <w:rPr>
          <w:rFonts w:ascii="Arial" w:hAnsi="Arial" w:cs="Arial"/>
          <w:sz w:val="24"/>
          <w:szCs w:val="24"/>
          <w:lang w:eastAsia="es-ES"/>
        </w:rPr>
      </w:pPr>
      <w:r>
        <w:rPr>
          <w:rFonts w:ascii="Arial" w:hAnsi="Arial" w:cs="Arial"/>
          <w:sz w:val="24"/>
          <w:szCs w:val="24"/>
          <w:lang w:eastAsia="es-ES"/>
        </w:rPr>
        <w:t xml:space="preserve">D. en </w:t>
      </w:r>
      <w:proofErr w:type="spellStart"/>
      <w:r>
        <w:rPr>
          <w:rFonts w:ascii="Arial" w:hAnsi="Arial" w:cs="Arial"/>
          <w:sz w:val="24"/>
          <w:szCs w:val="24"/>
          <w:lang w:eastAsia="es-ES"/>
        </w:rPr>
        <w:t>C.Ed</w:t>
      </w:r>
      <w:proofErr w:type="spellEnd"/>
      <w:r>
        <w:rPr>
          <w:rFonts w:ascii="Arial" w:hAnsi="Arial" w:cs="Arial"/>
          <w:sz w:val="24"/>
          <w:szCs w:val="24"/>
          <w:lang w:eastAsia="es-ES"/>
        </w:rPr>
        <w:t xml:space="preserve">. María del Carmen Gómez </w:t>
      </w:r>
      <w:proofErr w:type="spellStart"/>
      <w:r>
        <w:rPr>
          <w:rFonts w:ascii="Arial" w:hAnsi="Arial" w:cs="Arial"/>
          <w:sz w:val="24"/>
          <w:szCs w:val="24"/>
          <w:lang w:eastAsia="es-ES"/>
        </w:rPr>
        <w:t>Chagoya</w:t>
      </w:r>
      <w:proofErr w:type="spellEnd"/>
    </w:p>
    <w:p w:rsidR="003C3965" w:rsidRPr="00811B88" w:rsidRDefault="003C3965" w:rsidP="003C3965">
      <w:pPr>
        <w:spacing w:after="0" w:line="360" w:lineRule="auto"/>
        <w:jc w:val="center"/>
        <w:rPr>
          <w:rFonts w:ascii="Arial" w:hAnsi="Arial" w:cs="Arial"/>
          <w:sz w:val="24"/>
          <w:szCs w:val="24"/>
          <w:lang w:eastAsia="es-ES"/>
        </w:rPr>
      </w:pPr>
      <w:r>
        <w:rPr>
          <w:rFonts w:ascii="Arial" w:hAnsi="Arial" w:cs="Arial"/>
          <w:sz w:val="24"/>
          <w:szCs w:val="24"/>
          <w:lang w:eastAsia="es-ES"/>
        </w:rPr>
        <w:t>M. en A. Humberto Rodríguez Pichardo</w:t>
      </w:r>
    </w:p>
    <w:p w:rsidR="004C1675" w:rsidRPr="00811B88" w:rsidRDefault="004C1675" w:rsidP="00811B88">
      <w:pPr>
        <w:spacing w:after="0" w:line="360" w:lineRule="auto"/>
        <w:rPr>
          <w:rFonts w:ascii="Arial" w:hAnsi="Arial" w:cs="Arial"/>
          <w:sz w:val="24"/>
          <w:szCs w:val="24"/>
          <w:lang w:eastAsia="es-ES"/>
        </w:rPr>
      </w:pPr>
    </w:p>
    <w:p w:rsidR="004C1675" w:rsidRPr="00811B88" w:rsidRDefault="004C1675" w:rsidP="00811B88">
      <w:pPr>
        <w:spacing w:after="0" w:line="360" w:lineRule="auto"/>
        <w:jc w:val="right"/>
        <w:rPr>
          <w:rFonts w:ascii="Arial" w:hAnsi="Arial" w:cs="Arial"/>
          <w:sz w:val="24"/>
          <w:szCs w:val="24"/>
        </w:rPr>
      </w:pPr>
      <w:r w:rsidRPr="00811B88">
        <w:rPr>
          <w:rFonts w:ascii="Arial" w:hAnsi="Arial" w:cs="Arial"/>
          <w:sz w:val="24"/>
          <w:szCs w:val="24"/>
        </w:rPr>
        <w:t xml:space="preserve">TOLUCA, </w:t>
      </w:r>
      <w:r w:rsidR="00811B88">
        <w:rPr>
          <w:rFonts w:ascii="Arial" w:hAnsi="Arial" w:cs="Arial"/>
          <w:sz w:val="24"/>
          <w:szCs w:val="24"/>
        </w:rPr>
        <w:t xml:space="preserve">ESTADO DE </w:t>
      </w:r>
      <w:r w:rsidRPr="00811B88">
        <w:rPr>
          <w:rFonts w:ascii="Arial" w:hAnsi="Arial" w:cs="Arial"/>
          <w:sz w:val="24"/>
          <w:szCs w:val="24"/>
        </w:rPr>
        <w:t>MÉX</w:t>
      </w:r>
      <w:r w:rsidR="003D2ECD">
        <w:rPr>
          <w:rFonts w:ascii="Arial" w:hAnsi="Arial" w:cs="Arial"/>
          <w:sz w:val="24"/>
          <w:szCs w:val="24"/>
        </w:rPr>
        <w:t>ICO;</w:t>
      </w:r>
      <w:r w:rsidRPr="00811B88">
        <w:rPr>
          <w:rFonts w:ascii="Arial" w:hAnsi="Arial" w:cs="Arial"/>
          <w:sz w:val="24"/>
          <w:szCs w:val="24"/>
        </w:rPr>
        <w:t xml:space="preserve"> </w:t>
      </w:r>
      <w:r w:rsidR="00526E17">
        <w:rPr>
          <w:rFonts w:ascii="Arial" w:hAnsi="Arial" w:cs="Arial"/>
          <w:sz w:val="24"/>
          <w:szCs w:val="24"/>
        </w:rPr>
        <w:t>JUNIO</w:t>
      </w:r>
      <w:r w:rsidR="0029134D" w:rsidRPr="00811B88">
        <w:rPr>
          <w:rFonts w:ascii="Arial" w:hAnsi="Arial" w:cs="Arial"/>
          <w:sz w:val="24"/>
          <w:szCs w:val="24"/>
        </w:rPr>
        <w:t xml:space="preserve"> DE 2018</w:t>
      </w:r>
    </w:p>
    <w:p w:rsidR="007423B0" w:rsidRDefault="007423B0" w:rsidP="007423B0">
      <w:pPr>
        <w:spacing w:after="0" w:line="360" w:lineRule="auto"/>
        <w:jc w:val="center"/>
        <w:rPr>
          <w:rFonts w:ascii="Arial" w:eastAsia="Times New Roman" w:hAnsi="Arial" w:cs="Arial"/>
          <w:b/>
          <w:i/>
          <w:color w:val="000000"/>
          <w:sz w:val="24"/>
          <w:szCs w:val="24"/>
          <w:lang w:val="es-ES"/>
        </w:rPr>
      </w:pPr>
    </w:p>
    <w:p w:rsidR="007423B0" w:rsidRDefault="007423B0" w:rsidP="007423B0">
      <w:pPr>
        <w:spacing w:after="0" w:line="360" w:lineRule="auto"/>
        <w:jc w:val="center"/>
        <w:rPr>
          <w:rFonts w:ascii="Arial" w:eastAsia="Times New Roman" w:hAnsi="Arial" w:cs="Arial"/>
          <w:b/>
          <w:i/>
          <w:color w:val="000000"/>
          <w:sz w:val="24"/>
          <w:szCs w:val="24"/>
          <w:lang w:val="es-ES"/>
        </w:rPr>
      </w:pPr>
    </w:p>
    <w:p w:rsidR="007423B0" w:rsidRDefault="007423B0" w:rsidP="007423B0">
      <w:pPr>
        <w:spacing w:after="0" w:line="360" w:lineRule="auto"/>
        <w:jc w:val="center"/>
        <w:rPr>
          <w:rFonts w:ascii="Arial" w:eastAsia="Times New Roman" w:hAnsi="Arial" w:cs="Arial"/>
          <w:b/>
          <w:i/>
          <w:color w:val="000000"/>
          <w:sz w:val="24"/>
          <w:szCs w:val="24"/>
          <w:lang w:val="es-ES"/>
        </w:rPr>
      </w:pPr>
    </w:p>
    <w:p w:rsidR="007423B0" w:rsidRPr="007423B0" w:rsidRDefault="007423B0" w:rsidP="007423B0">
      <w:pPr>
        <w:spacing w:after="0" w:line="360" w:lineRule="auto"/>
        <w:jc w:val="center"/>
        <w:rPr>
          <w:rFonts w:ascii="Arial" w:eastAsia="Times New Roman" w:hAnsi="Arial" w:cs="Arial"/>
          <w:b/>
          <w:i/>
          <w:color w:val="000000"/>
          <w:sz w:val="24"/>
          <w:szCs w:val="24"/>
          <w:lang w:val="es-ES"/>
        </w:rPr>
      </w:pPr>
      <w:r w:rsidRPr="007423B0">
        <w:rPr>
          <w:rFonts w:ascii="Arial" w:eastAsia="Times New Roman" w:hAnsi="Arial" w:cs="Arial"/>
          <w:b/>
          <w:i/>
          <w:color w:val="000000"/>
          <w:sz w:val="24"/>
          <w:szCs w:val="24"/>
          <w:lang w:val="es-ES"/>
        </w:rPr>
        <w:t>DEDICATORIAS</w:t>
      </w:r>
    </w:p>
    <w:p w:rsidR="007423B0" w:rsidRDefault="007423B0" w:rsidP="007423B0">
      <w:pPr>
        <w:spacing w:after="0" w:line="360" w:lineRule="auto"/>
        <w:jc w:val="center"/>
        <w:rPr>
          <w:rFonts w:ascii="Arial" w:eastAsia="Times New Roman" w:hAnsi="Arial" w:cs="Arial"/>
          <w:color w:val="000000"/>
          <w:sz w:val="24"/>
          <w:szCs w:val="24"/>
          <w:lang w:val="es-ES"/>
        </w:rPr>
      </w:pPr>
    </w:p>
    <w:p w:rsidR="009D1D47" w:rsidRDefault="009D1D47" w:rsidP="007423B0">
      <w:pPr>
        <w:spacing w:after="0" w:line="360" w:lineRule="auto"/>
        <w:jc w:val="center"/>
        <w:rPr>
          <w:rFonts w:ascii="Arial" w:eastAsia="Times New Roman" w:hAnsi="Arial" w:cs="Arial"/>
          <w:color w:val="000000"/>
          <w:sz w:val="24"/>
          <w:szCs w:val="24"/>
          <w:lang w:val="es-ES"/>
        </w:rPr>
      </w:pPr>
    </w:p>
    <w:p w:rsidR="007423B0" w:rsidRDefault="007423B0" w:rsidP="007423B0">
      <w:pPr>
        <w:spacing w:after="0" w:line="360" w:lineRule="auto"/>
        <w:jc w:val="center"/>
        <w:rPr>
          <w:rFonts w:ascii="Arial" w:eastAsia="Times New Roman" w:hAnsi="Arial" w:cs="Arial"/>
          <w:color w:val="000000"/>
          <w:sz w:val="24"/>
          <w:szCs w:val="24"/>
          <w:lang w:val="es-ES"/>
        </w:rPr>
      </w:pPr>
    </w:p>
    <w:p w:rsidR="007423B0" w:rsidRDefault="007423B0" w:rsidP="007423B0">
      <w:pPr>
        <w:spacing w:after="0" w:line="360" w:lineRule="auto"/>
        <w:jc w:val="center"/>
        <w:rPr>
          <w:rFonts w:ascii="Arial" w:eastAsia="Times New Roman" w:hAnsi="Arial" w:cs="Arial"/>
          <w:color w:val="000000"/>
          <w:sz w:val="24"/>
          <w:szCs w:val="24"/>
          <w:lang w:val="es-ES"/>
        </w:rPr>
      </w:pPr>
    </w:p>
    <w:p w:rsidR="007423B0" w:rsidRPr="009D1D47" w:rsidRDefault="007423B0" w:rsidP="007423B0">
      <w:pPr>
        <w:spacing w:after="0" w:line="360" w:lineRule="auto"/>
        <w:jc w:val="center"/>
        <w:rPr>
          <w:rFonts w:ascii="Arial" w:eastAsia="Times New Roman" w:hAnsi="Arial" w:cs="Arial"/>
          <w:b/>
          <w:color w:val="000000"/>
          <w:sz w:val="24"/>
          <w:szCs w:val="24"/>
          <w:lang w:val="es-ES"/>
        </w:rPr>
      </w:pPr>
      <w:r w:rsidRPr="009D1D47">
        <w:rPr>
          <w:rFonts w:ascii="Arial" w:eastAsia="Times New Roman" w:hAnsi="Arial" w:cs="Arial"/>
          <w:b/>
          <w:color w:val="000000"/>
          <w:sz w:val="24"/>
          <w:szCs w:val="24"/>
          <w:lang w:val="es-ES"/>
        </w:rPr>
        <w:t>A mis padres:</w:t>
      </w:r>
    </w:p>
    <w:p w:rsidR="007423B0" w:rsidRDefault="007423B0" w:rsidP="007423B0">
      <w:pPr>
        <w:spacing w:after="0" w:line="360" w:lineRule="auto"/>
        <w:jc w:val="center"/>
        <w:rPr>
          <w:rFonts w:ascii="Arial" w:eastAsia="Times New Roman" w:hAnsi="Arial" w:cs="Arial"/>
          <w:color w:val="000000"/>
          <w:sz w:val="24"/>
          <w:szCs w:val="24"/>
          <w:lang w:val="es-ES"/>
        </w:rPr>
      </w:pPr>
    </w:p>
    <w:p w:rsidR="007423B0" w:rsidRDefault="007423B0" w:rsidP="007423B0">
      <w:pPr>
        <w:spacing w:after="0" w:line="360" w:lineRule="auto"/>
        <w:jc w:val="center"/>
        <w:rPr>
          <w:rFonts w:ascii="Arial" w:eastAsia="Times New Roman" w:hAnsi="Arial" w:cs="Arial"/>
          <w:color w:val="000000"/>
          <w:sz w:val="24"/>
          <w:szCs w:val="24"/>
          <w:lang w:val="es-ES"/>
        </w:rPr>
      </w:pPr>
      <w:r>
        <w:rPr>
          <w:rFonts w:ascii="Arial" w:eastAsia="Times New Roman" w:hAnsi="Arial" w:cs="Arial"/>
          <w:color w:val="000000"/>
          <w:sz w:val="24"/>
          <w:szCs w:val="24"/>
          <w:lang w:val="es-ES"/>
        </w:rPr>
        <w:t>Porque durante años se han esforzado</w:t>
      </w:r>
    </w:p>
    <w:p w:rsidR="007423B0" w:rsidRDefault="007423B0" w:rsidP="007423B0">
      <w:pPr>
        <w:spacing w:after="0" w:line="360" w:lineRule="auto"/>
        <w:jc w:val="center"/>
        <w:rPr>
          <w:rFonts w:ascii="Arial" w:eastAsia="Times New Roman" w:hAnsi="Arial" w:cs="Arial"/>
          <w:color w:val="000000"/>
          <w:sz w:val="24"/>
          <w:szCs w:val="24"/>
          <w:lang w:val="es-ES"/>
        </w:rPr>
      </w:pPr>
      <w:r>
        <w:rPr>
          <w:rFonts w:ascii="Arial" w:eastAsia="Times New Roman" w:hAnsi="Arial" w:cs="Arial"/>
          <w:color w:val="000000"/>
          <w:sz w:val="24"/>
          <w:szCs w:val="24"/>
          <w:lang w:val="es-ES"/>
        </w:rPr>
        <w:t xml:space="preserve"> </w:t>
      </w:r>
      <w:proofErr w:type="gramStart"/>
      <w:r>
        <w:rPr>
          <w:rFonts w:ascii="Arial" w:eastAsia="Times New Roman" w:hAnsi="Arial" w:cs="Arial"/>
          <w:color w:val="000000"/>
          <w:sz w:val="24"/>
          <w:szCs w:val="24"/>
          <w:lang w:val="es-ES"/>
        </w:rPr>
        <w:t>para</w:t>
      </w:r>
      <w:proofErr w:type="gramEnd"/>
      <w:r>
        <w:rPr>
          <w:rFonts w:ascii="Arial" w:eastAsia="Times New Roman" w:hAnsi="Arial" w:cs="Arial"/>
          <w:color w:val="000000"/>
          <w:sz w:val="24"/>
          <w:szCs w:val="24"/>
          <w:lang w:val="es-ES"/>
        </w:rPr>
        <w:t xml:space="preserve"> verme llegar a este grado y</w:t>
      </w:r>
    </w:p>
    <w:p w:rsidR="007423B0" w:rsidRDefault="007423B0" w:rsidP="007423B0">
      <w:pPr>
        <w:spacing w:after="0" w:line="360" w:lineRule="auto"/>
        <w:jc w:val="center"/>
        <w:rPr>
          <w:rFonts w:ascii="Arial" w:eastAsia="Times New Roman" w:hAnsi="Arial" w:cs="Arial"/>
          <w:color w:val="000000"/>
          <w:sz w:val="24"/>
          <w:szCs w:val="24"/>
          <w:lang w:val="es-ES"/>
        </w:rPr>
      </w:pPr>
      <w:proofErr w:type="gramStart"/>
      <w:r>
        <w:rPr>
          <w:rFonts w:ascii="Arial" w:eastAsia="Times New Roman" w:hAnsi="Arial" w:cs="Arial"/>
          <w:color w:val="000000"/>
          <w:sz w:val="24"/>
          <w:szCs w:val="24"/>
          <w:lang w:val="es-ES"/>
        </w:rPr>
        <w:t>por</w:t>
      </w:r>
      <w:proofErr w:type="gramEnd"/>
      <w:r>
        <w:rPr>
          <w:rFonts w:ascii="Arial" w:eastAsia="Times New Roman" w:hAnsi="Arial" w:cs="Arial"/>
          <w:color w:val="000000"/>
          <w:sz w:val="24"/>
          <w:szCs w:val="24"/>
          <w:lang w:val="es-ES"/>
        </w:rPr>
        <w:t xml:space="preserve"> su infinito apoyo.</w:t>
      </w:r>
    </w:p>
    <w:p w:rsidR="007423B0" w:rsidRDefault="007423B0" w:rsidP="007423B0">
      <w:pPr>
        <w:spacing w:after="0" w:line="360" w:lineRule="auto"/>
        <w:jc w:val="center"/>
        <w:rPr>
          <w:rFonts w:ascii="Arial" w:eastAsia="Times New Roman" w:hAnsi="Arial" w:cs="Arial"/>
          <w:color w:val="000000"/>
          <w:sz w:val="24"/>
          <w:szCs w:val="24"/>
          <w:lang w:val="es-ES"/>
        </w:rPr>
      </w:pPr>
    </w:p>
    <w:p w:rsidR="009D1D47" w:rsidRDefault="009D1D47" w:rsidP="007423B0">
      <w:pPr>
        <w:spacing w:after="0" w:line="360" w:lineRule="auto"/>
        <w:jc w:val="center"/>
        <w:rPr>
          <w:rFonts w:ascii="Arial" w:eastAsia="Times New Roman" w:hAnsi="Arial" w:cs="Arial"/>
          <w:color w:val="000000"/>
          <w:sz w:val="24"/>
          <w:szCs w:val="24"/>
          <w:lang w:val="es-ES"/>
        </w:rPr>
      </w:pPr>
    </w:p>
    <w:p w:rsidR="009D1D47" w:rsidRDefault="009D1D47" w:rsidP="007423B0">
      <w:pPr>
        <w:spacing w:after="0" w:line="360" w:lineRule="auto"/>
        <w:jc w:val="center"/>
        <w:rPr>
          <w:rFonts w:ascii="Arial" w:eastAsia="Times New Roman" w:hAnsi="Arial" w:cs="Arial"/>
          <w:color w:val="000000"/>
          <w:sz w:val="24"/>
          <w:szCs w:val="24"/>
          <w:lang w:val="es-ES"/>
        </w:rPr>
      </w:pPr>
    </w:p>
    <w:p w:rsidR="007423B0" w:rsidRDefault="007423B0" w:rsidP="007423B0">
      <w:pPr>
        <w:spacing w:after="0" w:line="360" w:lineRule="auto"/>
        <w:jc w:val="center"/>
        <w:rPr>
          <w:rFonts w:ascii="Arial" w:eastAsia="Times New Roman" w:hAnsi="Arial" w:cs="Arial"/>
          <w:color w:val="000000"/>
          <w:sz w:val="24"/>
          <w:szCs w:val="24"/>
          <w:lang w:val="es-ES"/>
        </w:rPr>
      </w:pPr>
    </w:p>
    <w:p w:rsidR="007423B0" w:rsidRPr="009D1D47" w:rsidRDefault="009D1D47" w:rsidP="007423B0">
      <w:pPr>
        <w:spacing w:after="0" w:line="360" w:lineRule="auto"/>
        <w:jc w:val="center"/>
        <w:rPr>
          <w:rFonts w:ascii="Arial" w:eastAsia="Times New Roman" w:hAnsi="Arial" w:cs="Arial"/>
          <w:b/>
          <w:color w:val="000000"/>
          <w:sz w:val="24"/>
          <w:szCs w:val="24"/>
          <w:lang w:val="es-ES"/>
        </w:rPr>
      </w:pPr>
      <w:r w:rsidRPr="009D1D47">
        <w:rPr>
          <w:rFonts w:ascii="Arial" w:eastAsia="Times New Roman" w:hAnsi="Arial" w:cs="Arial"/>
          <w:b/>
          <w:color w:val="000000"/>
          <w:sz w:val="24"/>
          <w:szCs w:val="24"/>
          <w:lang w:val="es-ES"/>
        </w:rPr>
        <w:t>A mis hijas y</w:t>
      </w:r>
    </w:p>
    <w:p w:rsidR="009D1D47" w:rsidRPr="009D1D47" w:rsidRDefault="009D1D47" w:rsidP="007423B0">
      <w:pPr>
        <w:spacing w:after="0" w:line="360" w:lineRule="auto"/>
        <w:jc w:val="center"/>
        <w:rPr>
          <w:rFonts w:ascii="Arial" w:eastAsia="Times New Roman" w:hAnsi="Arial" w:cs="Arial"/>
          <w:b/>
          <w:color w:val="000000"/>
          <w:sz w:val="24"/>
          <w:szCs w:val="24"/>
          <w:lang w:val="es-ES"/>
        </w:rPr>
      </w:pPr>
      <w:proofErr w:type="gramStart"/>
      <w:r>
        <w:rPr>
          <w:rFonts w:ascii="Arial" w:eastAsia="Times New Roman" w:hAnsi="Arial" w:cs="Arial"/>
          <w:b/>
          <w:color w:val="000000"/>
          <w:sz w:val="24"/>
          <w:szCs w:val="24"/>
          <w:lang w:val="es-ES"/>
        </w:rPr>
        <w:t>a</w:t>
      </w:r>
      <w:proofErr w:type="gramEnd"/>
      <w:r w:rsidRPr="009D1D47">
        <w:rPr>
          <w:rFonts w:ascii="Arial" w:eastAsia="Times New Roman" w:hAnsi="Arial" w:cs="Arial"/>
          <w:b/>
          <w:color w:val="000000"/>
          <w:sz w:val="24"/>
          <w:szCs w:val="24"/>
          <w:lang w:val="es-ES"/>
        </w:rPr>
        <w:t xml:space="preserve"> mi esposa:</w:t>
      </w:r>
    </w:p>
    <w:p w:rsidR="007423B0" w:rsidRDefault="007423B0" w:rsidP="007423B0">
      <w:pPr>
        <w:spacing w:after="0" w:line="360" w:lineRule="auto"/>
        <w:jc w:val="center"/>
        <w:rPr>
          <w:rFonts w:ascii="Arial" w:eastAsia="Times New Roman" w:hAnsi="Arial" w:cs="Arial"/>
          <w:color w:val="000000"/>
          <w:sz w:val="24"/>
          <w:szCs w:val="24"/>
          <w:lang w:val="es-ES"/>
        </w:rPr>
      </w:pPr>
    </w:p>
    <w:p w:rsidR="007423B0" w:rsidRDefault="009D1D47" w:rsidP="007423B0">
      <w:pPr>
        <w:spacing w:after="0" w:line="360" w:lineRule="auto"/>
        <w:jc w:val="center"/>
        <w:rPr>
          <w:rFonts w:ascii="Arial" w:eastAsia="Times New Roman" w:hAnsi="Arial" w:cs="Arial"/>
          <w:color w:val="000000"/>
          <w:sz w:val="24"/>
          <w:szCs w:val="24"/>
          <w:lang w:val="es-ES"/>
        </w:rPr>
      </w:pPr>
      <w:r>
        <w:rPr>
          <w:rFonts w:ascii="Arial" w:eastAsia="Times New Roman" w:hAnsi="Arial" w:cs="Arial"/>
          <w:color w:val="000000"/>
          <w:sz w:val="24"/>
          <w:szCs w:val="24"/>
          <w:lang w:val="es-ES"/>
        </w:rPr>
        <w:t>Por siempre estar conmigo y</w:t>
      </w:r>
    </w:p>
    <w:p w:rsidR="009D1D47" w:rsidRDefault="009D1D47" w:rsidP="007423B0">
      <w:pPr>
        <w:spacing w:after="0" w:line="360" w:lineRule="auto"/>
        <w:jc w:val="center"/>
        <w:rPr>
          <w:rFonts w:ascii="Arial" w:eastAsia="Times New Roman" w:hAnsi="Arial" w:cs="Arial"/>
          <w:color w:val="000000"/>
          <w:sz w:val="24"/>
          <w:szCs w:val="24"/>
          <w:lang w:val="es-ES"/>
        </w:rPr>
      </w:pPr>
      <w:proofErr w:type="gramStart"/>
      <w:r>
        <w:rPr>
          <w:rFonts w:ascii="Arial" w:eastAsia="Times New Roman" w:hAnsi="Arial" w:cs="Arial"/>
          <w:color w:val="000000"/>
          <w:sz w:val="24"/>
          <w:szCs w:val="24"/>
          <w:lang w:val="es-ES"/>
        </w:rPr>
        <w:t>por</w:t>
      </w:r>
      <w:proofErr w:type="gramEnd"/>
      <w:r>
        <w:rPr>
          <w:rFonts w:ascii="Arial" w:eastAsia="Times New Roman" w:hAnsi="Arial" w:cs="Arial"/>
          <w:color w:val="000000"/>
          <w:sz w:val="24"/>
          <w:szCs w:val="24"/>
          <w:lang w:val="es-ES"/>
        </w:rPr>
        <w:t xml:space="preserve"> los mejores momentos de mi vida</w:t>
      </w:r>
    </w:p>
    <w:p w:rsidR="007423B0" w:rsidRDefault="007423B0"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Default="009D1D47" w:rsidP="009D1D47">
      <w:pPr>
        <w:spacing w:after="0" w:line="360" w:lineRule="auto"/>
        <w:jc w:val="center"/>
        <w:rPr>
          <w:rFonts w:ascii="Arial" w:eastAsia="Times New Roman" w:hAnsi="Arial" w:cs="Arial"/>
          <w:color w:val="000000"/>
          <w:sz w:val="24"/>
          <w:szCs w:val="24"/>
          <w:lang w:val="es-ES"/>
        </w:rPr>
      </w:pPr>
    </w:p>
    <w:p w:rsidR="009D1D47" w:rsidRPr="009D1D47" w:rsidRDefault="009D1D47" w:rsidP="009D1D47">
      <w:pPr>
        <w:spacing w:after="0" w:line="360" w:lineRule="auto"/>
        <w:jc w:val="center"/>
        <w:rPr>
          <w:rFonts w:ascii="Arial" w:eastAsia="Times New Roman" w:hAnsi="Arial" w:cs="Arial"/>
          <w:color w:val="000000"/>
          <w:sz w:val="24"/>
          <w:szCs w:val="24"/>
          <w:lang w:val="es-ES"/>
        </w:rPr>
      </w:pPr>
    </w:p>
    <w:p w:rsidR="00715958" w:rsidRDefault="009D1D47" w:rsidP="009D1D47">
      <w:pPr>
        <w:spacing w:after="0" w:line="360" w:lineRule="auto"/>
        <w:jc w:val="center"/>
        <w:rPr>
          <w:rFonts w:ascii="Arial" w:eastAsia="Times New Roman" w:hAnsi="Arial" w:cs="Arial"/>
          <w:b/>
          <w:color w:val="000000"/>
          <w:sz w:val="24"/>
          <w:szCs w:val="24"/>
          <w:lang w:val="es-ES"/>
        </w:rPr>
      </w:pPr>
      <w:r>
        <w:rPr>
          <w:rFonts w:ascii="Arial" w:eastAsia="Times New Roman" w:hAnsi="Arial" w:cs="Arial"/>
          <w:b/>
          <w:color w:val="000000"/>
          <w:sz w:val="24"/>
          <w:szCs w:val="24"/>
          <w:lang w:val="es-ES"/>
        </w:rPr>
        <w:lastRenderedPageBreak/>
        <w:t>ÍNDICE</w:t>
      </w:r>
    </w:p>
    <w:p w:rsidR="009E178D" w:rsidRDefault="009E178D" w:rsidP="009D1D47">
      <w:pPr>
        <w:spacing w:after="0" w:line="360" w:lineRule="auto"/>
        <w:jc w:val="center"/>
        <w:rPr>
          <w:rFonts w:ascii="Arial" w:eastAsia="Times New Roman" w:hAnsi="Arial" w:cs="Arial"/>
          <w:b/>
          <w:color w:val="000000"/>
          <w:sz w:val="24"/>
          <w:szCs w:val="24"/>
          <w:lang w:val="es-ES"/>
        </w:rPr>
      </w:pPr>
    </w:p>
    <w:p w:rsidR="00A503B0" w:rsidRDefault="00A503B0" w:rsidP="009D1D47">
      <w:pPr>
        <w:spacing w:after="0" w:line="360" w:lineRule="auto"/>
        <w:jc w:val="center"/>
        <w:rPr>
          <w:rFonts w:ascii="Arial" w:eastAsia="Times New Roman" w:hAnsi="Arial" w:cs="Arial"/>
          <w:b/>
          <w:color w:val="000000"/>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790"/>
      </w:tblGrid>
      <w:tr w:rsidR="00152A6B" w:rsidRPr="009D7D0D" w:rsidTr="009D7D0D">
        <w:tc>
          <w:tcPr>
            <w:tcW w:w="8188" w:type="dxa"/>
          </w:tcPr>
          <w:p w:rsidR="00152A6B" w:rsidRPr="009D7D0D" w:rsidRDefault="00152A6B" w:rsidP="00152A6B">
            <w:pPr>
              <w:rPr>
                <w:rFonts w:ascii="Arial" w:hAnsi="Arial" w:cs="Arial"/>
                <w:b/>
                <w:color w:val="000000"/>
                <w:sz w:val="24"/>
                <w:szCs w:val="24"/>
                <w:lang w:val="es-ES" w:eastAsia="es-MX"/>
              </w:rPr>
            </w:pPr>
            <w:r w:rsidRPr="009D7D0D">
              <w:rPr>
                <w:rFonts w:ascii="Arial" w:hAnsi="Arial" w:cs="Arial"/>
                <w:b/>
                <w:color w:val="000000"/>
                <w:sz w:val="24"/>
                <w:szCs w:val="24"/>
                <w:lang w:val="es-ES" w:eastAsia="es-MX"/>
              </w:rPr>
              <w:t>INTRODUCCIÓN</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6</w:t>
            </w:r>
          </w:p>
        </w:tc>
      </w:tr>
      <w:tr w:rsidR="00A503B0" w:rsidRPr="009D7D0D" w:rsidTr="009D7D0D">
        <w:tc>
          <w:tcPr>
            <w:tcW w:w="8188" w:type="dxa"/>
          </w:tcPr>
          <w:p w:rsidR="00A503B0" w:rsidRPr="009D7D0D" w:rsidRDefault="00A503B0" w:rsidP="00A503B0">
            <w:pPr>
              <w:spacing w:line="240" w:lineRule="auto"/>
              <w:ind w:firstLine="708"/>
              <w:rPr>
                <w:rFonts w:ascii="Arial" w:hAnsi="Arial" w:cs="Arial"/>
                <w:b/>
                <w:color w:val="000000"/>
                <w:sz w:val="24"/>
                <w:szCs w:val="24"/>
                <w:lang w:val="es-ES"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A503B0">
            <w:pPr>
              <w:spacing w:line="240" w:lineRule="auto"/>
              <w:ind w:firstLine="708"/>
              <w:rPr>
                <w:rFonts w:ascii="Arial" w:hAnsi="Arial" w:cs="Arial"/>
                <w:b/>
                <w:color w:val="000000"/>
                <w:sz w:val="24"/>
                <w:szCs w:val="24"/>
                <w:lang w:val="es-ES" w:eastAsia="es-MX"/>
              </w:rPr>
            </w:pPr>
          </w:p>
        </w:tc>
        <w:tc>
          <w:tcPr>
            <w:tcW w:w="790" w:type="dxa"/>
          </w:tcPr>
          <w:p w:rsidR="009E178D" w:rsidRPr="009D7D0D" w:rsidRDefault="009E178D"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152A6B">
            <w:pPr>
              <w:ind w:firstLine="708"/>
              <w:rPr>
                <w:rFonts w:ascii="Arial" w:hAnsi="Arial" w:cs="Arial"/>
                <w:color w:val="000000"/>
                <w:sz w:val="24"/>
                <w:szCs w:val="24"/>
                <w:lang w:val="es-ES" w:eastAsia="es-MX"/>
              </w:rPr>
            </w:pPr>
            <w:r w:rsidRPr="009D7D0D">
              <w:rPr>
                <w:rFonts w:ascii="Arial" w:hAnsi="Arial" w:cs="Arial"/>
                <w:b/>
                <w:color w:val="000000"/>
                <w:sz w:val="24"/>
                <w:szCs w:val="24"/>
                <w:lang w:val="es-ES" w:eastAsia="es-MX"/>
              </w:rPr>
              <w:t xml:space="preserve">CAPÍTULO I: </w:t>
            </w:r>
            <w:r w:rsidRPr="009D7D0D">
              <w:rPr>
                <w:rFonts w:ascii="Arial" w:hAnsi="Arial" w:cs="Arial"/>
                <w:color w:val="000000"/>
                <w:sz w:val="24"/>
                <w:szCs w:val="24"/>
                <w:lang w:val="es-ES" w:eastAsia="es-MX"/>
              </w:rPr>
              <w:t>Evolución en la Fiscalización de recursos públicos.</w:t>
            </w:r>
          </w:p>
        </w:tc>
        <w:tc>
          <w:tcPr>
            <w:tcW w:w="790" w:type="dxa"/>
          </w:tcPr>
          <w:p w:rsidR="00152A6B" w:rsidRPr="009D7D0D" w:rsidRDefault="00F35FB4" w:rsidP="000E038D">
            <w:pPr>
              <w:jc w:val="right"/>
              <w:rPr>
                <w:rFonts w:ascii="Arial" w:hAnsi="Arial" w:cs="Arial"/>
                <w:b/>
                <w:color w:val="000000"/>
                <w:sz w:val="24"/>
                <w:szCs w:val="24"/>
                <w:lang w:val="es-ES"/>
              </w:rPr>
            </w:pPr>
            <w:r>
              <w:rPr>
                <w:rFonts w:ascii="Arial" w:hAnsi="Arial" w:cs="Arial"/>
                <w:b/>
                <w:color w:val="000000"/>
                <w:sz w:val="24"/>
                <w:szCs w:val="24"/>
                <w:lang w:val="es-ES"/>
              </w:rPr>
              <w:t>1</w:t>
            </w:r>
            <w:r w:rsidR="000E038D">
              <w:rPr>
                <w:rFonts w:ascii="Arial" w:hAnsi="Arial" w:cs="Arial"/>
                <w:b/>
                <w:color w:val="000000"/>
                <w:sz w:val="24"/>
                <w:szCs w:val="24"/>
                <w:lang w:val="es-ES"/>
              </w:rPr>
              <w:t>0</w:t>
            </w:r>
          </w:p>
        </w:tc>
      </w:tr>
      <w:tr w:rsidR="00A503B0" w:rsidRPr="009D7D0D" w:rsidTr="009D7D0D">
        <w:tc>
          <w:tcPr>
            <w:tcW w:w="8188" w:type="dxa"/>
          </w:tcPr>
          <w:p w:rsidR="00A503B0" w:rsidRPr="009D7D0D" w:rsidRDefault="00A503B0" w:rsidP="00A503B0">
            <w:pPr>
              <w:spacing w:line="240" w:lineRule="auto"/>
              <w:ind w:left="709" w:hanging="709"/>
              <w:rPr>
                <w:rFonts w:ascii="Arial" w:hAnsi="Arial" w:cs="Arial"/>
                <w:color w:val="000000"/>
                <w:sz w:val="24"/>
                <w:szCs w:val="24"/>
                <w:lang w:val="es-ES_tradnl"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152A6B">
            <w:pPr>
              <w:ind w:left="709" w:hanging="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1.1</w:t>
            </w:r>
            <w:r w:rsidRPr="009D7D0D">
              <w:rPr>
                <w:rFonts w:ascii="Arial" w:hAnsi="Arial" w:cs="Arial"/>
                <w:color w:val="000000"/>
                <w:sz w:val="24"/>
                <w:szCs w:val="24"/>
                <w:lang w:val="es-ES_tradnl" w:eastAsia="es-MX"/>
              </w:rPr>
              <w:tab/>
              <w:t>Evolución de la Fiscalización en México.</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27</w:t>
            </w:r>
          </w:p>
        </w:tc>
      </w:tr>
      <w:tr w:rsidR="00152A6B" w:rsidRPr="009D7D0D" w:rsidTr="009D7D0D">
        <w:tc>
          <w:tcPr>
            <w:tcW w:w="8188" w:type="dxa"/>
          </w:tcPr>
          <w:p w:rsidR="00152A6B" w:rsidRPr="009D7D0D" w:rsidRDefault="00152A6B" w:rsidP="00152A6B">
            <w:pPr>
              <w:ind w:left="709" w:hanging="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1.2</w:t>
            </w:r>
            <w:r w:rsidRPr="009D7D0D">
              <w:rPr>
                <w:rFonts w:ascii="Arial" w:hAnsi="Arial" w:cs="Arial"/>
                <w:color w:val="000000"/>
                <w:sz w:val="24"/>
                <w:szCs w:val="24"/>
                <w:lang w:val="es-ES_tradnl" w:eastAsia="es-MX"/>
              </w:rPr>
              <w:tab/>
              <w:t>Marco histórico y antecedente del Órgano Superior de Fiscalización del Estado de México (OSFEM).</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29</w:t>
            </w:r>
          </w:p>
        </w:tc>
      </w:tr>
      <w:tr w:rsidR="00A503B0" w:rsidRPr="009D7D0D" w:rsidTr="009D7D0D">
        <w:tc>
          <w:tcPr>
            <w:tcW w:w="8188" w:type="dxa"/>
          </w:tcPr>
          <w:p w:rsidR="00A503B0" w:rsidRPr="009D7D0D" w:rsidRDefault="00A503B0" w:rsidP="00A503B0">
            <w:pPr>
              <w:spacing w:line="240" w:lineRule="auto"/>
              <w:ind w:firstLine="708"/>
              <w:rPr>
                <w:rFonts w:ascii="Arial" w:hAnsi="Arial" w:cs="Arial"/>
                <w:b/>
                <w:color w:val="000000"/>
                <w:sz w:val="24"/>
                <w:szCs w:val="24"/>
                <w:lang w:val="es-ES"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A503B0">
            <w:pPr>
              <w:spacing w:line="240" w:lineRule="auto"/>
              <w:ind w:firstLine="708"/>
              <w:rPr>
                <w:rFonts w:ascii="Arial" w:hAnsi="Arial" w:cs="Arial"/>
                <w:b/>
                <w:color w:val="000000"/>
                <w:sz w:val="24"/>
                <w:szCs w:val="24"/>
                <w:lang w:val="es-ES" w:eastAsia="es-MX"/>
              </w:rPr>
            </w:pPr>
          </w:p>
        </w:tc>
        <w:tc>
          <w:tcPr>
            <w:tcW w:w="790" w:type="dxa"/>
          </w:tcPr>
          <w:p w:rsidR="009E178D" w:rsidRPr="009D7D0D" w:rsidRDefault="009E178D"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152A6B">
            <w:pPr>
              <w:ind w:firstLine="708"/>
              <w:rPr>
                <w:rFonts w:ascii="Arial" w:hAnsi="Arial" w:cs="Arial"/>
                <w:color w:val="000000"/>
                <w:sz w:val="24"/>
                <w:szCs w:val="24"/>
                <w:lang w:val="es-ES" w:eastAsia="es-MX"/>
              </w:rPr>
            </w:pPr>
            <w:r w:rsidRPr="009D7D0D">
              <w:rPr>
                <w:rFonts w:ascii="Arial" w:hAnsi="Arial" w:cs="Arial"/>
                <w:b/>
                <w:color w:val="000000"/>
                <w:sz w:val="24"/>
                <w:szCs w:val="24"/>
                <w:lang w:val="es-ES" w:eastAsia="es-MX"/>
              </w:rPr>
              <w:t xml:space="preserve">CAPÍTULO II: </w:t>
            </w:r>
            <w:r w:rsidRPr="009D7D0D">
              <w:rPr>
                <w:rFonts w:ascii="Arial" w:hAnsi="Arial" w:cs="Arial"/>
                <w:color w:val="000000"/>
                <w:sz w:val="24"/>
                <w:szCs w:val="24"/>
                <w:lang w:val="es-ES" w:eastAsia="es-MX"/>
              </w:rPr>
              <w:t>Estructura Orgánica del OSFEM.</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34</w:t>
            </w:r>
          </w:p>
        </w:tc>
      </w:tr>
      <w:tr w:rsidR="00A503B0" w:rsidRPr="009D7D0D" w:rsidTr="009D7D0D">
        <w:tc>
          <w:tcPr>
            <w:tcW w:w="8188" w:type="dxa"/>
          </w:tcPr>
          <w:p w:rsidR="00A503B0" w:rsidRPr="009D7D0D" w:rsidRDefault="00A503B0" w:rsidP="00A503B0">
            <w:pPr>
              <w:spacing w:line="240" w:lineRule="auto"/>
              <w:rPr>
                <w:rFonts w:ascii="Arial" w:hAnsi="Arial" w:cs="Arial"/>
                <w:color w:val="000000"/>
                <w:sz w:val="24"/>
                <w:szCs w:val="24"/>
                <w:lang w:val="es-ES_tradnl"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152A6B">
            <w:pPr>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 xml:space="preserve">2.1 </w:t>
            </w:r>
            <w:r w:rsidRPr="009D7D0D">
              <w:rPr>
                <w:rFonts w:ascii="Arial" w:hAnsi="Arial" w:cs="Arial"/>
                <w:color w:val="000000"/>
                <w:sz w:val="24"/>
                <w:szCs w:val="24"/>
                <w:lang w:val="es-ES_tradnl" w:eastAsia="es-MX"/>
              </w:rPr>
              <w:tab/>
              <w:t>Órgano Superior de Fiscalización del Estado de México (OSFEM).</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36</w:t>
            </w:r>
          </w:p>
        </w:tc>
      </w:tr>
      <w:tr w:rsidR="00152A6B" w:rsidRPr="009D7D0D" w:rsidTr="009D7D0D">
        <w:tc>
          <w:tcPr>
            <w:tcW w:w="8188" w:type="dxa"/>
          </w:tcPr>
          <w:p w:rsidR="00152A6B" w:rsidRPr="009D7D0D" w:rsidRDefault="00152A6B" w:rsidP="00152A6B">
            <w:pPr>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 xml:space="preserve">2.2 </w:t>
            </w:r>
            <w:r w:rsidRPr="009D7D0D">
              <w:rPr>
                <w:rFonts w:ascii="Arial" w:hAnsi="Arial" w:cs="Arial"/>
                <w:color w:val="000000"/>
                <w:sz w:val="24"/>
                <w:szCs w:val="24"/>
                <w:lang w:val="es-ES_tradnl" w:eastAsia="es-MX"/>
              </w:rPr>
              <w:tab/>
              <w:t>Base Jurídica que faculta al OSFEM.</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38</w:t>
            </w:r>
          </w:p>
        </w:tc>
      </w:tr>
      <w:tr w:rsidR="00152A6B" w:rsidRPr="009D7D0D" w:rsidTr="009D7D0D">
        <w:tc>
          <w:tcPr>
            <w:tcW w:w="8188" w:type="dxa"/>
          </w:tcPr>
          <w:p w:rsidR="00152A6B" w:rsidRPr="009D7D0D" w:rsidRDefault="00152A6B" w:rsidP="00152A6B">
            <w:pPr>
              <w:rPr>
                <w:rFonts w:ascii="Arial" w:hAnsi="Arial" w:cs="Arial"/>
                <w:sz w:val="24"/>
                <w:szCs w:val="24"/>
                <w:lang w:eastAsia="es-MX"/>
              </w:rPr>
            </w:pPr>
            <w:r w:rsidRPr="009D7D0D">
              <w:rPr>
                <w:rFonts w:ascii="Arial" w:hAnsi="Arial" w:cs="Arial"/>
                <w:color w:val="000000"/>
                <w:sz w:val="24"/>
                <w:szCs w:val="24"/>
                <w:lang w:val="es-ES_tradnl" w:eastAsia="es-MX"/>
              </w:rPr>
              <w:t>2.3</w:t>
            </w:r>
            <w:r w:rsidRPr="009D7D0D">
              <w:rPr>
                <w:rFonts w:ascii="Arial" w:hAnsi="Arial" w:cs="Arial"/>
                <w:color w:val="000000"/>
                <w:sz w:val="24"/>
                <w:szCs w:val="24"/>
                <w:lang w:val="es-ES_tradnl" w:eastAsia="es-MX"/>
              </w:rPr>
              <w:tab/>
              <w:t>Atribuciones del Auditor Superior.</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41</w:t>
            </w:r>
          </w:p>
        </w:tc>
      </w:tr>
      <w:tr w:rsidR="00152A6B" w:rsidRPr="009D7D0D" w:rsidTr="009D7D0D">
        <w:tc>
          <w:tcPr>
            <w:tcW w:w="8188" w:type="dxa"/>
          </w:tcPr>
          <w:p w:rsidR="00152A6B" w:rsidRPr="009D7D0D" w:rsidRDefault="00152A6B" w:rsidP="00152A6B">
            <w:pPr>
              <w:ind w:left="20"/>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 xml:space="preserve">2.4 </w:t>
            </w:r>
            <w:r w:rsidRPr="009D7D0D">
              <w:rPr>
                <w:rFonts w:ascii="Arial" w:hAnsi="Arial" w:cs="Arial"/>
                <w:color w:val="000000"/>
                <w:sz w:val="24"/>
                <w:szCs w:val="24"/>
                <w:lang w:val="es-ES_tradnl" w:eastAsia="es-MX"/>
              </w:rPr>
              <w:tab/>
              <w:t>Atribuciones del Auditor Especial de Evaluación de Programas.</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44</w:t>
            </w:r>
          </w:p>
        </w:tc>
      </w:tr>
      <w:tr w:rsidR="009E178D" w:rsidRPr="009D7D0D" w:rsidTr="009D7D0D">
        <w:tc>
          <w:tcPr>
            <w:tcW w:w="8188" w:type="dxa"/>
          </w:tcPr>
          <w:p w:rsidR="009E178D" w:rsidRPr="009D7D0D" w:rsidRDefault="009E178D" w:rsidP="00A503B0">
            <w:pPr>
              <w:spacing w:line="240" w:lineRule="auto"/>
              <w:ind w:left="709" w:hanging="1"/>
              <w:rPr>
                <w:rFonts w:ascii="Arial" w:hAnsi="Arial" w:cs="Arial"/>
                <w:b/>
                <w:color w:val="000000"/>
                <w:sz w:val="24"/>
                <w:szCs w:val="24"/>
                <w:lang w:val="es-ES" w:eastAsia="es-MX"/>
              </w:rPr>
            </w:pPr>
          </w:p>
        </w:tc>
        <w:tc>
          <w:tcPr>
            <w:tcW w:w="790" w:type="dxa"/>
          </w:tcPr>
          <w:p w:rsidR="009E178D" w:rsidRPr="009D7D0D" w:rsidRDefault="009E178D" w:rsidP="00F35FB4">
            <w:pPr>
              <w:spacing w:line="240" w:lineRule="auto"/>
              <w:jc w:val="right"/>
              <w:rPr>
                <w:rFonts w:ascii="Arial" w:hAnsi="Arial" w:cs="Arial"/>
                <w:b/>
                <w:color w:val="000000"/>
                <w:sz w:val="24"/>
                <w:szCs w:val="24"/>
                <w:lang w:val="es-ES"/>
              </w:rPr>
            </w:pPr>
          </w:p>
        </w:tc>
      </w:tr>
      <w:tr w:rsidR="00A503B0" w:rsidRPr="009D7D0D" w:rsidTr="009D7D0D">
        <w:tc>
          <w:tcPr>
            <w:tcW w:w="8188" w:type="dxa"/>
          </w:tcPr>
          <w:p w:rsidR="00A503B0" w:rsidRPr="009D7D0D" w:rsidRDefault="00A503B0" w:rsidP="00A503B0">
            <w:pPr>
              <w:spacing w:after="120" w:line="240" w:lineRule="auto"/>
              <w:ind w:left="709"/>
              <w:rPr>
                <w:rFonts w:ascii="Arial" w:hAnsi="Arial" w:cs="Arial"/>
                <w:b/>
                <w:color w:val="000000"/>
                <w:sz w:val="24"/>
                <w:szCs w:val="24"/>
                <w:lang w:val="es-ES"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A503B0">
            <w:pPr>
              <w:spacing w:after="120" w:line="240" w:lineRule="auto"/>
              <w:ind w:left="709"/>
              <w:rPr>
                <w:rFonts w:ascii="Arial" w:hAnsi="Arial" w:cs="Arial"/>
                <w:color w:val="000000"/>
                <w:sz w:val="24"/>
                <w:szCs w:val="24"/>
                <w:lang w:val="es-ES" w:eastAsia="es-MX"/>
              </w:rPr>
            </w:pPr>
            <w:r w:rsidRPr="009D7D0D">
              <w:rPr>
                <w:rFonts w:ascii="Arial" w:hAnsi="Arial" w:cs="Arial"/>
                <w:b/>
                <w:color w:val="000000"/>
                <w:sz w:val="24"/>
                <w:szCs w:val="24"/>
                <w:lang w:val="es-ES" w:eastAsia="es-MX"/>
              </w:rPr>
              <w:t xml:space="preserve">CAPÍTULO III: </w:t>
            </w:r>
            <w:r w:rsidRPr="009D7D0D">
              <w:rPr>
                <w:rFonts w:ascii="Arial" w:hAnsi="Arial" w:cs="Arial"/>
                <w:color w:val="000000"/>
                <w:sz w:val="24"/>
                <w:szCs w:val="24"/>
                <w:lang w:val="es-ES" w:eastAsia="es-MX"/>
              </w:rPr>
              <w:t>Ramo General 33: elaboración y actualización de Indicadores evaluados a través del Sistema Integral de Evaluación Programática (SIEP).</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47</w:t>
            </w:r>
          </w:p>
        </w:tc>
      </w:tr>
      <w:tr w:rsidR="00A503B0" w:rsidRPr="009D7D0D" w:rsidTr="009D7D0D">
        <w:tc>
          <w:tcPr>
            <w:tcW w:w="8188" w:type="dxa"/>
          </w:tcPr>
          <w:p w:rsidR="00A503B0" w:rsidRPr="009D7D0D" w:rsidRDefault="00A503B0" w:rsidP="00A503B0">
            <w:pPr>
              <w:spacing w:line="240" w:lineRule="auto"/>
              <w:rPr>
                <w:rFonts w:ascii="Arial" w:hAnsi="Arial" w:cs="Arial"/>
                <w:color w:val="000000"/>
                <w:sz w:val="24"/>
                <w:szCs w:val="24"/>
                <w:lang w:val="es-ES"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152A6B" w:rsidRPr="009D7D0D" w:rsidTr="009D7D0D">
        <w:tc>
          <w:tcPr>
            <w:tcW w:w="8188" w:type="dxa"/>
          </w:tcPr>
          <w:p w:rsidR="00152A6B" w:rsidRPr="009D7D0D" w:rsidRDefault="00152A6B" w:rsidP="00152A6B">
            <w:pPr>
              <w:rPr>
                <w:rFonts w:ascii="Arial" w:hAnsi="Arial" w:cs="Arial"/>
                <w:color w:val="000000"/>
                <w:sz w:val="24"/>
                <w:szCs w:val="24"/>
                <w:lang w:val="es-ES" w:eastAsia="es-MX"/>
              </w:rPr>
            </w:pPr>
            <w:r w:rsidRPr="009D7D0D">
              <w:rPr>
                <w:rFonts w:ascii="Arial" w:hAnsi="Arial" w:cs="Arial"/>
                <w:color w:val="000000"/>
                <w:sz w:val="24"/>
                <w:szCs w:val="24"/>
                <w:lang w:val="es-ES" w:eastAsia="es-MX"/>
              </w:rPr>
              <w:t>3.1</w:t>
            </w:r>
            <w:r w:rsidRPr="009D7D0D">
              <w:rPr>
                <w:rFonts w:ascii="Arial" w:hAnsi="Arial" w:cs="Arial"/>
                <w:color w:val="000000"/>
                <w:sz w:val="24"/>
                <w:szCs w:val="24"/>
                <w:lang w:val="es-ES" w:eastAsia="es-MX"/>
              </w:rPr>
              <w:tab/>
              <w:t>Ramo General 33.</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49</w:t>
            </w:r>
          </w:p>
        </w:tc>
      </w:tr>
      <w:tr w:rsidR="00152A6B" w:rsidRPr="009D7D0D" w:rsidTr="009D7D0D">
        <w:tc>
          <w:tcPr>
            <w:tcW w:w="8188" w:type="dxa"/>
          </w:tcPr>
          <w:p w:rsidR="00152A6B" w:rsidRPr="009D7D0D" w:rsidRDefault="00152A6B" w:rsidP="00A503B0">
            <w:pPr>
              <w:spacing w:after="120" w:line="240" w:lineRule="auto"/>
              <w:ind w:left="709" w:hanging="709"/>
              <w:rPr>
                <w:rFonts w:ascii="Arial" w:hAnsi="Arial" w:cs="Arial"/>
                <w:color w:val="000000"/>
                <w:sz w:val="24"/>
                <w:szCs w:val="24"/>
                <w:lang w:val="es-ES" w:eastAsia="es-MX"/>
              </w:rPr>
            </w:pPr>
            <w:r w:rsidRPr="009D7D0D">
              <w:rPr>
                <w:rFonts w:ascii="Arial" w:hAnsi="Arial" w:cs="Arial"/>
                <w:color w:val="000000"/>
                <w:sz w:val="24"/>
                <w:szCs w:val="24"/>
                <w:lang w:val="es-ES_tradnl" w:eastAsia="es-MX"/>
              </w:rPr>
              <w:t xml:space="preserve">3.2 </w:t>
            </w:r>
            <w:r w:rsidRPr="009D7D0D">
              <w:rPr>
                <w:rFonts w:ascii="Arial" w:hAnsi="Arial" w:cs="Arial"/>
                <w:color w:val="000000"/>
                <w:sz w:val="24"/>
                <w:szCs w:val="24"/>
                <w:lang w:val="es-ES_tradnl" w:eastAsia="es-MX"/>
              </w:rPr>
              <w:tab/>
            </w:r>
            <w:r w:rsidRPr="009D7D0D">
              <w:rPr>
                <w:rFonts w:ascii="Arial" w:hAnsi="Arial" w:cs="Arial"/>
                <w:color w:val="000000"/>
                <w:sz w:val="24"/>
                <w:szCs w:val="24"/>
                <w:lang w:val="es-ES" w:eastAsia="es-MX"/>
              </w:rPr>
              <w:t>Fiscalización del Ramo General 33, a través de Indicadores del SIEP.</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57</w:t>
            </w:r>
          </w:p>
        </w:tc>
      </w:tr>
      <w:tr w:rsidR="00152A6B" w:rsidRPr="009D7D0D" w:rsidTr="009D7D0D">
        <w:tc>
          <w:tcPr>
            <w:tcW w:w="8188" w:type="dxa"/>
          </w:tcPr>
          <w:p w:rsidR="00152A6B" w:rsidRPr="009D7D0D" w:rsidRDefault="00152A6B" w:rsidP="00152A6B">
            <w:pPr>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 xml:space="preserve">3.3 </w:t>
            </w:r>
            <w:r w:rsidRPr="009D7D0D">
              <w:rPr>
                <w:rFonts w:ascii="Arial" w:hAnsi="Arial" w:cs="Arial"/>
                <w:color w:val="000000"/>
                <w:sz w:val="24"/>
                <w:szCs w:val="24"/>
                <w:lang w:val="es-ES_tradnl" w:eastAsia="es-MX"/>
              </w:rPr>
              <w:tab/>
              <w:t>Indicadores por etapa de evaluación.</w:t>
            </w:r>
          </w:p>
        </w:tc>
        <w:tc>
          <w:tcPr>
            <w:tcW w:w="790" w:type="dxa"/>
          </w:tcPr>
          <w:p w:rsidR="00152A6B"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60</w:t>
            </w:r>
          </w:p>
        </w:tc>
      </w:tr>
      <w:tr w:rsidR="00152A6B" w:rsidRPr="009D7D0D" w:rsidTr="009D7D0D">
        <w:tc>
          <w:tcPr>
            <w:tcW w:w="8188" w:type="dxa"/>
          </w:tcPr>
          <w:p w:rsidR="00152A6B" w:rsidRPr="009D7D0D" w:rsidRDefault="009E178D" w:rsidP="009E178D">
            <w:pPr>
              <w:ind w:left="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3.3.1</w:t>
            </w:r>
            <w:r w:rsidRPr="009D7D0D">
              <w:rPr>
                <w:rFonts w:ascii="Arial" w:hAnsi="Arial" w:cs="Arial"/>
                <w:color w:val="000000"/>
                <w:sz w:val="24"/>
                <w:szCs w:val="24"/>
                <w:lang w:val="es-ES_tradnl" w:eastAsia="es-MX"/>
              </w:rPr>
              <w:tab/>
              <w:t>Transferencia y depósito de los recursos,</w:t>
            </w:r>
          </w:p>
        </w:tc>
        <w:tc>
          <w:tcPr>
            <w:tcW w:w="790" w:type="dxa"/>
          </w:tcPr>
          <w:p w:rsidR="00152A6B" w:rsidRPr="009D7D0D" w:rsidRDefault="00152A6B" w:rsidP="00F35FB4">
            <w:pPr>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9E178D">
            <w:pPr>
              <w:ind w:left="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3.3.2</w:t>
            </w:r>
            <w:r w:rsidRPr="009D7D0D">
              <w:rPr>
                <w:rFonts w:ascii="Arial" w:hAnsi="Arial" w:cs="Arial"/>
                <w:color w:val="000000"/>
                <w:sz w:val="24"/>
                <w:szCs w:val="24"/>
                <w:lang w:val="es-ES_tradnl" w:eastAsia="es-MX"/>
              </w:rPr>
              <w:tab/>
              <w:t>Ejercicio de los recursos,</w:t>
            </w:r>
          </w:p>
        </w:tc>
        <w:tc>
          <w:tcPr>
            <w:tcW w:w="790" w:type="dxa"/>
          </w:tcPr>
          <w:p w:rsidR="009E178D" w:rsidRPr="009D7D0D" w:rsidRDefault="009E178D" w:rsidP="00F35FB4">
            <w:pPr>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9E178D">
            <w:pPr>
              <w:ind w:left="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3.3.3</w:t>
            </w:r>
            <w:r w:rsidRPr="009D7D0D">
              <w:rPr>
                <w:rFonts w:ascii="Arial" w:hAnsi="Arial" w:cs="Arial"/>
                <w:color w:val="000000"/>
                <w:sz w:val="24"/>
                <w:szCs w:val="24"/>
                <w:lang w:val="es-ES_tradnl" w:eastAsia="es-MX"/>
              </w:rPr>
              <w:tab/>
              <w:t>Trámite de autorización y aplicación de los recursos,</w:t>
            </w:r>
          </w:p>
        </w:tc>
        <w:tc>
          <w:tcPr>
            <w:tcW w:w="790" w:type="dxa"/>
          </w:tcPr>
          <w:p w:rsidR="009E178D" w:rsidRPr="009D7D0D" w:rsidRDefault="009E178D" w:rsidP="00F35FB4">
            <w:pPr>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9E178D">
            <w:pPr>
              <w:ind w:firstLine="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3.3.4</w:t>
            </w:r>
            <w:r w:rsidRPr="009D7D0D">
              <w:rPr>
                <w:rFonts w:ascii="Arial" w:hAnsi="Arial" w:cs="Arial"/>
                <w:color w:val="000000"/>
                <w:sz w:val="24"/>
                <w:szCs w:val="24"/>
                <w:lang w:val="es-ES_tradnl" w:eastAsia="es-MX"/>
              </w:rPr>
              <w:tab/>
              <w:t>Destino de los recursos.</w:t>
            </w:r>
          </w:p>
        </w:tc>
        <w:tc>
          <w:tcPr>
            <w:tcW w:w="790" w:type="dxa"/>
          </w:tcPr>
          <w:p w:rsidR="009E178D" w:rsidRPr="009D7D0D" w:rsidRDefault="009E178D" w:rsidP="00F35FB4">
            <w:pPr>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9E178D" w:rsidP="00A503B0">
            <w:pPr>
              <w:spacing w:after="120" w:line="240" w:lineRule="auto"/>
              <w:ind w:left="709" w:hanging="709"/>
              <w:rPr>
                <w:rFonts w:ascii="Arial" w:hAnsi="Arial" w:cs="Arial"/>
                <w:color w:val="000000"/>
                <w:sz w:val="24"/>
                <w:szCs w:val="24"/>
                <w:lang w:val="es-ES_tradnl" w:eastAsia="es-MX"/>
              </w:rPr>
            </w:pPr>
            <w:r w:rsidRPr="009D7D0D">
              <w:rPr>
                <w:rFonts w:ascii="Arial" w:hAnsi="Arial" w:cs="Arial"/>
                <w:color w:val="000000"/>
                <w:sz w:val="24"/>
                <w:szCs w:val="24"/>
                <w:lang w:val="es-ES_tradnl" w:eastAsia="es-MX"/>
              </w:rPr>
              <w:t xml:space="preserve">3.4 </w:t>
            </w:r>
            <w:r w:rsidRPr="009D7D0D">
              <w:rPr>
                <w:rFonts w:ascii="Arial" w:hAnsi="Arial" w:cs="Arial"/>
                <w:color w:val="000000"/>
                <w:sz w:val="24"/>
                <w:szCs w:val="24"/>
                <w:lang w:val="es-ES_tradnl" w:eastAsia="es-MX"/>
              </w:rPr>
              <w:tab/>
              <w:t>Informes de Resultados de la Evaluación de Fondos de Aportaciones Federales al Estado de México.</w:t>
            </w:r>
          </w:p>
        </w:tc>
        <w:tc>
          <w:tcPr>
            <w:tcW w:w="790" w:type="dxa"/>
          </w:tcPr>
          <w:p w:rsidR="009E178D" w:rsidRPr="009D7D0D" w:rsidRDefault="00F35FB4" w:rsidP="00F35FB4">
            <w:pPr>
              <w:jc w:val="right"/>
              <w:rPr>
                <w:rFonts w:ascii="Arial" w:hAnsi="Arial" w:cs="Arial"/>
                <w:b/>
                <w:color w:val="000000"/>
                <w:sz w:val="24"/>
                <w:szCs w:val="24"/>
                <w:lang w:val="es-ES"/>
              </w:rPr>
            </w:pPr>
            <w:r>
              <w:rPr>
                <w:rFonts w:ascii="Arial" w:hAnsi="Arial" w:cs="Arial"/>
                <w:b/>
                <w:color w:val="000000"/>
                <w:sz w:val="24"/>
                <w:szCs w:val="24"/>
                <w:lang w:val="es-ES"/>
              </w:rPr>
              <w:t>77</w:t>
            </w:r>
          </w:p>
        </w:tc>
      </w:tr>
      <w:tr w:rsidR="00A503B0" w:rsidRPr="009D7D0D" w:rsidTr="009D7D0D">
        <w:tc>
          <w:tcPr>
            <w:tcW w:w="8188" w:type="dxa"/>
          </w:tcPr>
          <w:p w:rsidR="00A503B0" w:rsidRPr="009D7D0D" w:rsidRDefault="00A503B0" w:rsidP="00A503B0">
            <w:pPr>
              <w:spacing w:line="240" w:lineRule="auto"/>
              <w:ind w:left="20"/>
              <w:rPr>
                <w:rFonts w:ascii="Arial" w:hAnsi="Arial" w:cs="Arial"/>
                <w:b/>
                <w:color w:val="000000"/>
                <w:sz w:val="24"/>
                <w:szCs w:val="24"/>
                <w:lang w:val="es-ES_tradnl"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A503B0" w:rsidRPr="009D7D0D" w:rsidTr="009D7D0D">
        <w:tc>
          <w:tcPr>
            <w:tcW w:w="8188" w:type="dxa"/>
          </w:tcPr>
          <w:p w:rsidR="00A503B0" w:rsidRPr="009D7D0D" w:rsidRDefault="00A503B0" w:rsidP="00A503B0">
            <w:pPr>
              <w:spacing w:line="240" w:lineRule="auto"/>
              <w:ind w:left="20"/>
              <w:rPr>
                <w:rFonts w:ascii="Arial" w:hAnsi="Arial" w:cs="Arial"/>
                <w:b/>
                <w:color w:val="000000"/>
                <w:sz w:val="24"/>
                <w:szCs w:val="24"/>
                <w:lang w:val="es-ES_tradnl" w:eastAsia="es-MX"/>
              </w:rPr>
            </w:pPr>
          </w:p>
        </w:tc>
        <w:tc>
          <w:tcPr>
            <w:tcW w:w="790" w:type="dxa"/>
          </w:tcPr>
          <w:p w:rsidR="00A503B0" w:rsidRPr="009D7D0D" w:rsidRDefault="00A503B0" w:rsidP="00F35FB4">
            <w:pPr>
              <w:spacing w:line="240" w:lineRule="auto"/>
              <w:jc w:val="right"/>
              <w:rPr>
                <w:rFonts w:ascii="Arial" w:hAnsi="Arial" w:cs="Arial"/>
                <w:b/>
                <w:color w:val="000000"/>
                <w:sz w:val="24"/>
                <w:szCs w:val="24"/>
                <w:lang w:val="es-ES"/>
              </w:rPr>
            </w:pPr>
          </w:p>
        </w:tc>
      </w:tr>
      <w:tr w:rsidR="009E178D" w:rsidRPr="009D7D0D" w:rsidTr="009D7D0D">
        <w:tc>
          <w:tcPr>
            <w:tcW w:w="8188" w:type="dxa"/>
          </w:tcPr>
          <w:p w:rsidR="009E178D" w:rsidRPr="009D7D0D" w:rsidRDefault="00A503B0" w:rsidP="00A503B0">
            <w:pPr>
              <w:ind w:left="20"/>
              <w:rPr>
                <w:rFonts w:ascii="Arial" w:hAnsi="Arial" w:cs="Arial"/>
                <w:b/>
                <w:color w:val="000000"/>
                <w:sz w:val="24"/>
                <w:szCs w:val="24"/>
                <w:lang w:val="es-ES_tradnl" w:eastAsia="es-MX"/>
              </w:rPr>
            </w:pPr>
            <w:r w:rsidRPr="009D7D0D">
              <w:rPr>
                <w:rFonts w:ascii="Arial" w:hAnsi="Arial" w:cs="Arial"/>
                <w:b/>
                <w:color w:val="000000"/>
                <w:sz w:val="24"/>
                <w:szCs w:val="24"/>
                <w:lang w:val="es-ES_tradnl" w:eastAsia="es-MX"/>
              </w:rPr>
              <w:t>CONCLUSIONES</w:t>
            </w:r>
          </w:p>
        </w:tc>
        <w:tc>
          <w:tcPr>
            <w:tcW w:w="790" w:type="dxa"/>
          </w:tcPr>
          <w:p w:rsidR="009E178D" w:rsidRPr="009D7D0D" w:rsidRDefault="00353591" w:rsidP="00F35FB4">
            <w:pPr>
              <w:jc w:val="right"/>
              <w:rPr>
                <w:rFonts w:ascii="Arial" w:hAnsi="Arial" w:cs="Arial"/>
                <w:b/>
                <w:color w:val="000000"/>
                <w:sz w:val="24"/>
                <w:szCs w:val="24"/>
                <w:lang w:val="es-ES"/>
              </w:rPr>
            </w:pPr>
            <w:r>
              <w:rPr>
                <w:rFonts w:ascii="Arial" w:hAnsi="Arial" w:cs="Arial"/>
                <w:b/>
                <w:color w:val="000000"/>
                <w:sz w:val="24"/>
                <w:szCs w:val="24"/>
                <w:lang w:val="es-ES"/>
              </w:rPr>
              <w:t>79</w:t>
            </w:r>
          </w:p>
        </w:tc>
      </w:tr>
      <w:tr w:rsidR="009E178D" w:rsidRPr="009D7D0D" w:rsidTr="009D7D0D">
        <w:tc>
          <w:tcPr>
            <w:tcW w:w="8188" w:type="dxa"/>
          </w:tcPr>
          <w:p w:rsidR="009E178D" w:rsidRPr="009D7D0D" w:rsidRDefault="009E178D" w:rsidP="00A503B0">
            <w:pPr>
              <w:ind w:left="20"/>
              <w:rPr>
                <w:rFonts w:ascii="Arial" w:hAnsi="Arial" w:cs="Arial"/>
                <w:b/>
                <w:color w:val="000000"/>
                <w:sz w:val="24"/>
                <w:szCs w:val="24"/>
                <w:lang w:val="es-ES_tradnl" w:eastAsia="es-MX"/>
              </w:rPr>
            </w:pPr>
            <w:r w:rsidRPr="009D7D0D">
              <w:rPr>
                <w:rFonts w:ascii="Arial" w:hAnsi="Arial" w:cs="Arial"/>
                <w:b/>
                <w:color w:val="000000"/>
                <w:sz w:val="24"/>
                <w:szCs w:val="24"/>
                <w:lang w:val="es-ES_tradnl" w:eastAsia="es-MX"/>
              </w:rPr>
              <w:t>BIBLIOGRAFÍA</w:t>
            </w:r>
          </w:p>
        </w:tc>
        <w:tc>
          <w:tcPr>
            <w:tcW w:w="790" w:type="dxa"/>
          </w:tcPr>
          <w:p w:rsidR="009E178D" w:rsidRPr="009D7D0D" w:rsidRDefault="009E178D" w:rsidP="00F35FB4">
            <w:pPr>
              <w:jc w:val="right"/>
              <w:rPr>
                <w:rFonts w:ascii="Arial" w:hAnsi="Arial" w:cs="Arial"/>
                <w:b/>
                <w:color w:val="000000"/>
                <w:sz w:val="24"/>
                <w:szCs w:val="24"/>
                <w:lang w:val="es-ES"/>
              </w:rPr>
            </w:pPr>
          </w:p>
        </w:tc>
      </w:tr>
      <w:tr w:rsidR="009E178D" w:rsidRPr="009D7D0D" w:rsidTr="00740B4F">
        <w:tc>
          <w:tcPr>
            <w:tcW w:w="8188" w:type="dxa"/>
          </w:tcPr>
          <w:p w:rsidR="009E178D" w:rsidRPr="009D7D0D" w:rsidRDefault="009E178D" w:rsidP="00A503B0">
            <w:pPr>
              <w:tabs>
                <w:tab w:val="left" w:pos="720"/>
                <w:tab w:val="left" w:pos="7401"/>
                <w:tab w:val="left" w:pos="8644"/>
              </w:tabs>
              <w:rPr>
                <w:rFonts w:ascii="Arial" w:hAnsi="Arial" w:cs="Arial"/>
                <w:b/>
                <w:color w:val="000000"/>
                <w:sz w:val="24"/>
                <w:szCs w:val="24"/>
                <w:lang w:val="es-ES" w:eastAsia="es-MX"/>
              </w:rPr>
            </w:pPr>
            <w:r w:rsidRPr="009D7D0D">
              <w:rPr>
                <w:rFonts w:ascii="Arial" w:hAnsi="Arial" w:cs="Arial"/>
                <w:b/>
                <w:color w:val="000000"/>
                <w:sz w:val="24"/>
                <w:szCs w:val="24"/>
                <w:lang w:val="es-ES" w:eastAsia="es-MX"/>
              </w:rPr>
              <w:t>ANEXOS</w:t>
            </w:r>
          </w:p>
        </w:tc>
        <w:tc>
          <w:tcPr>
            <w:tcW w:w="790" w:type="dxa"/>
          </w:tcPr>
          <w:p w:rsidR="009E178D" w:rsidRPr="009D7D0D" w:rsidRDefault="009E178D" w:rsidP="00F35FB4">
            <w:pPr>
              <w:jc w:val="right"/>
              <w:rPr>
                <w:rFonts w:ascii="Arial" w:hAnsi="Arial" w:cs="Arial"/>
                <w:b/>
                <w:color w:val="000000"/>
                <w:sz w:val="24"/>
                <w:szCs w:val="24"/>
                <w:lang w:val="es-ES"/>
              </w:rPr>
            </w:pPr>
          </w:p>
        </w:tc>
      </w:tr>
      <w:tr w:rsidR="00740B4F" w:rsidRPr="009D7D0D" w:rsidTr="00740B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88" w:type="dxa"/>
            <w:tcBorders>
              <w:top w:val="nil"/>
              <w:left w:val="nil"/>
              <w:bottom w:val="nil"/>
              <w:right w:val="nil"/>
            </w:tcBorders>
          </w:tcPr>
          <w:p w:rsidR="00740B4F" w:rsidRPr="009D7D0D" w:rsidRDefault="00740B4F" w:rsidP="00462FA4">
            <w:pPr>
              <w:ind w:left="20"/>
              <w:rPr>
                <w:rFonts w:ascii="Arial" w:hAnsi="Arial" w:cs="Arial"/>
                <w:b/>
                <w:color w:val="000000"/>
                <w:sz w:val="24"/>
                <w:szCs w:val="24"/>
                <w:lang w:val="es-ES_tradnl" w:eastAsia="es-MX"/>
              </w:rPr>
            </w:pPr>
            <w:r w:rsidRPr="009D7D0D">
              <w:rPr>
                <w:rFonts w:ascii="Arial" w:hAnsi="Arial" w:cs="Arial"/>
                <w:b/>
                <w:color w:val="000000"/>
                <w:sz w:val="24"/>
                <w:szCs w:val="24"/>
                <w:lang w:val="es-ES" w:eastAsia="es-MX"/>
              </w:rPr>
              <w:t>GLOSARIO</w:t>
            </w:r>
          </w:p>
        </w:tc>
        <w:tc>
          <w:tcPr>
            <w:tcW w:w="790" w:type="dxa"/>
            <w:tcBorders>
              <w:top w:val="nil"/>
              <w:left w:val="nil"/>
              <w:bottom w:val="nil"/>
              <w:right w:val="nil"/>
            </w:tcBorders>
          </w:tcPr>
          <w:p w:rsidR="00740B4F" w:rsidRPr="009D7D0D" w:rsidRDefault="00740B4F" w:rsidP="00F35FB4">
            <w:pPr>
              <w:jc w:val="right"/>
              <w:rPr>
                <w:rFonts w:ascii="Arial" w:hAnsi="Arial" w:cs="Arial"/>
                <w:b/>
                <w:color w:val="000000"/>
                <w:sz w:val="24"/>
                <w:szCs w:val="24"/>
                <w:lang w:val="es-ES"/>
              </w:rPr>
            </w:pPr>
          </w:p>
        </w:tc>
      </w:tr>
    </w:tbl>
    <w:p w:rsidR="009D1D47" w:rsidRPr="009D1D47" w:rsidRDefault="009D1D47" w:rsidP="009D1D47">
      <w:pPr>
        <w:spacing w:after="0" w:line="360" w:lineRule="auto"/>
        <w:ind w:left="709" w:hanging="1"/>
        <w:jc w:val="both"/>
        <w:rPr>
          <w:rFonts w:ascii="Arial" w:eastAsia="Times New Roman" w:hAnsi="Arial" w:cs="Arial"/>
          <w:color w:val="000000"/>
          <w:sz w:val="24"/>
          <w:szCs w:val="24"/>
          <w:lang w:val="es-ES" w:eastAsia="es-MX"/>
        </w:rPr>
      </w:pPr>
    </w:p>
    <w:p w:rsidR="00715958" w:rsidRDefault="00715958" w:rsidP="009D1D47">
      <w:pPr>
        <w:spacing w:after="0" w:line="360" w:lineRule="auto"/>
        <w:ind w:left="20"/>
        <w:jc w:val="both"/>
        <w:rPr>
          <w:rFonts w:ascii="Arial" w:eastAsia="Times New Roman" w:hAnsi="Arial" w:cs="Arial"/>
          <w:color w:val="000000"/>
          <w:sz w:val="24"/>
          <w:szCs w:val="24"/>
          <w:lang w:val="es-ES_tradnl" w:eastAsia="es-MX"/>
        </w:rPr>
      </w:pPr>
    </w:p>
    <w:p w:rsidR="009D1D47" w:rsidRDefault="009D1D47" w:rsidP="009D1D47">
      <w:pPr>
        <w:spacing w:after="0" w:line="360" w:lineRule="auto"/>
        <w:ind w:left="20"/>
        <w:jc w:val="both"/>
        <w:rPr>
          <w:rFonts w:ascii="Arial" w:eastAsia="Times New Roman" w:hAnsi="Arial" w:cs="Arial"/>
          <w:color w:val="000000"/>
          <w:sz w:val="24"/>
          <w:szCs w:val="24"/>
          <w:lang w:val="es-ES_tradnl" w:eastAsia="es-MX"/>
        </w:rPr>
      </w:pPr>
    </w:p>
    <w:p w:rsidR="009D1D47" w:rsidRDefault="009D1D47" w:rsidP="009D1D47">
      <w:pPr>
        <w:spacing w:after="0" w:line="360" w:lineRule="auto"/>
        <w:ind w:left="20"/>
        <w:jc w:val="both"/>
        <w:rPr>
          <w:rFonts w:ascii="Arial" w:eastAsia="Times New Roman" w:hAnsi="Arial" w:cs="Arial"/>
          <w:color w:val="000000"/>
          <w:sz w:val="24"/>
          <w:szCs w:val="24"/>
          <w:lang w:val="es-ES_tradnl" w:eastAsia="es-MX"/>
        </w:rPr>
      </w:pPr>
    </w:p>
    <w:p w:rsidR="009D1D47" w:rsidRPr="009D1D47" w:rsidRDefault="009D1D47" w:rsidP="009D1D47">
      <w:pPr>
        <w:spacing w:after="0" w:line="360" w:lineRule="auto"/>
        <w:ind w:left="20"/>
        <w:jc w:val="both"/>
        <w:rPr>
          <w:rFonts w:ascii="Arial" w:eastAsia="Times New Roman" w:hAnsi="Arial" w:cs="Arial"/>
          <w:color w:val="000000"/>
          <w:sz w:val="24"/>
          <w:szCs w:val="24"/>
          <w:lang w:val="es-ES_tradnl" w:eastAsia="es-MX"/>
        </w:rPr>
      </w:pPr>
    </w:p>
    <w:p w:rsidR="009D1D47" w:rsidRPr="009D1D47"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_tradnl" w:eastAsia="es-MX"/>
        </w:rPr>
      </w:pPr>
    </w:p>
    <w:p w:rsidR="006E7F92" w:rsidRPr="009D1D47" w:rsidRDefault="006E7F92"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Pr="0062212F"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9D1D47" w:rsidRDefault="009D1D47"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62212F" w:rsidRDefault="0062212F"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62212F" w:rsidRDefault="0062212F"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62212F" w:rsidRDefault="0062212F"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62212F" w:rsidRDefault="0062212F"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7D5832" w:rsidRDefault="007D5832"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353591" w:rsidRDefault="00353591"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353591" w:rsidRDefault="00353591"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353591" w:rsidRDefault="00353591"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353591" w:rsidRDefault="00353591" w:rsidP="009D1D47">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62212F" w:rsidRPr="00E816EE" w:rsidRDefault="00E8351C" w:rsidP="0062212F">
      <w:pPr>
        <w:spacing w:after="0" w:line="360" w:lineRule="auto"/>
        <w:jc w:val="center"/>
        <w:rPr>
          <w:rFonts w:ascii="Arial" w:eastAsia="Times New Roman" w:hAnsi="Arial" w:cs="Arial"/>
          <w:b/>
          <w:sz w:val="24"/>
          <w:szCs w:val="24"/>
          <w:lang w:val="es-ES"/>
        </w:rPr>
      </w:pPr>
      <w:r w:rsidRPr="00E816EE">
        <w:rPr>
          <w:rFonts w:ascii="Arial" w:eastAsia="Times New Roman" w:hAnsi="Arial" w:cs="Arial"/>
          <w:b/>
          <w:sz w:val="24"/>
          <w:szCs w:val="24"/>
          <w:lang w:val="es-ES"/>
        </w:rPr>
        <w:lastRenderedPageBreak/>
        <w:t xml:space="preserve">ÍNDICE DE GRÁFICAS, </w:t>
      </w:r>
      <w:r w:rsidR="0062212F" w:rsidRPr="00E816EE">
        <w:rPr>
          <w:rFonts w:ascii="Arial" w:eastAsia="Times New Roman" w:hAnsi="Arial" w:cs="Arial"/>
          <w:b/>
          <w:sz w:val="24"/>
          <w:szCs w:val="24"/>
          <w:lang w:val="es-ES"/>
        </w:rPr>
        <w:t>TABLAS</w:t>
      </w:r>
      <w:r w:rsidRPr="00E816EE">
        <w:rPr>
          <w:rFonts w:ascii="Arial" w:eastAsia="Times New Roman" w:hAnsi="Arial" w:cs="Arial"/>
          <w:b/>
          <w:sz w:val="24"/>
          <w:szCs w:val="24"/>
          <w:lang w:val="es-ES"/>
        </w:rPr>
        <w:t xml:space="preserve"> E IMAGENES</w:t>
      </w:r>
    </w:p>
    <w:p w:rsidR="000233F2" w:rsidRPr="00E816EE" w:rsidRDefault="000233F2" w:rsidP="0062212F">
      <w:pPr>
        <w:spacing w:after="0" w:line="360" w:lineRule="auto"/>
        <w:jc w:val="center"/>
        <w:rPr>
          <w:rFonts w:ascii="Arial" w:eastAsia="Times New Roman" w:hAnsi="Arial" w:cs="Arial"/>
          <w:b/>
          <w:sz w:val="24"/>
          <w:szCs w:val="24"/>
          <w:lang w:val="es-ES"/>
        </w:rPr>
      </w:pPr>
    </w:p>
    <w:p w:rsidR="000233F2" w:rsidRPr="00E816EE" w:rsidRDefault="000233F2" w:rsidP="000233F2">
      <w:pPr>
        <w:pStyle w:val="Tabladeilustraciones"/>
        <w:tabs>
          <w:tab w:val="right" w:pos="8828"/>
        </w:tabs>
        <w:spacing w:after="120"/>
        <w:rPr>
          <w:rFonts w:ascii="Arial" w:hAnsi="Arial" w:cs="Arial"/>
          <w:noProof/>
          <w:sz w:val="24"/>
          <w:szCs w:val="24"/>
        </w:rPr>
      </w:pPr>
      <w:r w:rsidRPr="00E816EE">
        <w:rPr>
          <w:rFonts w:ascii="Arial" w:eastAsia="Times New Roman" w:hAnsi="Arial" w:cs="Arial"/>
          <w:sz w:val="24"/>
          <w:szCs w:val="24"/>
          <w:lang w:val="es-ES" w:eastAsia="es-MX"/>
        </w:rPr>
        <w:fldChar w:fldCharType="begin"/>
      </w:r>
      <w:r w:rsidRPr="00E816EE">
        <w:rPr>
          <w:rFonts w:ascii="Arial" w:eastAsia="Times New Roman" w:hAnsi="Arial" w:cs="Arial"/>
          <w:sz w:val="24"/>
          <w:szCs w:val="24"/>
          <w:lang w:val="es-ES" w:eastAsia="es-MX"/>
        </w:rPr>
        <w:instrText xml:space="preserve"> TOC \h \z \c "Gráfica" </w:instrText>
      </w:r>
      <w:r w:rsidRPr="00E816EE">
        <w:rPr>
          <w:rFonts w:ascii="Arial" w:eastAsia="Times New Roman" w:hAnsi="Arial" w:cs="Arial"/>
          <w:sz w:val="24"/>
          <w:szCs w:val="24"/>
          <w:lang w:val="es-ES" w:eastAsia="es-MX"/>
        </w:rPr>
        <w:fldChar w:fldCharType="separate"/>
      </w:r>
      <w:hyperlink w:anchor="_Toc510525569" w:history="1">
        <w:r w:rsidRPr="00E816EE">
          <w:rPr>
            <w:rStyle w:val="Hipervnculo"/>
            <w:rFonts w:ascii="Arial" w:hAnsi="Arial" w:cs="Arial"/>
            <w:noProof/>
            <w:color w:val="auto"/>
            <w:sz w:val="24"/>
            <w:szCs w:val="24"/>
          </w:rPr>
          <w:t>Gráfica 1: Ministración Fondos Ramo General 33 (2010-2016)</w:t>
        </w:r>
        <w:r w:rsidRPr="00E816EE">
          <w:rPr>
            <w:rFonts w:ascii="Arial" w:hAnsi="Arial" w:cs="Arial"/>
            <w:noProof/>
            <w:webHidden/>
            <w:sz w:val="24"/>
            <w:szCs w:val="24"/>
          </w:rPr>
          <w:tab/>
        </w:r>
      </w:hyperlink>
      <w:r w:rsidR="003A55D6">
        <w:rPr>
          <w:rFonts w:ascii="Arial" w:hAnsi="Arial" w:cs="Arial"/>
          <w:noProof/>
          <w:sz w:val="24"/>
          <w:szCs w:val="24"/>
        </w:rPr>
        <w:t>24</w:t>
      </w:r>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0" w:history="1">
        <w:r w:rsidR="000233F2" w:rsidRPr="00E816EE">
          <w:rPr>
            <w:rStyle w:val="Hipervnculo"/>
            <w:rFonts w:ascii="Arial" w:hAnsi="Arial" w:cs="Arial"/>
            <w:noProof/>
            <w:color w:val="auto"/>
            <w:sz w:val="24"/>
            <w:szCs w:val="24"/>
          </w:rPr>
          <w:t>Gráfica 2: Ejercicio recursos FAETA</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_Toc510525570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73</w:t>
        </w:r>
        <w:r w:rsidR="000233F2" w:rsidRPr="00E816EE">
          <w:rPr>
            <w:rFonts w:ascii="Arial" w:hAnsi="Arial" w:cs="Arial"/>
            <w:noProof/>
            <w:webHidden/>
            <w:sz w:val="24"/>
            <w:szCs w:val="24"/>
          </w:rPr>
          <w:fldChar w:fldCharType="end"/>
        </w:r>
      </w:hyperlink>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1" w:history="1">
        <w:r w:rsidR="000233F2" w:rsidRPr="00E816EE">
          <w:rPr>
            <w:rStyle w:val="Hipervnculo"/>
            <w:rFonts w:ascii="Arial" w:hAnsi="Arial" w:cs="Arial"/>
            <w:noProof/>
            <w:color w:val="auto"/>
            <w:sz w:val="24"/>
            <w:szCs w:val="24"/>
          </w:rPr>
          <w:t>Gráfica 3</w:t>
        </w:r>
        <w:r w:rsidR="008C6C80" w:rsidRPr="00E816EE">
          <w:rPr>
            <w:rStyle w:val="Hipervnculo"/>
            <w:rFonts w:ascii="Arial" w:hAnsi="Arial" w:cs="Arial"/>
            <w:noProof/>
            <w:color w:val="auto"/>
            <w:sz w:val="24"/>
            <w:szCs w:val="24"/>
          </w:rPr>
          <w:t>: Ejercicio recursos FAFEF</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_Toc510525571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73</w:t>
        </w:r>
        <w:r w:rsidR="000233F2" w:rsidRPr="00E816EE">
          <w:rPr>
            <w:rFonts w:ascii="Arial" w:hAnsi="Arial" w:cs="Arial"/>
            <w:noProof/>
            <w:webHidden/>
            <w:sz w:val="24"/>
            <w:szCs w:val="24"/>
          </w:rPr>
          <w:fldChar w:fldCharType="end"/>
        </w:r>
      </w:hyperlink>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2" w:history="1">
        <w:r w:rsidR="000233F2" w:rsidRPr="00E816EE">
          <w:rPr>
            <w:rStyle w:val="Hipervnculo"/>
            <w:rFonts w:ascii="Arial" w:hAnsi="Arial" w:cs="Arial"/>
            <w:noProof/>
            <w:color w:val="auto"/>
            <w:sz w:val="24"/>
            <w:szCs w:val="24"/>
          </w:rPr>
          <w:t>Gráfica 4</w:t>
        </w:r>
        <w:r w:rsidR="0053390C" w:rsidRPr="00E816EE">
          <w:rPr>
            <w:rStyle w:val="Hipervnculo"/>
            <w:rFonts w:ascii="Arial" w:hAnsi="Arial" w:cs="Arial"/>
            <w:noProof/>
            <w:color w:val="auto"/>
            <w:sz w:val="24"/>
            <w:szCs w:val="24"/>
          </w:rPr>
          <w:t>: Ejercicio recursos FAM</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_Toc510525572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74</w:t>
        </w:r>
        <w:r w:rsidR="000233F2" w:rsidRPr="00E816EE">
          <w:rPr>
            <w:rFonts w:ascii="Arial" w:hAnsi="Arial" w:cs="Arial"/>
            <w:noProof/>
            <w:webHidden/>
            <w:sz w:val="24"/>
            <w:szCs w:val="24"/>
          </w:rPr>
          <w:fldChar w:fldCharType="end"/>
        </w:r>
      </w:hyperlink>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3" w:history="1">
        <w:r w:rsidR="000233F2" w:rsidRPr="00E816EE">
          <w:rPr>
            <w:rStyle w:val="Hipervnculo"/>
            <w:rFonts w:ascii="Arial" w:hAnsi="Arial" w:cs="Arial"/>
            <w:noProof/>
            <w:color w:val="auto"/>
            <w:sz w:val="24"/>
            <w:szCs w:val="24"/>
          </w:rPr>
          <w:t>Gráfica 5</w:t>
        </w:r>
        <w:r w:rsidR="0053390C" w:rsidRPr="00E816EE">
          <w:rPr>
            <w:rStyle w:val="Hipervnculo"/>
            <w:rFonts w:ascii="Arial" w:hAnsi="Arial" w:cs="Arial"/>
            <w:noProof/>
            <w:color w:val="auto"/>
            <w:sz w:val="24"/>
            <w:szCs w:val="24"/>
          </w:rPr>
          <w:t>: Ejercicio recursos FASP</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_Toc510525573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74</w:t>
        </w:r>
        <w:r w:rsidR="000233F2" w:rsidRPr="00E816EE">
          <w:rPr>
            <w:rFonts w:ascii="Arial" w:hAnsi="Arial" w:cs="Arial"/>
            <w:noProof/>
            <w:webHidden/>
            <w:sz w:val="24"/>
            <w:szCs w:val="24"/>
          </w:rPr>
          <w:fldChar w:fldCharType="end"/>
        </w:r>
      </w:hyperlink>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4" w:history="1">
        <w:r w:rsidR="000233F2" w:rsidRPr="00E816EE">
          <w:rPr>
            <w:rStyle w:val="Hipervnculo"/>
            <w:rFonts w:ascii="Arial" w:hAnsi="Arial" w:cs="Arial"/>
            <w:noProof/>
            <w:color w:val="auto"/>
            <w:sz w:val="24"/>
            <w:szCs w:val="24"/>
          </w:rPr>
          <w:t>Gráfica 6</w:t>
        </w:r>
        <w:r w:rsidR="0053390C" w:rsidRPr="00E816EE">
          <w:rPr>
            <w:rStyle w:val="Hipervnculo"/>
            <w:rFonts w:ascii="Arial" w:hAnsi="Arial" w:cs="Arial"/>
            <w:noProof/>
            <w:color w:val="auto"/>
            <w:sz w:val="24"/>
            <w:szCs w:val="24"/>
          </w:rPr>
          <w:t>: Ejercicio recursos FASSA</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_Toc510525574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75</w:t>
        </w:r>
        <w:r w:rsidR="000233F2" w:rsidRPr="00E816EE">
          <w:rPr>
            <w:rFonts w:ascii="Arial" w:hAnsi="Arial" w:cs="Arial"/>
            <w:noProof/>
            <w:webHidden/>
            <w:sz w:val="24"/>
            <w:szCs w:val="24"/>
          </w:rPr>
          <w:fldChar w:fldCharType="end"/>
        </w:r>
      </w:hyperlink>
    </w:p>
    <w:p w:rsidR="000233F2" w:rsidRPr="00E816EE" w:rsidRDefault="00976B25" w:rsidP="000233F2">
      <w:pPr>
        <w:pStyle w:val="Tabladeilustraciones"/>
        <w:tabs>
          <w:tab w:val="right" w:pos="8828"/>
        </w:tabs>
        <w:spacing w:after="120"/>
        <w:rPr>
          <w:rFonts w:ascii="Arial" w:hAnsi="Arial" w:cs="Arial"/>
          <w:noProof/>
          <w:sz w:val="24"/>
          <w:szCs w:val="24"/>
        </w:rPr>
      </w:pPr>
      <w:hyperlink w:anchor="_Toc510525575" w:history="1">
        <w:r w:rsidR="000233F2" w:rsidRPr="00E816EE">
          <w:rPr>
            <w:rStyle w:val="Hipervnculo"/>
            <w:rFonts w:ascii="Arial" w:hAnsi="Arial" w:cs="Arial"/>
            <w:noProof/>
            <w:color w:val="auto"/>
            <w:sz w:val="24"/>
            <w:szCs w:val="24"/>
          </w:rPr>
          <w:t>Gráfica 7</w:t>
        </w:r>
        <w:r w:rsidR="0053390C" w:rsidRPr="00E816EE">
          <w:rPr>
            <w:rStyle w:val="Hipervnculo"/>
            <w:rFonts w:ascii="Arial" w:hAnsi="Arial" w:cs="Arial"/>
            <w:noProof/>
            <w:color w:val="auto"/>
            <w:sz w:val="24"/>
            <w:szCs w:val="24"/>
          </w:rPr>
          <w:t>: Ejercicio recursos FISE</w:t>
        </w:r>
        <w:r w:rsidR="000233F2" w:rsidRPr="00E816EE">
          <w:rPr>
            <w:rFonts w:ascii="Arial" w:hAnsi="Arial" w:cs="Arial"/>
            <w:noProof/>
            <w:webHidden/>
            <w:sz w:val="24"/>
            <w:szCs w:val="24"/>
          </w:rPr>
          <w:tab/>
        </w:r>
        <w:r w:rsidR="000233F2" w:rsidRPr="00E816EE">
          <w:rPr>
            <w:rFonts w:ascii="Arial" w:hAnsi="Arial" w:cs="Arial"/>
            <w:noProof/>
            <w:webHidden/>
            <w:sz w:val="24"/>
            <w:szCs w:val="24"/>
          </w:rPr>
          <w:fldChar w:fldCharType="begin"/>
        </w:r>
        <w:r w:rsidR="000233F2" w:rsidRPr="00E816EE">
          <w:rPr>
            <w:rFonts w:ascii="Arial" w:hAnsi="Arial" w:cs="Arial"/>
            <w:noProof/>
            <w:webHidden/>
            <w:sz w:val="24"/>
            <w:szCs w:val="24"/>
          </w:rPr>
          <w:instrText xml:space="preserve"> PAGEREF _Toc510525575 \h </w:instrText>
        </w:r>
        <w:r w:rsidR="000233F2" w:rsidRPr="00E816EE">
          <w:rPr>
            <w:rFonts w:ascii="Arial" w:hAnsi="Arial" w:cs="Arial"/>
            <w:noProof/>
            <w:webHidden/>
            <w:sz w:val="24"/>
            <w:szCs w:val="24"/>
          </w:rPr>
        </w:r>
        <w:r w:rsidR="000233F2" w:rsidRPr="00E816EE">
          <w:rPr>
            <w:rFonts w:ascii="Arial" w:hAnsi="Arial" w:cs="Arial"/>
            <w:noProof/>
            <w:webHidden/>
            <w:sz w:val="24"/>
            <w:szCs w:val="24"/>
          </w:rPr>
          <w:fldChar w:fldCharType="separate"/>
        </w:r>
        <w:r w:rsidR="004D25BA">
          <w:rPr>
            <w:rFonts w:ascii="Arial" w:hAnsi="Arial" w:cs="Arial"/>
            <w:noProof/>
            <w:webHidden/>
            <w:sz w:val="24"/>
            <w:szCs w:val="24"/>
          </w:rPr>
          <w:t>75</w:t>
        </w:r>
        <w:r w:rsidR="000233F2" w:rsidRPr="00E816EE">
          <w:rPr>
            <w:rFonts w:ascii="Arial" w:hAnsi="Arial" w:cs="Arial"/>
            <w:noProof/>
            <w:webHidden/>
            <w:sz w:val="24"/>
            <w:szCs w:val="24"/>
          </w:rPr>
          <w:fldChar w:fldCharType="end"/>
        </w:r>
      </w:hyperlink>
    </w:p>
    <w:p w:rsidR="00461079" w:rsidRPr="00E816EE" w:rsidRDefault="000233F2" w:rsidP="00461079">
      <w:pPr>
        <w:pStyle w:val="Tabladeilustraciones"/>
        <w:tabs>
          <w:tab w:val="right" w:pos="8828"/>
        </w:tabs>
        <w:spacing w:after="120"/>
        <w:rPr>
          <w:rStyle w:val="Hipervnculo"/>
          <w:rFonts w:ascii="Arial" w:hAnsi="Arial" w:cs="Arial"/>
          <w:color w:val="auto"/>
          <w:sz w:val="24"/>
          <w:szCs w:val="24"/>
        </w:rPr>
      </w:pPr>
      <w:r w:rsidRPr="00E816EE">
        <w:rPr>
          <w:rFonts w:ascii="Arial" w:eastAsia="Times New Roman" w:hAnsi="Arial" w:cs="Arial"/>
          <w:sz w:val="24"/>
          <w:szCs w:val="24"/>
          <w:lang w:val="es-ES" w:eastAsia="es-MX"/>
        </w:rPr>
        <w:fldChar w:fldCharType="end"/>
      </w:r>
      <w:r w:rsidR="00461079" w:rsidRPr="00E816EE">
        <w:rPr>
          <w:rFonts w:ascii="Arial" w:eastAsia="Times New Roman" w:hAnsi="Arial" w:cs="Arial"/>
          <w:sz w:val="24"/>
          <w:szCs w:val="24"/>
          <w:lang w:val="es-ES" w:eastAsia="es-MX"/>
        </w:rPr>
        <w:fldChar w:fldCharType="begin"/>
      </w:r>
      <w:r w:rsidR="00461079" w:rsidRPr="00E816EE">
        <w:rPr>
          <w:rFonts w:ascii="Arial" w:eastAsia="Times New Roman" w:hAnsi="Arial" w:cs="Arial"/>
          <w:sz w:val="24"/>
          <w:szCs w:val="24"/>
          <w:lang w:val="es-ES" w:eastAsia="es-MX"/>
        </w:rPr>
        <w:instrText xml:space="preserve"> TOC \h \z \c "Tabla" </w:instrText>
      </w:r>
      <w:r w:rsidR="00461079" w:rsidRPr="00E816EE">
        <w:rPr>
          <w:rFonts w:ascii="Arial" w:eastAsia="Times New Roman" w:hAnsi="Arial" w:cs="Arial"/>
          <w:sz w:val="24"/>
          <w:szCs w:val="24"/>
          <w:lang w:val="es-ES" w:eastAsia="es-MX"/>
        </w:rPr>
        <w:fldChar w:fldCharType="separate"/>
      </w:r>
      <w:hyperlink w:anchor="_Toc510526008" w:history="1">
        <w:r w:rsidR="00461079" w:rsidRPr="00E816EE">
          <w:rPr>
            <w:rStyle w:val="Hipervnculo"/>
            <w:rFonts w:ascii="Arial" w:hAnsi="Arial" w:cs="Arial"/>
            <w:noProof/>
            <w:color w:val="auto"/>
            <w:sz w:val="24"/>
            <w:szCs w:val="24"/>
          </w:rPr>
          <w:t>Tabla 1</w:t>
        </w:r>
        <w:r w:rsidR="00255628" w:rsidRPr="00E816EE">
          <w:rPr>
            <w:rStyle w:val="Hipervnculo"/>
            <w:rFonts w:ascii="Arial" w:hAnsi="Arial" w:cs="Arial"/>
            <w:noProof/>
            <w:color w:val="auto"/>
            <w:sz w:val="24"/>
            <w:szCs w:val="24"/>
          </w:rPr>
          <w:t>: Comparativo denuncias y procedimientos administrativos</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_Toc510526008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14</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09" w:history="1">
        <w:r w:rsidR="00461079" w:rsidRPr="00E816EE">
          <w:rPr>
            <w:rStyle w:val="Hipervnculo"/>
            <w:rFonts w:ascii="Arial" w:hAnsi="Arial" w:cs="Arial"/>
            <w:noProof/>
            <w:color w:val="auto"/>
            <w:sz w:val="24"/>
            <w:szCs w:val="24"/>
          </w:rPr>
          <w:t>Tabla 2</w:t>
        </w:r>
        <w:r w:rsidR="00255628" w:rsidRPr="00E816EE">
          <w:rPr>
            <w:rStyle w:val="Hipervnculo"/>
            <w:rFonts w:ascii="Arial" w:hAnsi="Arial" w:cs="Arial"/>
            <w:noProof/>
            <w:color w:val="auto"/>
            <w:sz w:val="24"/>
            <w:szCs w:val="24"/>
          </w:rPr>
          <w:t>: Entidades con mayor incidencia en corrupción</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_Toc510526009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15</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0" w:history="1">
        <w:r w:rsidR="00461079" w:rsidRPr="00E816EE">
          <w:rPr>
            <w:rStyle w:val="Hipervnculo"/>
            <w:rFonts w:ascii="Arial" w:hAnsi="Arial" w:cs="Arial"/>
            <w:noProof/>
            <w:color w:val="auto"/>
            <w:sz w:val="24"/>
            <w:szCs w:val="24"/>
          </w:rPr>
          <w:t>Tabla 3</w:t>
        </w:r>
        <w:r w:rsidR="00255628" w:rsidRPr="00E816EE">
          <w:rPr>
            <w:rStyle w:val="Hipervnculo"/>
            <w:rFonts w:ascii="Arial" w:hAnsi="Arial" w:cs="Arial"/>
            <w:noProof/>
            <w:color w:val="auto"/>
            <w:sz w:val="24"/>
            <w:szCs w:val="24"/>
          </w:rPr>
          <w:t>: Organizaciones regionales de la INTOSAI</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_Toc510526010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20</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1" w:history="1">
        <w:r w:rsidR="00461079" w:rsidRPr="00E816EE">
          <w:rPr>
            <w:rStyle w:val="Hipervnculo"/>
            <w:rFonts w:ascii="Arial" w:hAnsi="Arial" w:cs="Arial"/>
            <w:noProof/>
            <w:color w:val="auto"/>
            <w:sz w:val="24"/>
            <w:szCs w:val="24"/>
          </w:rPr>
          <w:t>Tabla 4</w:t>
        </w:r>
        <w:r w:rsidR="00255628" w:rsidRPr="00E816EE">
          <w:rPr>
            <w:rStyle w:val="Hipervnculo"/>
            <w:rFonts w:ascii="Arial" w:hAnsi="Arial" w:cs="Arial"/>
            <w:noProof/>
            <w:color w:val="auto"/>
            <w:sz w:val="24"/>
            <w:szCs w:val="24"/>
          </w:rPr>
          <w:t>:Comparativo de recursos ministrados (Ley de Ingresos y Ramo 33)</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_Toc510526011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25</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2" w:history="1">
        <w:r w:rsidR="00461079" w:rsidRPr="00E816EE">
          <w:rPr>
            <w:rStyle w:val="Hipervnculo"/>
            <w:rFonts w:ascii="Arial" w:hAnsi="Arial" w:cs="Arial"/>
            <w:noProof/>
            <w:color w:val="auto"/>
            <w:sz w:val="24"/>
            <w:szCs w:val="24"/>
          </w:rPr>
          <w:t>Tabla 5</w:t>
        </w:r>
        <w:r w:rsidR="00255628" w:rsidRPr="00E816EE">
          <w:rPr>
            <w:rStyle w:val="Hipervnculo"/>
            <w:rFonts w:ascii="Arial" w:hAnsi="Arial" w:cs="Arial"/>
            <w:noProof/>
            <w:color w:val="auto"/>
            <w:sz w:val="24"/>
            <w:szCs w:val="24"/>
          </w:rPr>
          <w:t>: Marco Normativo OSFEM</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_Toc510526012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38</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3" w:history="1">
        <w:r w:rsidR="00461079" w:rsidRPr="00E816EE">
          <w:rPr>
            <w:rStyle w:val="Hipervnculo"/>
            <w:rFonts w:ascii="Arial" w:hAnsi="Arial" w:cs="Arial"/>
            <w:noProof/>
            <w:color w:val="auto"/>
            <w:sz w:val="24"/>
            <w:szCs w:val="24"/>
          </w:rPr>
          <w:t>Tabla 6</w:t>
        </w:r>
        <w:r w:rsidR="00255628" w:rsidRPr="00E816EE">
          <w:rPr>
            <w:rStyle w:val="Hipervnculo"/>
            <w:rFonts w:ascii="Arial" w:hAnsi="Arial" w:cs="Arial"/>
            <w:noProof/>
            <w:color w:val="auto"/>
            <w:sz w:val="24"/>
            <w:szCs w:val="24"/>
          </w:rPr>
          <w:t>: Marco Normativo OSFEM</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_Toc510526013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39</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4" w:history="1">
        <w:r w:rsidR="00461079" w:rsidRPr="00E816EE">
          <w:rPr>
            <w:rStyle w:val="Hipervnculo"/>
            <w:rFonts w:ascii="Arial" w:hAnsi="Arial" w:cs="Arial"/>
            <w:noProof/>
            <w:color w:val="auto"/>
            <w:sz w:val="24"/>
            <w:szCs w:val="24"/>
          </w:rPr>
          <w:t>Tabla 7</w:t>
        </w:r>
        <w:r w:rsidR="00255628" w:rsidRPr="00E816EE">
          <w:rPr>
            <w:rStyle w:val="Hipervnculo"/>
            <w:rFonts w:ascii="Arial" w:hAnsi="Arial" w:cs="Arial"/>
            <w:noProof/>
            <w:color w:val="auto"/>
            <w:sz w:val="24"/>
            <w:szCs w:val="24"/>
          </w:rPr>
          <w:t>: Facultades del Auditor Superior</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_Toc510526014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41</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5" w:history="1">
        <w:r w:rsidR="00461079" w:rsidRPr="00E816EE">
          <w:rPr>
            <w:rStyle w:val="Hipervnculo"/>
            <w:rFonts w:ascii="Arial" w:hAnsi="Arial" w:cs="Arial"/>
            <w:noProof/>
            <w:color w:val="auto"/>
            <w:sz w:val="24"/>
            <w:szCs w:val="24"/>
          </w:rPr>
          <w:t>Tabla 8</w:t>
        </w:r>
        <w:r w:rsidR="005866DE" w:rsidRPr="00E816EE">
          <w:rPr>
            <w:rStyle w:val="Hipervnculo"/>
            <w:rFonts w:ascii="Arial" w:hAnsi="Arial" w:cs="Arial"/>
            <w:noProof/>
            <w:color w:val="auto"/>
            <w:sz w:val="24"/>
            <w:szCs w:val="24"/>
          </w:rPr>
          <w:t>: Facultades del Auditor Especial</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_Toc510526015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44</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6" w:history="1">
        <w:r w:rsidR="00461079" w:rsidRPr="00E816EE">
          <w:rPr>
            <w:rStyle w:val="Hipervnculo"/>
            <w:rFonts w:ascii="Arial" w:hAnsi="Arial" w:cs="Arial"/>
            <w:noProof/>
            <w:color w:val="auto"/>
            <w:sz w:val="24"/>
            <w:szCs w:val="24"/>
          </w:rPr>
          <w:t>Tabla 9</w:t>
        </w:r>
        <w:r w:rsidR="005866DE" w:rsidRPr="00E816EE">
          <w:rPr>
            <w:rStyle w:val="Hipervnculo"/>
            <w:rFonts w:ascii="Arial" w:hAnsi="Arial" w:cs="Arial"/>
            <w:noProof/>
            <w:color w:val="auto"/>
            <w:sz w:val="24"/>
            <w:szCs w:val="24"/>
          </w:rPr>
          <w:t>: D</w:t>
        </w:r>
        <w:r w:rsidR="005866DE" w:rsidRPr="00E816EE">
          <w:rPr>
            <w:rFonts w:ascii="Arial" w:hAnsi="Arial" w:cs="Arial"/>
            <w:sz w:val="24"/>
            <w:szCs w:val="24"/>
          </w:rPr>
          <w:t>ependencias coordinadoras de los Fondos</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_Toc510526016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55</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7" w:history="1">
        <w:r w:rsidR="00461079" w:rsidRPr="00E816EE">
          <w:rPr>
            <w:rStyle w:val="Hipervnculo"/>
            <w:rFonts w:ascii="Arial" w:hAnsi="Arial" w:cs="Arial"/>
            <w:noProof/>
            <w:color w:val="auto"/>
            <w:sz w:val="24"/>
            <w:szCs w:val="24"/>
          </w:rPr>
          <w:t>Tabla 10</w:t>
        </w:r>
        <w:r w:rsidR="005866DE" w:rsidRPr="00E816EE">
          <w:rPr>
            <w:rStyle w:val="Hipervnculo"/>
            <w:rFonts w:ascii="Arial" w:hAnsi="Arial" w:cs="Arial"/>
            <w:noProof/>
            <w:color w:val="auto"/>
            <w:sz w:val="24"/>
            <w:szCs w:val="24"/>
          </w:rPr>
          <w:t>: Aportaciones Federales ministradas al Estado (1998 – 2016)</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_Toc510526017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56</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Style w:val="Hipervnculo"/>
          <w:rFonts w:ascii="Arial" w:hAnsi="Arial" w:cs="Arial"/>
          <w:color w:val="auto"/>
          <w:sz w:val="24"/>
          <w:szCs w:val="24"/>
        </w:rPr>
      </w:pPr>
      <w:hyperlink w:anchor="_Toc510526018" w:history="1">
        <w:r w:rsidR="00461079" w:rsidRPr="00E816EE">
          <w:rPr>
            <w:rStyle w:val="Hipervnculo"/>
            <w:rFonts w:ascii="Arial" w:hAnsi="Arial" w:cs="Arial"/>
            <w:noProof/>
            <w:color w:val="auto"/>
            <w:sz w:val="24"/>
            <w:szCs w:val="24"/>
          </w:rPr>
          <w:t>Tabla 11</w:t>
        </w:r>
        <w:r w:rsidR="005866DE" w:rsidRPr="00E816EE">
          <w:rPr>
            <w:rStyle w:val="Hipervnculo"/>
            <w:rFonts w:ascii="Arial" w:hAnsi="Arial" w:cs="Arial"/>
            <w:noProof/>
            <w:color w:val="auto"/>
            <w:sz w:val="24"/>
            <w:szCs w:val="24"/>
          </w:rPr>
          <w:t>: Indicadores de desempeño aplicados al Ramo General 33</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_Toc510526018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62</w:t>
        </w:r>
        <w:r w:rsidR="00461079" w:rsidRPr="00E816EE">
          <w:rPr>
            <w:rStyle w:val="Hipervnculo"/>
            <w:rFonts w:ascii="Arial" w:hAnsi="Arial" w:cs="Arial"/>
            <w:webHidden/>
            <w:color w:val="auto"/>
            <w:sz w:val="24"/>
            <w:szCs w:val="24"/>
          </w:rPr>
          <w:fldChar w:fldCharType="end"/>
        </w:r>
      </w:hyperlink>
    </w:p>
    <w:p w:rsidR="00461079" w:rsidRPr="00E816EE" w:rsidRDefault="00976B25" w:rsidP="00461079">
      <w:pPr>
        <w:pStyle w:val="Tabladeilustraciones"/>
        <w:tabs>
          <w:tab w:val="right" w:pos="8828"/>
        </w:tabs>
        <w:spacing w:after="120"/>
        <w:rPr>
          <w:rFonts w:eastAsiaTheme="minorEastAsia"/>
          <w:noProof/>
          <w:lang w:eastAsia="es-MX"/>
        </w:rPr>
      </w:pPr>
      <w:hyperlink w:anchor="_Toc510526019" w:history="1">
        <w:r w:rsidR="00461079" w:rsidRPr="00E816EE">
          <w:rPr>
            <w:rStyle w:val="Hipervnculo"/>
            <w:rFonts w:ascii="Arial" w:hAnsi="Arial" w:cs="Arial"/>
            <w:noProof/>
            <w:color w:val="auto"/>
            <w:sz w:val="24"/>
            <w:szCs w:val="24"/>
          </w:rPr>
          <w:t>Tabla 12</w:t>
        </w:r>
        <w:r w:rsidR="005866DE" w:rsidRPr="00E816EE">
          <w:rPr>
            <w:rStyle w:val="Hipervnculo"/>
            <w:rFonts w:ascii="Arial" w:hAnsi="Arial" w:cs="Arial"/>
            <w:noProof/>
            <w:color w:val="auto"/>
            <w:sz w:val="24"/>
            <w:szCs w:val="24"/>
          </w:rPr>
          <w:t>: Correlación Entidades Fiscalizables con los Fondos</w:t>
        </w:r>
        <w:r w:rsidR="00461079" w:rsidRPr="00E816EE">
          <w:rPr>
            <w:rStyle w:val="Hipervnculo"/>
            <w:rFonts w:ascii="Arial" w:hAnsi="Arial" w:cs="Arial"/>
            <w:webHidden/>
            <w:color w:val="auto"/>
            <w:sz w:val="24"/>
            <w:szCs w:val="24"/>
          </w:rPr>
          <w:tab/>
        </w:r>
        <w:r w:rsidR="00461079" w:rsidRPr="00E816EE">
          <w:rPr>
            <w:rStyle w:val="Hipervnculo"/>
            <w:rFonts w:ascii="Arial" w:hAnsi="Arial" w:cs="Arial"/>
            <w:webHidden/>
            <w:color w:val="auto"/>
            <w:sz w:val="24"/>
            <w:szCs w:val="24"/>
          </w:rPr>
          <w:fldChar w:fldCharType="begin"/>
        </w:r>
        <w:r w:rsidR="00461079" w:rsidRPr="00E816EE">
          <w:rPr>
            <w:rStyle w:val="Hipervnculo"/>
            <w:rFonts w:ascii="Arial" w:hAnsi="Arial" w:cs="Arial"/>
            <w:webHidden/>
            <w:color w:val="auto"/>
            <w:sz w:val="24"/>
            <w:szCs w:val="24"/>
          </w:rPr>
          <w:instrText xml:space="preserve"> PAGEREF _Toc510526019 \h </w:instrText>
        </w:r>
        <w:r w:rsidR="00461079" w:rsidRPr="00E816EE">
          <w:rPr>
            <w:rStyle w:val="Hipervnculo"/>
            <w:rFonts w:ascii="Arial" w:hAnsi="Arial" w:cs="Arial"/>
            <w:webHidden/>
            <w:color w:val="auto"/>
            <w:sz w:val="24"/>
            <w:szCs w:val="24"/>
          </w:rPr>
        </w:r>
        <w:r w:rsidR="00461079" w:rsidRPr="00E816EE">
          <w:rPr>
            <w:rStyle w:val="Hipervnculo"/>
            <w:rFonts w:ascii="Arial" w:hAnsi="Arial" w:cs="Arial"/>
            <w:webHidden/>
            <w:color w:val="auto"/>
            <w:sz w:val="24"/>
            <w:szCs w:val="24"/>
          </w:rPr>
          <w:fldChar w:fldCharType="separate"/>
        </w:r>
        <w:r w:rsidR="004D25BA">
          <w:rPr>
            <w:rStyle w:val="Hipervnculo"/>
            <w:rFonts w:ascii="Arial" w:hAnsi="Arial" w:cs="Arial"/>
            <w:noProof/>
            <w:webHidden/>
            <w:color w:val="auto"/>
            <w:sz w:val="24"/>
            <w:szCs w:val="24"/>
          </w:rPr>
          <w:t>66</w:t>
        </w:r>
        <w:r w:rsidR="00461079" w:rsidRPr="00E816EE">
          <w:rPr>
            <w:rStyle w:val="Hipervnculo"/>
            <w:rFonts w:ascii="Arial" w:hAnsi="Arial" w:cs="Arial"/>
            <w:webHidden/>
            <w:color w:val="auto"/>
            <w:sz w:val="24"/>
            <w:szCs w:val="24"/>
          </w:rPr>
          <w:fldChar w:fldCharType="end"/>
        </w:r>
      </w:hyperlink>
    </w:p>
    <w:p w:rsidR="0062212F" w:rsidRPr="00E816EE" w:rsidRDefault="00461079" w:rsidP="00164B89">
      <w:pPr>
        <w:tabs>
          <w:tab w:val="left" w:pos="720"/>
          <w:tab w:val="left" w:pos="8553"/>
        </w:tabs>
        <w:spacing w:after="120" w:line="240" w:lineRule="auto"/>
        <w:rPr>
          <w:rFonts w:ascii="Arial" w:eastAsia="Times New Roman" w:hAnsi="Arial" w:cs="Arial"/>
          <w:sz w:val="24"/>
          <w:szCs w:val="24"/>
          <w:lang w:val="es-ES" w:eastAsia="es-MX"/>
        </w:rPr>
      </w:pPr>
      <w:r w:rsidRPr="00E816EE">
        <w:rPr>
          <w:rFonts w:ascii="Arial" w:eastAsia="Times New Roman" w:hAnsi="Arial" w:cs="Arial"/>
          <w:sz w:val="24"/>
          <w:szCs w:val="24"/>
          <w:lang w:val="es-ES" w:eastAsia="es-MX"/>
        </w:rPr>
        <w:fldChar w:fldCharType="end"/>
      </w:r>
      <w:r w:rsidR="00F4065F" w:rsidRPr="00E816EE">
        <w:rPr>
          <w:rFonts w:ascii="Arial" w:eastAsia="Times New Roman" w:hAnsi="Arial" w:cs="Arial"/>
          <w:sz w:val="24"/>
          <w:szCs w:val="24"/>
          <w:lang w:val="es-ES" w:eastAsia="es-MX"/>
        </w:rPr>
        <w:t xml:space="preserve">Imagen 1: Reporte </w:t>
      </w:r>
      <w:r w:rsidR="00164B89" w:rsidRPr="00E816EE">
        <w:rPr>
          <w:rFonts w:ascii="Arial" w:eastAsia="Times New Roman" w:hAnsi="Arial" w:cs="Arial"/>
          <w:sz w:val="24"/>
          <w:szCs w:val="24"/>
          <w:lang w:val="es-ES" w:eastAsia="es-MX"/>
        </w:rPr>
        <w:t>SIEP (</w:t>
      </w:r>
      <w:r w:rsidR="00F4065F" w:rsidRPr="00E816EE">
        <w:rPr>
          <w:rFonts w:ascii="Arial" w:eastAsia="Times New Roman" w:hAnsi="Arial" w:cs="Arial"/>
          <w:sz w:val="24"/>
          <w:szCs w:val="24"/>
          <w:lang w:val="es-ES" w:eastAsia="es-MX"/>
        </w:rPr>
        <w:t>indicador</w:t>
      </w:r>
      <w:r w:rsidR="00164B89" w:rsidRPr="00E816EE">
        <w:rPr>
          <w:rFonts w:ascii="Arial" w:eastAsia="Times New Roman" w:hAnsi="Arial" w:cs="Arial"/>
          <w:sz w:val="24"/>
          <w:szCs w:val="24"/>
          <w:lang w:val="es-ES" w:eastAsia="es-MX"/>
        </w:rPr>
        <w:t>)</w:t>
      </w:r>
      <w:r w:rsidR="00F4065F" w:rsidRPr="00E816EE">
        <w:rPr>
          <w:rFonts w:ascii="Arial" w:eastAsia="Times New Roman" w:hAnsi="Arial" w:cs="Arial"/>
          <w:sz w:val="24"/>
          <w:szCs w:val="24"/>
          <w:lang w:val="es-ES" w:eastAsia="es-MX"/>
        </w:rPr>
        <w:tab/>
        <w:t>58</w:t>
      </w:r>
    </w:p>
    <w:p w:rsidR="00F4065F" w:rsidRPr="00E816EE" w:rsidRDefault="00F4065F" w:rsidP="00164B89">
      <w:pPr>
        <w:tabs>
          <w:tab w:val="left" w:pos="720"/>
          <w:tab w:val="left" w:pos="8525"/>
          <w:tab w:val="left" w:pos="8644"/>
        </w:tabs>
        <w:spacing w:after="120" w:line="240" w:lineRule="auto"/>
        <w:jc w:val="both"/>
        <w:rPr>
          <w:rFonts w:ascii="Arial" w:eastAsia="Times New Roman" w:hAnsi="Arial" w:cs="Arial"/>
          <w:sz w:val="24"/>
          <w:szCs w:val="24"/>
          <w:lang w:val="es-ES" w:eastAsia="es-MX"/>
        </w:rPr>
      </w:pPr>
      <w:r w:rsidRPr="00E816EE">
        <w:rPr>
          <w:rFonts w:ascii="Arial" w:eastAsia="Times New Roman" w:hAnsi="Arial" w:cs="Arial"/>
          <w:sz w:val="24"/>
          <w:szCs w:val="24"/>
          <w:lang w:val="es-ES" w:eastAsia="es-MX"/>
        </w:rPr>
        <w:t>Imagen 2:</w:t>
      </w:r>
      <w:r w:rsidR="00164B89" w:rsidRPr="00E816EE">
        <w:rPr>
          <w:rFonts w:ascii="Arial" w:eastAsia="Times New Roman" w:hAnsi="Arial" w:cs="Arial"/>
          <w:sz w:val="24"/>
          <w:szCs w:val="24"/>
          <w:lang w:val="es-ES" w:eastAsia="es-MX"/>
        </w:rPr>
        <w:t xml:space="preserve"> Reporte SIEP (seguimiento del indicador)</w:t>
      </w:r>
      <w:r w:rsidR="00164B89" w:rsidRPr="00E816EE">
        <w:rPr>
          <w:rFonts w:ascii="Arial" w:eastAsia="Times New Roman" w:hAnsi="Arial" w:cs="Arial"/>
          <w:sz w:val="24"/>
          <w:szCs w:val="24"/>
          <w:lang w:val="es-ES" w:eastAsia="es-MX"/>
        </w:rPr>
        <w:tab/>
        <w:t>59</w:t>
      </w:r>
    </w:p>
    <w:p w:rsidR="00255628" w:rsidRPr="00E816EE" w:rsidRDefault="00255628" w:rsidP="00BD52C0">
      <w:pPr>
        <w:tabs>
          <w:tab w:val="left" w:pos="720"/>
          <w:tab w:val="left" w:pos="7401"/>
          <w:tab w:val="left" w:pos="8644"/>
        </w:tabs>
        <w:spacing w:after="0" w:line="360" w:lineRule="auto"/>
        <w:jc w:val="both"/>
        <w:rPr>
          <w:rFonts w:ascii="Arial" w:eastAsia="Times New Roman" w:hAnsi="Arial" w:cs="Arial"/>
          <w:sz w:val="24"/>
          <w:szCs w:val="24"/>
          <w:lang w:val="es-ES" w:eastAsia="es-MX"/>
        </w:rPr>
      </w:pPr>
    </w:p>
    <w:p w:rsidR="00164B89" w:rsidRPr="0062212F" w:rsidRDefault="00164B89" w:rsidP="00BD52C0">
      <w:pPr>
        <w:tabs>
          <w:tab w:val="left" w:pos="720"/>
          <w:tab w:val="left" w:pos="7401"/>
          <w:tab w:val="left" w:pos="8644"/>
        </w:tabs>
        <w:spacing w:after="0" w:line="360" w:lineRule="auto"/>
        <w:jc w:val="both"/>
        <w:rPr>
          <w:rFonts w:ascii="Arial" w:eastAsia="Times New Roman" w:hAnsi="Arial" w:cs="Arial"/>
          <w:color w:val="000000"/>
          <w:sz w:val="24"/>
          <w:szCs w:val="24"/>
          <w:lang w:val="es-ES" w:eastAsia="es-MX"/>
        </w:rPr>
      </w:pPr>
    </w:p>
    <w:p w:rsidR="001E47CD" w:rsidRDefault="001E47CD" w:rsidP="00BD52C0">
      <w:pPr>
        <w:tabs>
          <w:tab w:val="left" w:pos="720"/>
          <w:tab w:val="left" w:pos="7401"/>
          <w:tab w:val="left" w:pos="8644"/>
        </w:tabs>
        <w:spacing w:after="0" w:line="360" w:lineRule="auto"/>
        <w:jc w:val="both"/>
        <w:rPr>
          <w:rFonts w:ascii="Arial" w:eastAsia="Times New Roman" w:hAnsi="Arial" w:cs="Arial"/>
          <w:b/>
          <w:sz w:val="24"/>
          <w:szCs w:val="24"/>
          <w:lang w:eastAsia="es-MX"/>
        </w:rPr>
        <w:sectPr w:rsidR="001E47CD">
          <w:footerReference w:type="default" r:id="rId13"/>
          <w:pgSz w:w="12240" w:h="15840"/>
          <w:pgMar w:top="1417" w:right="1701" w:bottom="1417" w:left="1701" w:header="708" w:footer="708" w:gutter="0"/>
          <w:cols w:space="708"/>
          <w:docGrid w:linePitch="360"/>
        </w:sectPr>
      </w:pPr>
    </w:p>
    <w:p w:rsidR="00CC2B11" w:rsidRPr="009D1D47" w:rsidRDefault="00CC2B11" w:rsidP="009D1D47">
      <w:pPr>
        <w:spacing w:after="0" w:line="360" w:lineRule="auto"/>
        <w:jc w:val="center"/>
        <w:rPr>
          <w:rFonts w:ascii="Arial" w:hAnsi="Arial" w:cs="Arial"/>
          <w:b/>
          <w:sz w:val="24"/>
          <w:szCs w:val="24"/>
        </w:rPr>
      </w:pPr>
      <w:r w:rsidRPr="009D1D47">
        <w:rPr>
          <w:rFonts w:ascii="Arial" w:hAnsi="Arial" w:cs="Arial"/>
          <w:b/>
          <w:sz w:val="24"/>
          <w:szCs w:val="24"/>
        </w:rPr>
        <w:lastRenderedPageBreak/>
        <w:t>INTRODUCCIÓN</w:t>
      </w:r>
    </w:p>
    <w:p w:rsidR="00CC2B11" w:rsidRPr="009D1D47" w:rsidRDefault="00CC2B11" w:rsidP="009D1D47">
      <w:pPr>
        <w:spacing w:after="0" w:line="360" w:lineRule="auto"/>
        <w:jc w:val="both"/>
        <w:rPr>
          <w:rFonts w:ascii="Arial" w:hAnsi="Arial" w:cs="Arial"/>
          <w:sz w:val="24"/>
          <w:szCs w:val="24"/>
        </w:rPr>
      </w:pPr>
    </w:p>
    <w:p w:rsidR="00CC2B11" w:rsidRPr="009D1D47" w:rsidRDefault="00CC2B11" w:rsidP="009D1D47">
      <w:pPr>
        <w:pStyle w:val="Default"/>
        <w:spacing w:line="360" w:lineRule="auto"/>
        <w:jc w:val="both"/>
      </w:pPr>
      <w:r w:rsidRPr="009D1D47">
        <w:t>La gobernanza es definida como una combinación de procesos y estructuras implementadas por la junta gerencial con el fin de informar, dirigir, administrar y supervisar las actividades de la organización hacia el logro de sus objetivos. La gobernanza está integrada por la transparencia, la rendición de cuentas y el escrutinio público.</w:t>
      </w:r>
    </w:p>
    <w:p w:rsidR="00CC2B11" w:rsidRPr="009D1D47" w:rsidRDefault="00CC2B11" w:rsidP="009D1D47">
      <w:pPr>
        <w:pStyle w:val="Default"/>
        <w:spacing w:line="360" w:lineRule="auto"/>
        <w:jc w:val="both"/>
      </w:pPr>
    </w:p>
    <w:p w:rsidR="00CC2B11" w:rsidRPr="009D1D47" w:rsidRDefault="00CC2B11" w:rsidP="009D1D47">
      <w:pPr>
        <w:pStyle w:val="Default"/>
        <w:spacing w:line="360" w:lineRule="auto"/>
        <w:jc w:val="both"/>
      </w:pPr>
      <w:r w:rsidRPr="009D1D47">
        <w:t>En el sector público, la gobernanza refiere a los logros que se encuentran establecidos y cumplidos, también incluye las actividades que aseguran la credibilidad del sector público, establecen la obtención de servicios equitativos y asegura el comportamiento apropiado de los servidores públicos del gobierno reduciendo el riesgo de corrupción.</w:t>
      </w:r>
    </w:p>
    <w:p w:rsidR="00CC2B11" w:rsidRPr="009D1D47" w:rsidRDefault="00CC2B11" w:rsidP="009D1D47">
      <w:pPr>
        <w:pStyle w:val="Default"/>
        <w:spacing w:line="360" w:lineRule="auto"/>
        <w:jc w:val="both"/>
      </w:pPr>
    </w:p>
    <w:p w:rsidR="00CC2B11" w:rsidRPr="009D1D47" w:rsidRDefault="00CC2B11" w:rsidP="009D1D47">
      <w:pPr>
        <w:pStyle w:val="Default"/>
        <w:spacing w:line="360" w:lineRule="auto"/>
        <w:jc w:val="both"/>
      </w:pPr>
      <w:r w:rsidRPr="009D1D47">
        <w:t>La fiscalización funge como pieza angular de un gobierno en el sector público, al realizar evaluaciones imparciales y objetivas de los recursos públicos, comunicando de manera responsable y eficaz los resultados obtenidos para la rendición de cuentas e integridad, lo que promueve la confianza entre los ciudadanos y las partes interesadas.</w:t>
      </w:r>
    </w:p>
    <w:p w:rsidR="00CC2B11" w:rsidRPr="009D1D47" w:rsidRDefault="00CC2B11" w:rsidP="009D1D47">
      <w:pPr>
        <w:pStyle w:val="Default"/>
        <w:spacing w:line="360" w:lineRule="auto"/>
        <w:jc w:val="both"/>
      </w:pPr>
    </w:p>
    <w:p w:rsidR="00CC2B11" w:rsidRPr="009D1D47" w:rsidRDefault="00CC2B11" w:rsidP="009D1D47">
      <w:pPr>
        <w:pStyle w:val="Default"/>
        <w:spacing w:line="360" w:lineRule="auto"/>
        <w:jc w:val="both"/>
      </w:pPr>
      <w:r w:rsidRPr="009D1D47">
        <w:t>El rol del auditor en el sector público apoya las responsabilidades como la supervisión, la planeación y la previsión de gobierno.</w:t>
      </w:r>
    </w:p>
    <w:p w:rsidR="00CC2B11" w:rsidRPr="009D1D47" w:rsidRDefault="00CC2B11" w:rsidP="009D1D47">
      <w:pPr>
        <w:pStyle w:val="Default"/>
        <w:spacing w:line="360" w:lineRule="auto"/>
        <w:jc w:val="both"/>
      </w:pPr>
    </w:p>
    <w:p w:rsidR="00CC2B11" w:rsidRPr="009D1D47" w:rsidRDefault="00CC2B11" w:rsidP="009D1D47">
      <w:pPr>
        <w:pStyle w:val="Default"/>
        <w:spacing w:line="360" w:lineRule="auto"/>
        <w:jc w:val="both"/>
      </w:pPr>
      <w:r w:rsidRPr="009D1D47">
        <w:t>La supervisión de las entidades del sector público regula lo que tiene que hacer, detecta y previene la corrupción pública; el realizar una eficiente planeación ayuda a la toma de decisiones, ya que permite una evaluación independiente en programas, políticas, operaciones y resultados del sector público; la previsión identifica tendencias y desafíos emergentes. Una eficaz fiscalización en el sector público fortalece su administración, incrementando una adecuada rendición de cuentas.</w:t>
      </w:r>
    </w:p>
    <w:p w:rsidR="00CC2B11" w:rsidRPr="009D1D47" w:rsidRDefault="00CC2B11" w:rsidP="009D1D47">
      <w:pPr>
        <w:pStyle w:val="Default"/>
        <w:spacing w:line="360" w:lineRule="auto"/>
        <w:jc w:val="both"/>
      </w:pPr>
      <w:r w:rsidRPr="009D1D47">
        <w:lastRenderedPageBreak/>
        <w:t>Los auditores utilizan herramientas como las auditorias, evaluaciones e indicadores para cumplir con cada uno de estos roles, promoviendo la equidad, credibilidad y un comportamiento apropiado de los servidores en la administración pública, lo que reduce el riesgo de corrupción.</w:t>
      </w:r>
    </w:p>
    <w:p w:rsidR="00CC2B11" w:rsidRPr="009D1D47" w:rsidRDefault="00CC2B11" w:rsidP="009D1D47">
      <w:pPr>
        <w:pStyle w:val="Default"/>
        <w:spacing w:line="360" w:lineRule="auto"/>
        <w:jc w:val="both"/>
      </w:pPr>
    </w:p>
    <w:p w:rsidR="00C22879" w:rsidRPr="009D1D47" w:rsidRDefault="008727DD" w:rsidP="009D1D47">
      <w:pPr>
        <w:spacing w:after="0" w:line="360" w:lineRule="auto"/>
        <w:jc w:val="both"/>
        <w:rPr>
          <w:rFonts w:ascii="Arial" w:hAnsi="Arial" w:cs="Arial"/>
          <w:sz w:val="24"/>
          <w:szCs w:val="24"/>
        </w:rPr>
      </w:pPr>
      <w:r w:rsidRPr="009D1D47">
        <w:rPr>
          <w:rFonts w:ascii="Arial" w:hAnsi="Arial" w:cs="Arial"/>
          <w:sz w:val="24"/>
          <w:szCs w:val="24"/>
        </w:rPr>
        <w:t>Por consiguiente, los objetivos que se desea</w:t>
      </w:r>
      <w:r w:rsidR="002624C9" w:rsidRPr="009D1D47">
        <w:rPr>
          <w:rFonts w:ascii="Arial" w:hAnsi="Arial" w:cs="Arial"/>
          <w:sz w:val="24"/>
          <w:szCs w:val="24"/>
        </w:rPr>
        <w:t>n</w:t>
      </w:r>
      <w:r w:rsidRPr="009D1D47">
        <w:rPr>
          <w:rFonts w:ascii="Arial" w:hAnsi="Arial" w:cs="Arial"/>
          <w:sz w:val="24"/>
          <w:szCs w:val="24"/>
        </w:rPr>
        <w:t xml:space="preserve"> alcanzar con el estudio realizado en este documento son:</w:t>
      </w:r>
    </w:p>
    <w:p w:rsidR="008751E9" w:rsidRPr="009D1D47" w:rsidRDefault="008751E9" w:rsidP="009D1D47">
      <w:pPr>
        <w:pStyle w:val="Prrafodelista"/>
        <w:spacing w:after="0" w:line="360" w:lineRule="auto"/>
        <w:jc w:val="both"/>
        <w:rPr>
          <w:rFonts w:ascii="Arial" w:hAnsi="Arial" w:cs="Arial"/>
          <w:sz w:val="24"/>
          <w:szCs w:val="24"/>
        </w:rPr>
      </w:pPr>
    </w:p>
    <w:p w:rsidR="006F43DF" w:rsidRPr="009D1D47" w:rsidRDefault="006F43DF" w:rsidP="009D1D47">
      <w:pPr>
        <w:pStyle w:val="Prrafodelista"/>
        <w:numPr>
          <w:ilvl w:val="0"/>
          <w:numId w:val="12"/>
        </w:numPr>
        <w:spacing w:after="0" w:line="360" w:lineRule="auto"/>
        <w:jc w:val="both"/>
        <w:rPr>
          <w:rFonts w:ascii="Arial" w:hAnsi="Arial" w:cs="Arial"/>
          <w:sz w:val="24"/>
          <w:szCs w:val="24"/>
        </w:rPr>
      </w:pPr>
      <w:r w:rsidRPr="009D1D47">
        <w:rPr>
          <w:rFonts w:ascii="Arial" w:hAnsi="Arial" w:cs="Arial"/>
          <w:sz w:val="24"/>
          <w:szCs w:val="24"/>
        </w:rPr>
        <w:t>Analizar la evolución de la Fiscalización de recursos públicos.</w:t>
      </w:r>
    </w:p>
    <w:p w:rsidR="006F43DF" w:rsidRPr="009D1D47" w:rsidRDefault="006F43DF" w:rsidP="009D1D47">
      <w:pPr>
        <w:pStyle w:val="Prrafodelista"/>
        <w:spacing w:after="0" w:line="360" w:lineRule="auto"/>
        <w:ind w:left="1274" w:hanging="565"/>
        <w:jc w:val="both"/>
        <w:rPr>
          <w:rFonts w:ascii="Arial" w:hAnsi="Arial" w:cs="Arial"/>
          <w:sz w:val="24"/>
          <w:szCs w:val="24"/>
        </w:rPr>
      </w:pPr>
      <w:r w:rsidRPr="009D1D47">
        <w:rPr>
          <w:rFonts w:ascii="Arial" w:hAnsi="Arial" w:cs="Arial"/>
          <w:sz w:val="24"/>
          <w:szCs w:val="24"/>
        </w:rPr>
        <w:t>1.1</w:t>
      </w:r>
      <w:r w:rsidRPr="009D1D47">
        <w:rPr>
          <w:rFonts w:ascii="Arial" w:hAnsi="Arial" w:cs="Arial"/>
          <w:sz w:val="24"/>
          <w:szCs w:val="24"/>
        </w:rPr>
        <w:tab/>
        <w:t>Dar a conocer el Marco Histórico y Antecedentes del Órgano Superior del Estado de México (OSFEM).</w:t>
      </w:r>
    </w:p>
    <w:p w:rsidR="006F43DF" w:rsidRPr="009D1D47" w:rsidRDefault="006F43DF" w:rsidP="009D1D47">
      <w:pPr>
        <w:pStyle w:val="Prrafodelista"/>
        <w:spacing w:after="0" w:line="360" w:lineRule="auto"/>
        <w:jc w:val="both"/>
        <w:rPr>
          <w:rFonts w:ascii="Arial" w:hAnsi="Arial" w:cs="Arial"/>
          <w:sz w:val="24"/>
          <w:szCs w:val="24"/>
        </w:rPr>
      </w:pPr>
    </w:p>
    <w:p w:rsidR="006F43DF" w:rsidRPr="009D1D47" w:rsidRDefault="006F43DF" w:rsidP="009D1D47">
      <w:pPr>
        <w:pStyle w:val="Prrafodelista"/>
        <w:numPr>
          <w:ilvl w:val="0"/>
          <w:numId w:val="12"/>
        </w:numPr>
        <w:spacing w:after="0" w:line="360" w:lineRule="auto"/>
        <w:jc w:val="both"/>
        <w:rPr>
          <w:rFonts w:ascii="Arial" w:hAnsi="Arial" w:cs="Arial"/>
          <w:sz w:val="24"/>
          <w:szCs w:val="24"/>
        </w:rPr>
      </w:pPr>
      <w:r w:rsidRPr="009D1D47">
        <w:rPr>
          <w:rFonts w:ascii="Arial" w:hAnsi="Arial" w:cs="Arial"/>
          <w:sz w:val="24"/>
          <w:szCs w:val="24"/>
        </w:rPr>
        <w:t xml:space="preserve">Exponer la estructura funcional con la que cuenta el OSFEM. </w:t>
      </w:r>
    </w:p>
    <w:p w:rsidR="006F43DF" w:rsidRPr="009D1D47" w:rsidRDefault="006F43DF" w:rsidP="009D1D47">
      <w:pPr>
        <w:pStyle w:val="Prrafodelista"/>
        <w:spacing w:after="0" w:line="360" w:lineRule="auto"/>
        <w:ind w:left="1274" w:hanging="546"/>
        <w:jc w:val="both"/>
        <w:rPr>
          <w:rFonts w:ascii="Arial" w:hAnsi="Arial" w:cs="Arial"/>
          <w:sz w:val="24"/>
          <w:szCs w:val="24"/>
        </w:rPr>
      </w:pPr>
      <w:r w:rsidRPr="009D1D47">
        <w:rPr>
          <w:rFonts w:ascii="Arial" w:hAnsi="Arial" w:cs="Arial"/>
          <w:sz w:val="24"/>
          <w:szCs w:val="24"/>
        </w:rPr>
        <w:t>2.1</w:t>
      </w:r>
      <w:r w:rsidRPr="009D1D47">
        <w:rPr>
          <w:rFonts w:ascii="Arial" w:hAnsi="Arial" w:cs="Arial"/>
          <w:sz w:val="24"/>
          <w:szCs w:val="24"/>
        </w:rPr>
        <w:tab/>
        <w:t>Corroborar la factibilidad de que la Subdirección de Evaluación de Programas Federales (SEPF), lleve a cabo la Fiscalización de recursos públicos a través de indicadores.</w:t>
      </w:r>
    </w:p>
    <w:p w:rsidR="006F43DF" w:rsidRPr="009D1D47" w:rsidRDefault="006F43DF" w:rsidP="009D1D47">
      <w:pPr>
        <w:pStyle w:val="Prrafodelista"/>
        <w:spacing w:after="0" w:line="360" w:lineRule="auto"/>
        <w:jc w:val="both"/>
        <w:rPr>
          <w:rFonts w:ascii="Arial" w:hAnsi="Arial" w:cs="Arial"/>
          <w:sz w:val="24"/>
          <w:szCs w:val="24"/>
        </w:rPr>
      </w:pPr>
    </w:p>
    <w:p w:rsidR="006F43DF" w:rsidRPr="009D1D47" w:rsidRDefault="006F43DF" w:rsidP="009D1D47">
      <w:pPr>
        <w:pStyle w:val="Prrafodelista"/>
        <w:numPr>
          <w:ilvl w:val="0"/>
          <w:numId w:val="12"/>
        </w:numPr>
        <w:spacing w:after="0" w:line="360" w:lineRule="auto"/>
        <w:jc w:val="both"/>
        <w:rPr>
          <w:rFonts w:ascii="Arial" w:hAnsi="Arial" w:cs="Arial"/>
          <w:sz w:val="24"/>
          <w:szCs w:val="24"/>
        </w:rPr>
      </w:pPr>
      <w:r w:rsidRPr="009D1D47">
        <w:rPr>
          <w:rFonts w:ascii="Arial" w:hAnsi="Arial" w:cs="Arial"/>
          <w:sz w:val="24"/>
          <w:szCs w:val="24"/>
        </w:rPr>
        <w:t>Explicar en qué consisten el Ramo General 33 y su evaluación a través de Indicadores, como herramienta de fiscalización.</w:t>
      </w:r>
    </w:p>
    <w:p w:rsidR="006F43DF" w:rsidRPr="009D1D47" w:rsidRDefault="006F43DF" w:rsidP="009D1D47">
      <w:pPr>
        <w:pStyle w:val="Prrafodelista"/>
        <w:spacing w:after="0" w:line="360" w:lineRule="auto"/>
        <w:ind w:left="1276" w:hanging="548"/>
        <w:jc w:val="both"/>
        <w:rPr>
          <w:rFonts w:ascii="Arial" w:hAnsi="Arial" w:cs="Arial"/>
          <w:sz w:val="24"/>
          <w:szCs w:val="24"/>
        </w:rPr>
      </w:pPr>
      <w:r w:rsidRPr="009D1D47">
        <w:rPr>
          <w:rFonts w:ascii="Arial" w:hAnsi="Arial" w:cs="Arial"/>
          <w:sz w:val="24"/>
          <w:szCs w:val="24"/>
        </w:rPr>
        <w:t>3.1</w:t>
      </w:r>
      <w:r w:rsidRPr="009D1D47">
        <w:rPr>
          <w:rFonts w:ascii="Arial" w:hAnsi="Arial" w:cs="Arial"/>
          <w:sz w:val="24"/>
          <w:szCs w:val="24"/>
        </w:rPr>
        <w:tab/>
        <w:t>Conocer si los Indicadores aplicados al Ramo General 33 son herramientas útiles para identificar oportunidades de mejora dentro del desarrollo de procesos y aplicación de recursos por parte de los administradores y ejecutores de estos.</w:t>
      </w:r>
    </w:p>
    <w:p w:rsidR="00677BCD" w:rsidRPr="009D1D47" w:rsidRDefault="00677BCD" w:rsidP="009D1D47">
      <w:pPr>
        <w:pStyle w:val="Prrafodelista"/>
        <w:spacing w:after="0" w:line="360" w:lineRule="auto"/>
        <w:jc w:val="both"/>
        <w:rPr>
          <w:rFonts w:ascii="Arial" w:hAnsi="Arial" w:cs="Arial"/>
          <w:sz w:val="24"/>
          <w:szCs w:val="24"/>
        </w:rPr>
      </w:pPr>
    </w:p>
    <w:p w:rsidR="006F43DF" w:rsidRPr="009D1D47" w:rsidRDefault="002624C9" w:rsidP="009D1D47">
      <w:pPr>
        <w:pStyle w:val="Default"/>
        <w:spacing w:line="360" w:lineRule="auto"/>
        <w:jc w:val="both"/>
        <w:rPr>
          <w:rFonts w:eastAsia="Times New Roman"/>
        </w:rPr>
      </w:pPr>
      <w:r w:rsidRPr="009D1D47">
        <w:t>Lo anterior se justifica en las actualizaciones e innovaciones que se han ido desarrollando en el transcurso del tiempo ya que c</w:t>
      </w:r>
      <w:r w:rsidR="006F43DF" w:rsidRPr="009D1D47">
        <w:rPr>
          <w:rFonts w:eastAsia="Times New Roman"/>
        </w:rPr>
        <w:t xml:space="preserve">on base en el Plan Nacional de Desarrollo (PND) 2013 – 2018, donde se expone la ruta que el Gobierno de la República ha trazado para contribuir de manera eficaz a que los mexicanos podamos lograr que México alcance su máximo potencial factible para alcanzar el </w:t>
      </w:r>
      <w:r w:rsidR="006F43DF" w:rsidRPr="009D1D47">
        <w:rPr>
          <w:rFonts w:eastAsia="Times New Roman"/>
        </w:rPr>
        <w:lastRenderedPageBreak/>
        <w:t>Desarrollo Humano Sustentable</w:t>
      </w:r>
      <w:r w:rsidR="006F43DF" w:rsidRPr="009D1D47">
        <w:rPr>
          <w:rStyle w:val="Refdenotaalpie"/>
          <w:rFonts w:eastAsia="Times New Roman"/>
        </w:rPr>
        <w:footnoteReference w:id="1"/>
      </w:r>
      <w:r w:rsidR="006F43DF" w:rsidRPr="009D1D47">
        <w:rPr>
          <w:rFonts w:eastAsia="Times New Roman"/>
        </w:rPr>
        <w:t>, el cual demanda acciones de mayor profundidad e impacto, por lo cual se deben implementar nuevos enfoques que permitan la eficacia y eficiencia en la Administración Pública y elevar su impacto en la sociedad y en la economía del país.</w:t>
      </w:r>
    </w:p>
    <w:p w:rsidR="008751E9" w:rsidRPr="009D1D47" w:rsidRDefault="008751E9" w:rsidP="009D1D47">
      <w:pPr>
        <w:pStyle w:val="Default"/>
        <w:spacing w:line="360" w:lineRule="auto"/>
        <w:jc w:val="both"/>
        <w:rPr>
          <w:rFonts w:eastAsia="Times New Roman"/>
        </w:rPr>
      </w:pPr>
    </w:p>
    <w:p w:rsidR="008751E9" w:rsidRPr="009D1D47" w:rsidRDefault="008751E9" w:rsidP="009D1D47">
      <w:pPr>
        <w:spacing w:after="0" w:line="360" w:lineRule="auto"/>
        <w:jc w:val="both"/>
        <w:rPr>
          <w:rFonts w:ascii="Arial" w:hAnsi="Arial" w:cs="Arial"/>
          <w:sz w:val="24"/>
          <w:szCs w:val="24"/>
        </w:rPr>
      </w:pPr>
      <w:r w:rsidRPr="009D1D47">
        <w:rPr>
          <w:rFonts w:ascii="Arial" w:hAnsi="Arial" w:cs="Arial"/>
          <w:sz w:val="24"/>
          <w:szCs w:val="24"/>
        </w:rPr>
        <w:t>El estudio que se desarrolla en este documento se divide en tres capítulos y su objetivo está centrado en la fiscalización, a través de un Sistema Integral de Evaluación Programática (indicadores), de los recursos públicos transferidos por la Federación al Estado de México; dichas transferencias se realizan a través del instrumento denominado Ramo General 33, compuesto por ocho fondos los cuales surgieron para atender distintos problemas de la población como son: Educación, Salud, Seguridad Pública, Infraestructura Estatal y Municipal, Asistencia Social y Saneamiento Financiero.</w:t>
      </w:r>
    </w:p>
    <w:p w:rsidR="008751E9" w:rsidRPr="009D1D47" w:rsidRDefault="008751E9" w:rsidP="009D1D47">
      <w:pPr>
        <w:spacing w:after="0" w:line="360" w:lineRule="auto"/>
        <w:jc w:val="both"/>
        <w:rPr>
          <w:rFonts w:ascii="Arial" w:hAnsi="Arial" w:cs="Arial"/>
          <w:sz w:val="24"/>
          <w:szCs w:val="24"/>
        </w:rPr>
      </w:pPr>
    </w:p>
    <w:p w:rsidR="008751E9" w:rsidRPr="009D1D47" w:rsidRDefault="008751E9" w:rsidP="009D1D47">
      <w:pPr>
        <w:spacing w:after="0" w:line="360" w:lineRule="auto"/>
        <w:jc w:val="both"/>
        <w:rPr>
          <w:rFonts w:ascii="Arial" w:hAnsi="Arial" w:cs="Arial"/>
          <w:sz w:val="24"/>
          <w:szCs w:val="24"/>
        </w:rPr>
      </w:pPr>
      <w:r w:rsidRPr="009D1D47">
        <w:rPr>
          <w:rFonts w:ascii="Arial" w:hAnsi="Arial" w:cs="Arial"/>
          <w:sz w:val="24"/>
          <w:szCs w:val="24"/>
        </w:rPr>
        <w:t>El primer capítulo aborda principalmente el cómo se ha desarrollado la fiscalización de los recursos públicos en el Estado de México, lo anterior con base en que el estudio se realiza con información relativa a la entidad mexiquense y el proceso de evaluación realizado por su Órgano Fiscalizador; haciendo referencia de manera general sobre el contexto nacional e internacional.</w:t>
      </w:r>
    </w:p>
    <w:p w:rsidR="008751E9" w:rsidRPr="009D1D47" w:rsidRDefault="008751E9" w:rsidP="009D1D47">
      <w:pPr>
        <w:spacing w:after="0" w:line="360" w:lineRule="auto"/>
        <w:jc w:val="both"/>
        <w:rPr>
          <w:rFonts w:ascii="Arial" w:hAnsi="Arial" w:cs="Arial"/>
          <w:sz w:val="24"/>
          <w:szCs w:val="24"/>
        </w:rPr>
      </w:pPr>
    </w:p>
    <w:p w:rsidR="008751E9" w:rsidRPr="009D1D47" w:rsidRDefault="008751E9" w:rsidP="009D1D47">
      <w:pPr>
        <w:spacing w:after="0" w:line="360" w:lineRule="auto"/>
        <w:jc w:val="both"/>
        <w:rPr>
          <w:rFonts w:ascii="Arial" w:hAnsi="Arial" w:cs="Arial"/>
          <w:sz w:val="24"/>
          <w:szCs w:val="24"/>
        </w:rPr>
      </w:pPr>
      <w:r w:rsidRPr="009D1D47">
        <w:rPr>
          <w:rFonts w:ascii="Arial" w:hAnsi="Arial" w:cs="Arial"/>
          <w:sz w:val="24"/>
          <w:szCs w:val="24"/>
        </w:rPr>
        <w:t>Dentro del segundo capítulo, se da a conocer la legislación o normatividad que fundamenta la competencia para llevar a cabo la fiscalización de dichos recursos por el área correspondiente (Departamento de Auditoría de Desempeño a Educación y Cultura), así como la infraestructura con la que cuenta el Órgano Superior de Fiscalización del Estado de México.</w:t>
      </w:r>
    </w:p>
    <w:p w:rsidR="009E5248" w:rsidRPr="009D1D47" w:rsidRDefault="009E5248" w:rsidP="009D1D47">
      <w:pPr>
        <w:spacing w:after="0" w:line="360" w:lineRule="auto"/>
        <w:jc w:val="both"/>
        <w:rPr>
          <w:rFonts w:ascii="Arial" w:hAnsi="Arial" w:cs="Arial"/>
          <w:sz w:val="24"/>
          <w:szCs w:val="24"/>
        </w:rPr>
      </w:pPr>
    </w:p>
    <w:p w:rsidR="009E5248" w:rsidRPr="009D1D47" w:rsidRDefault="009E5248" w:rsidP="009D1D47">
      <w:pPr>
        <w:spacing w:after="0" w:line="360" w:lineRule="auto"/>
        <w:jc w:val="both"/>
        <w:rPr>
          <w:rFonts w:ascii="Arial" w:hAnsi="Arial" w:cs="Arial"/>
          <w:sz w:val="24"/>
          <w:szCs w:val="24"/>
        </w:rPr>
      </w:pPr>
    </w:p>
    <w:p w:rsidR="009E5248" w:rsidRPr="009D1D47" w:rsidRDefault="009E5248" w:rsidP="009D1D47">
      <w:pPr>
        <w:spacing w:after="0" w:line="360" w:lineRule="auto"/>
        <w:jc w:val="both"/>
        <w:rPr>
          <w:rFonts w:ascii="Arial" w:hAnsi="Arial" w:cs="Arial"/>
          <w:sz w:val="24"/>
          <w:szCs w:val="24"/>
        </w:rPr>
      </w:pPr>
    </w:p>
    <w:p w:rsidR="008751E9" w:rsidRDefault="008751E9" w:rsidP="009D1D47">
      <w:pPr>
        <w:spacing w:after="0" w:line="360" w:lineRule="auto"/>
        <w:jc w:val="both"/>
        <w:rPr>
          <w:rFonts w:ascii="Arial" w:hAnsi="Arial" w:cs="Arial"/>
          <w:sz w:val="24"/>
          <w:szCs w:val="24"/>
        </w:rPr>
      </w:pPr>
      <w:r w:rsidRPr="009D1D47">
        <w:rPr>
          <w:rFonts w:ascii="Arial" w:hAnsi="Arial" w:cs="Arial"/>
          <w:sz w:val="24"/>
          <w:szCs w:val="24"/>
        </w:rPr>
        <w:lastRenderedPageBreak/>
        <w:t>En el último capítulo, se concentra la información necesaria para conocer el instrumento utilizado por la Federación para ministrar recursos a los estados, denominado Ramo General 33; así como el Sistema Informático utilizado por el área la cual tiene la facultad de llevar a cabo la fiscalización. Aunado a lo anterior, se mencionaran las actualizaciones realizadas con respecto al proceso de evaluación en sus diferentes etapas y finalmente se mostrara el producto final (Informe de Resultados</w:t>
      </w:r>
      <w:r w:rsidR="006535DC" w:rsidRPr="009D1D47">
        <w:rPr>
          <w:rFonts w:ascii="Arial" w:hAnsi="Arial" w:cs="Arial"/>
          <w:sz w:val="24"/>
          <w:szCs w:val="24"/>
        </w:rPr>
        <w:t xml:space="preserve"> de la Evaluación del Ramo General 33</w:t>
      </w:r>
      <w:r w:rsidR="00FA2939" w:rsidRPr="009D1D47">
        <w:rPr>
          <w:rFonts w:ascii="Arial" w:hAnsi="Arial" w:cs="Arial"/>
          <w:sz w:val="24"/>
          <w:szCs w:val="24"/>
        </w:rPr>
        <w:t xml:space="preserve"> de Fondos de Aportaciones Federales al Estado de México</w:t>
      </w:r>
      <w:r w:rsidRPr="009D1D47">
        <w:rPr>
          <w:rFonts w:ascii="Arial" w:hAnsi="Arial" w:cs="Arial"/>
          <w:sz w:val="24"/>
          <w:szCs w:val="24"/>
        </w:rPr>
        <w:t>), el cual se envía de manera trimestral a la Auditoría Superior de la Federación.</w:t>
      </w:r>
    </w:p>
    <w:p w:rsidR="003F643B" w:rsidRPr="004743F3" w:rsidRDefault="003F643B" w:rsidP="009D1D47">
      <w:pPr>
        <w:spacing w:after="0" w:line="360" w:lineRule="auto"/>
        <w:jc w:val="both"/>
        <w:rPr>
          <w:rFonts w:ascii="Arial" w:hAnsi="Arial" w:cs="Arial"/>
          <w:sz w:val="24"/>
          <w:szCs w:val="24"/>
        </w:rPr>
      </w:pPr>
    </w:p>
    <w:p w:rsidR="003F643B" w:rsidRPr="004743F3" w:rsidRDefault="00161E06" w:rsidP="009D1D47">
      <w:pPr>
        <w:spacing w:after="0" w:line="360" w:lineRule="auto"/>
        <w:jc w:val="both"/>
        <w:rPr>
          <w:rFonts w:ascii="Arial" w:hAnsi="Arial" w:cs="Arial"/>
          <w:sz w:val="24"/>
          <w:szCs w:val="24"/>
        </w:rPr>
      </w:pPr>
      <w:r w:rsidRPr="004743F3">
        <w:rPr>
          <w:rFonts w:ascii="Arial" w:hAnsi="Arial" w:cs="Arial"/>
          <w:sz w:val="24"/>
          <w:szCs w:val="24"/>
        </w:rPr>
        <w:t>E</w:t>
      </w:r>
      <w:r w:rsidR="006B32DC" w:rsidRPr="004743F3">
        <w:rPr>
          <w:rFonts w:ascii="Arial" w:hAnsi="Arial" w:cs="Arial"/>
          <w:sz w:val="24"/>
          <w:szCs w:val="24"/>
        </w:rPr>
        <w:t xml:space="preserve">l alcance del </w:t>
      </w:r>
      <w:r w:rsidRPr="004743F3">
        <w:rPr>
          <w:rFonts w:ascii="Arial" w:hAnsi="Arial" w:cs="Arial"/>
          <w:sz w:val="24"/>
          <w:szCs w:val="24"/>
        </w:rPr>
        <w:t xml:space="preserve">estudio </w:t>
      </w:r>
      <w:r w:rsidR="006B32DC" w:rsidRPr="004743F3">
        <w:rPr>
          <w:rFonts w:ascii="Arial" w:hAnsi="Arial" w:cs="Arial"/>
          <w:sz w:val="24"/>
          <w:szCs w:val="24"/>
        </w:rPr>
        <w:t xml:space="preserve">se centra en </w:t>
      </w:r>
      <w:r w:rsidRPr="004743F3">
        <w:rPr>
          <w:rFonts w:ascii="Arial" w:hAnsi="Arial" w:cs="Arial"/>
          <w:sz w:val="24"/>
          <w:szCs w:val="24"/>
        </w:rPr>
        <w:t>observar</w:t>
      </w:r>
      <w:r w:rsidR="003F643B" w:rsidRPr="004743F3">
        <w:rPr>
          <w:rFonts w:ascii="Arial" w:hAnsi="Arial" w:cs="Arial"/>
          <w:sz w:val="24"/>
          <w:szCs w:val="24"/>
        </w:rPr>
        <w:t xml:space="preserve"> la </w:t>
      </w:r>
      <w:r w:rsidR="006B32DC" w:rsidRPr="004743F3">
        <w:rPr>
          <w:rFonts w:ascii="Arial" w:hAnsi="Arial" w:cs="Arial"/>
          <w:sz w:val="24"/>
          <w:szCs w:val="24"/>
        </w:rPr>
        <w:t>factibilidad</w:t>
      </w:r>
      <w:r w:rsidR="003F643B" w:rsidRPr="004743F3">
        <w:rPr>
          <w:rFonts w:ascii="Arial" w:hAnsi="Arial" w:cs="Arial"/>
          <w:sz w:val="24"/>
          <w:szCs w:val="24"/>
        </w:rPr>
        <w:t xml:space="preserve"> </w:t>
      </w:r>
      <w:r w:rsidR="006B32DC" w:rsidRPr="004743F3">
        <w:rPr>
          <w:rFonts w:ascii="Arial" w:hAnsi="Arial" w:cs="Arial"/>
          <w:sz w:val="24"/>
          <w:szCs w:val="24"/>
        </w:rPr>
        <w:t xml:space="preserve">de llevar a cabo </w:t>
      </w:r>
      <w:r w:rsidRPr="004743F3">
        <w:rPr>
          <w:rFonts w:ascii="Arial" w:hAnsi="Arial" w:cs="Arial"/>
          <w:sz w:val="24"/>
          <w:szCs w:val="24"/>
        </w:rPr>
        <w:t>la Fiscalización</w:t>
      </w:r>
      <w:r w:rsidR="006B32DC" w:rsidRPr="004743F3">
        <w:rPr>
          <w:rFonts w:ascii="Arial" w:hAnsi="Arial" w:cs="Arial"/>
          <w:sz w:val="24"/>
          <w:szCs w:val="24"/>
        </w:rPr>
        <w:t xml:space="preserve"> de recursos ministrados a</w:t>
      </w:r>
      <w:r w:rsidRPr="004743F3">
        <w:rPr>
          <w:rFonts w:ascii="Arial" w:hAnsi="Arial" w:cs="Arial"/>
          <w:sz w:val="24"/>
          <w:szCs w:val="24"/>
        </w:rPr>
        <w:t>l Estado de México</w:t>
      </w:r>
      <w:r w:rsidR="006B32DC" w:rsidRPr="004743F3">
        <w:rPr>
          <w:rFonts w:ascii="Arial" w:hAnsi="Arial" w:cs="Arial"/>
          <w:sz w:val="24"/>
          <w:szCs w:val="24"/>
        </w:rPr>
        <w:t xml:space="preserve"> por la Federación, a través del Ramo General 33</w:t>
      </w:r>
      <w:r w:rsidRPr="004743F3">
        <w:rPr>
          <w:rFonts w:ascii="Arial" w:hAnsi="Arial" w:cs="Arial"/>
          <w:sz w:val="24"/>
          <w:szCs w:val="24"/>
        </w:rPr>
        <w:t xml:space="preserve">, </w:t>
      </w:r>
      <w:r w:rsidR="006B32DC" w:rsidRPr="004743F3">
        <w:rPr>
          <w:rFonts w:ascii="Arial" w:hAnsi="Arial" w:cs="Arial"/>
          <w:sz w:val="24"/>
          <w:szCs w:val="24"/>
        </w:rPr>
        <w:t>aplicando</w:t>
      </w:r>
      <w:r w:rsidRPr="004743F3">
        <w:rPr>
          <w:rFonts w:ascii="Arial" w:hAnsi="Arial" w:cs="Arial"/>
          <w:sz w:val="24"/>
          <w:szCs w:val="24"/>
        </w:rPr>
        <w:t xml:space="preserve"> indicadores de desempeño</w:t>
      </w:r>
      <w:r w:rsidR="006B32DC" w:rsidRPr="004743F3">
        <w:rPr>
          <w:rFonts w:ascii="Arial" w:hAnsi="Arial" w:cs="Arial"/>
          <w:sz w:val="24"/>
          <w:szCs w:val="24"/>
        </w:rPr>
        <w:t>; lo anterior con base a la necesidad inherente de mejorar la custodia, administración y transparencia de los fondos públicos aplicados.</w:t>
      </w:r>
    </w:p>
    <w:p w:rsidR="006B32DC" w:rsidRPr="004743F3" w:rsidRDefault="006B32DC" w:rsidP="009D1D47">
      <w:pPr>
        <w:spacing w:after="0" w:line="360" w:lineRule="auto"/>
        <w:jc w:val="both"/>
        <w:rPr>
          <w:rFonts w:ascii="Arial" w:hAnsi="Arial" w:cs="Arial"/>
          <w:sz w:val="24"/>
          <w:szCs w:val="24"/>
        </w:rPr>
      </w:pPr>
    </w:p>
    <w:p w:rsidR="008751E9" w:rsidRPr="004743F3" w:rsidRDefault="006B32DC" w:rsidP="009D1D47">
      <w:pPr>
        <w:pStyle w:val="Default"/>
        <w:spacing w:line="360" w:lineRule="auto"/>
        <w:jc w:val="both"/>
        <w:rPr>
          <w:color w:val="auto"/>
        </w:rPr>
      </w:pPr>
      <w:r w:rsidRPr="004743F3">
        <w:rPr>
          <w:rFonts w:eastAsia="Times New Roman"/>
          <w:color w:val="auto"/>
        </w:rPr>
        <w:t>A</w:t>
      </w:r>
      <w:r w:rsidR="00B64649" w:rsidRPr="004743F3">
        <w:rPr>
          <w:rFonts w:eastAsia="Times New Roman"/>
          <w:color w:val="auto"/>
        </w:rPr>
        <w:t>l tratarse de recursos públicos, la</w:t>
      </w:r>
      <w:r w:rsidR="009E5248" w:rsidRPr="004743F3">
        <w:rPr>
          <w:rFonts w:eastAsia="Times New Roman"/>
          <w:color w:val="auto"/>
        </w:rPr>
        <w:t>s</w:t>
      </w:r>
      <w:r w:rsidR="00B64649" w:rsidRPr="004743F3">
        <w:rPr>
          <w:rFonts w:eastAsia="Times New Roman"/>
          <w:color w:val="auto"/>
        </w:rPr>
        <w:t xml:space="preserve"> limitante</w:t>
      </w:r>
      <w:r w:rsidR="009E5248" w:rsidRPr="004743F3">
        <w:rPr>
          <w:rFonts w:eastAsia="Times New Roman"/>
          <w:color w:val="auto"/>
        </w:rPr>
        <w:t>s</w:t>
      </w:r>
      <w:r w:rsidR="00B64649" w:rsidRPr="004743F3">
        <w:rPr>
          <w:rFonts w:eastAsia="Times New Roman"/>
          <w:color w:val="auto"/>
        </w:rPr>
        <w:t xml:space="preserve"> con respecto a </w:t>
      </w:r>
      <w:r w:rsidR="00EA03E3" w:rsidRPr="004743F3">
        <w:rPr>
          <w:rFonts w:eastAsia="Times New Roman"/>
          <w:color w:val="auto"/>
        </w:rPr>
        <w:t>su</w:t>
      </w:r>
      <w:r w:rsidR="00B64649" w:rsidRPr="004743F3">
        <w:rPr>
          <w:rFonts w:eastAsia="Times New Roman"/>
          <w:color w:val="auto"/>
        </w:rPr>
        <w:t xml:space="preserve"> fiscalización </w:t>
      </w:r>
      <w:r w:rsidR="00EA03E3" w:rsidRPr="004743F3">
        <w:rPr>
          <w:rFonts w:eastAsia="Times New Roman"/>
          <w:color w:val="auto"/>
        </w:rPr>
        <w:t>se deben a</w:t>
      </w:r>
      <w:r w:rsidR="00B64649" w:rsidRPr="004743F3">
        <w:rPr>
          <w:rFonts w:eastAsia="Times New Roman"/>
          <w:color w:val="auto"/>
        </w:rPr>
        <w:t xml:space="preserve"> los retrasos para la entrega de información por parte de las Entidades Fiscalizables</w:t>
      </w:r>
      <w:r w:rsidR="00F1311D" w:rsidRPr="004743F3">
        <w:rPr>
          <w:rFonts w:eastAsia="Times New Roman"/>
          <w:color w:val="auto"/>
        </w:rPr>
        <w:t xml:space="preserve"> en los plazos establecidos </w:t>
      </w:r>
      <w:r w:rsidR="00EA03E3" w:rsidRPr="004743F3">
        <w:rPr>
          <w:rFonts w:eastAsia="Times New Roman"/>
          <w:color w:val="auto"/>
        </w:rPr>
        <w:t>(</w:t>
      </w:r>
      <w:r w:rsidR="00F1311D" w:rsidRPr="004743F3">
        <w:rPr>
          <w:rFonts w:eastAsia="Times New Roman"/>
          <w:color w:val="auto"/>
        </w:rPr>
        <w:t xml:space="preserve">20 días hábiles contados a partir del último día del mes anterior a su </w:t>
      </w:r>
      <w:r w:rsidR="00766A4F" w:rsidRPr="004743F3">
        <w:rPr>
          <w:rFonts w:eastAsia="Times New Roman"/>
          <w:color w:val="auto"/>
        </w:rPr>
        <w:t>administración y aplicación</w:t>
      </w:r>
      <w:r w:rsidR="00EA03E3" w:rsidRPr="004743F3">
        <w:rPr>
          <w:rFonts w:eastAsia="Times New Roman"/>
          <w:color w:val="auto"/>
        </w:rPr>
        <w:t>).</w:t>
      </w:r>
      <w:r w:rsidR="009E5248" w:rsidRPr="004743F3">
        <w:rPr>
          <w:rFonts w:eastAsia="Times New Roman"/>
          <w:color w:val="auto"/>
        </w:rPr>
        <w:t xml:space="preserve"> </w:t>
      </w:r>
      <w:r w:rsidR="00EA03E3" w:rsidRPr="004743F3">
        <w:rPr>
          <w:rFonts w:eastAsia="Times New Roman"/>
          <w:color w:val="auto"/>
        </w:rPr>
        <w:t>O</w:t>
      </w:r>
      <w:r w:rsidR="009E5248" w:rsidRPr="004743F3">
        <w:rPr>
          <w:rFonts w:eastAsia="Times New Roman"/>
          <w:color w:val="auto"/>
        </w:rPr>
        <w:t>tra</w:t>
      </w:r>
      <w:r w:rsidR="00B64649" w:rsidRPr="004743F3">
        <w:rPr>
          <w:rFonts w:eastAsia="Times New Roman"/>
          <w:color w:val="auto"/>
        </w:rPr>
        <w:t xml:space="preserve"> </w:t>
      </w:r>
      <w:r w:rsidR="009E5248" w:rsidRPr="004743F3">
        <w:rPr>
          <w:rFonts w:eastAsia="Times New Roman"/>
          <w:color w:val="auto"/>
        </w:rPr>
        <w:t>se muestra</w:t>
      </w:r>
      <w:r w:rsidR="00B64649" w:rsidRPr="004743F3">
        <w:rPr>
          <w:rFonts w:eastAsia="Times New Roman"/>
          <w:color w:val="auto"/>
        </w:rPr>
        <w:t xml:space="preserve"> en el supuesto de </w:t>
      </w:r>
      <w:r w:rsidR="00F1311D" w:rsidRPr="004743F3">
        <w:rPr>
          <w:rFonts w:eastAsia="Times New Roman"/>
          <w:color w:val="auto"/>
        </w:rPr>
        <w:t>que no se entregue información alguna.</w:t>
      </w:r>
      <w:r w:rsidR="009E5248" w:rsidRPr="004743F3">
        <w:rPr>
          <w:rFonts w:eastAsia="Times New Roman"/>
          <w:color w:val="auto"/>
        </w:rPr>
        <w:t xml:space="preserve"> Y finalmente, cuando</w:t>
      </w:r>
      <w:r w:rsidR="009E5248" w:rsidRPr="004743F3">
        <w:rPr>
          <w:color w:val="auto"/>
        </w:rPr>
        <w:t xml:space="preserve"> las condiciones del Fondo y la coordinación para su aplicación por parte de las instituciones responsables se </w:t>
      </w:r>
      <w:r w:rsidR="00766A4F" w:rsidRPr="004743F3">
        <w:rPr>
          <w:color w:val="auto"/>
        </w:rPr>
        <w:t>encuentran</w:t>
      </w:r>
      <w:r w:rsidR="009E5248" w:rsidRPr="004743F3">
        <w:rPr>
          <w:color w:val="auto"/>
        </w:rPr>
        <w:t xml:space="preserve"> </w:t>
      </w:r>
      <w:r w:rsidR="00766A4F" w:rsidRPr="004743F3">
        <w:rPr>
          <w:color w:val="auto"/>
        </w:rPr>
        <w:t>inmersas</w:t>
      </w:r>
      <w:r w:rsidR="009E5248" w:rsidRPr="004743F3">
        <w:rPr>
          <w:color w:val="auto"/>
        </w:rPr>
        <w:t xml:space="preserve"> en las autoridades de nivel federal.</w:t>
      </w:r>
    </w:p>
    <w:p w:rsidR="009C3510" w:rsidRPr="009D1D47" w:rsidRDefault="009C3510"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89054B" w:rsidRPr="00C817D1" w:rsidRDefault="0089054B" w:rsidP="009D1D47">
      <w:pPr>
        <w:pStyle w:val="Default"/>
        <w:spacing w:line="360" w:lineRule="auto"/>
        <w:jc w:val="both"/>
        <w:rPr>
          <w:color w:val="auto"/>
        </w:rPr>
      </w:pPr>
    </w:p>
    <w:p w:rsidR="00BD52C0" w:rsidRPr="00C817D1" w:rsidRDefault="00BD52C0" w:rsidP="009D1D47">
      <w:pPr>
        <w:pStyle w:val="Default"/>
        <w:spacing w:line="360" w:lineRule="auto"/>
        <w:jc w:val="both"/>
        <w:rPr>
          <w:rFonts w:eastAsia="Times New Roman"/>
          <w:color w:val="auto"/>
        </w:rPr>
      </w:pPr>
    </w:p>
    <w:p w:rsidR="00152A6B" w:rsidRPr="00C817D1" w:rsidRDefault="00152A6B" w:rsidP="009D1D47">
      <w:pPr>
        <w:pStyle w:val="Default"/>
        <w:spacing w:line="360" w:lineRule="auto"/>
        <w:jc w:val="both"/>
        <w:rPr>
          <w:rFonts w:eastAsia="Times New Roman"/>
          <w:color w:val="auto"/>
        </w:rPr>
      </w:pPr>
    </w:p>
    <w:p w:rsidR="00152A6B" w:rsidRPr="00C817D1" w:rsidRDefault="00152A6B" w:rsidP="009D1D47">
      <w:pPr>
        <w:pStyle w:val="Default"/>
        <w:spacing w:line="360" w:lineRule="auto"/>
        <w:jc w:val="both"/>
        <w:rPr>
          <w:rFonts w:eastAsia="Times New Roman"/>
          <w:color w:val="auto"/>
        </w:rPr>
      </w:pPr>
    </w:p>
    <w:p w:rsidR="00152A6B" w:rsidRPr="00C817D1" w:rsidRDefault="00152A6B" w:rsidP="009D1D47">
      <w:pPr>
        <w:pStyle w:val="Default"/>
        <w:spacing w:line="360" w:lineRule="auto"/>
        <w:jc w:val="both"/>
        <w:rPr>
          <w:rFonts w:eastAsia="Times New Roman"/>
          <w:color w:val="auto"/>
        </w:rPr>
      </w:pPr>
    </w:p>
    <w:p w:rsidR="00BD52C0" w:rsidRPr="00C817D1" w:rsidRDefault="00BD52C0"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Default="00BD52C0" w:rsidP="00152A6B">
      <w:pPr>
        <w:pStyle w:val="Default"/>
        <w:spacing w:after="120"/>
        <w:jc w:val="right"/>
        <w:rPr>
          <w:rFonts w:eastAsia="Times New Roman"/>
          <w:color w:val="auto"/>
          <w:sz w:val="96"/>
          <w:szCs w:val="96"/>
        </w:rPr>
      </w:pPr>
      <w:r>
        <w:rPr>
          <w:rFonts w:eastAsia="Times New Roman"/>
          <w:color w:val="auto"/>
          <w:sz w:val="96"/>
          <w:szCs w:val="96"/>
        </w:rPr>
        <w:t>CAPÍTULO I:</w:t>
      </w:r>
    </w:p>
    <w:p w:rsidR="00BD52C0" w:rsidRPr="001E47CD" w:rsidRDefault="001E47CD" w:rsidP="00152A6B">
      <w:pPr>
        <w:pStyle w:val="Default"/>
        <w:jc w:val="right"/>
        <w:rPr>
          <w:rFonts w:eastAsia="Times New Roman"/>
          <w:color w:val="auto"/>
          <w:sz w:val="48"/>
          <w:szCs w:val="48"/>
        </w:rPr>
      </w:pPr>
      <w:r w:rsidRPr="001E47CD">
        <w:rPr>
          <w:rFonts w:eastAsia="Times New Roman"/>
          <w:color w:val="auto"/>
          <w:sz w:val="48"/>
          <w:szCs w:val="48"/>
        </w:rPr>
        <w:t>EVOLUCIÓN EN LA FISCALIZACIÓN DE RECURSOS PÚBLICOS</w:t>
      </w: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000B68" w:rsidRPr="00C817D1" w:rsidRDefault="00000B68" w:rsidP="009D1D47">
      <w:pPr>
        <w:pStyle w:val="Default"/>
        <w:spacing w:line="360" w:lineRule="auto"/>
        <w:jc w:val="both"/>
        <w:rPr>
          <w:rFonts w:eastAsia="Times New Roman"/>
          <w:color w:val="auto"/>
        </w:rPr>
      </w:pPr>
    </w:p>
    <w:p w:rsidR="0082258D" w:rsidRPr="00C817D1" w:rsidRDefault="0082258D" w:rsidP="001E47CD">
      <w:pPr>
        <w:spacing w:after="0" w:line="360" w:lineRule="auto"/>
        <w:jc w:val="both"/>
        <w:rPr>
          <w:rFonts w:ascii="Arial" w:hAnsi="Arial" w:cs="Arial"/>
          <w:sz w:val="24"/>
          <w:szCs w:val="24"/>
        </w:rPr>
      </w:pPr>
      <w:r w:rsidRPr="00C817D1">
        <w:rPr>
          <w:rFonts w:ascii="Arial" w:hAnsi="Arial" w:cs="Arial"/>
          <w:sz w:val="24"/>
          <w:szCs w:val="24"/>
        </w:rPr>
        <w:lastRenderedPageBreak/>
        <w:t>En este primer capítulo se dará a conocer a grandes rasgos como la fiscalización ha tomado fuerza desde lo general (ámbito nacional e internacional), hasta lo particular (ámbito estatal); abordando principalmente el cómo se ha desarrollado la fiscalización de los recursos públicos en el Estado de México, lo anterior con base en que el estudio se realiza con información relativa a la entidad mexiquense y el proceso de evaluación realizado por su Órgano Fiscalizador.</w:t>
      </w:r>
    </w:p>
    <w:p w:rsidR="0082258D" w:rsidRPr="00C817D1" w:rsidRDefault="0082258D" w:rsidP="001E47CD">
      <w:pPr>
        <w:spacing w:after="0" w:line="360" w:lineRule="auto"/>
        <w:jc w:val="both"/>
        <w:rPr>
          <w:rFonts w:ascii="Arial" w:eastAsia="Times New Roman" w:hAnsi="Arial" w:cs="Arial"/>
          <w:color w:val="000000"/>
          <w:sz w:val="24"/>
          <w:szCs w:val="24"/>
          <w:lang w:eastAsia="es-MX"/>
        </w:rPr>
      </w:pPr>
    </w:p>
    <w:p w:rsidR="006F43DF" w:rsidRPr="00C817D1" w:rsidRDefault="006F43DF" w:rsidP="001E47CD">
      <w:pPr>
        <w:spacing w:after="0" w:line="360" w:lineRule="auto"/>
        <w:jc w:val="both"/>
        <w:rPr>
          <w:rFonts w:ascii="Arial" w:hAnsi="Arial" w:cs="Arial"/>
          <w:sz w:val="24"/>
          <w:szCs w:val="24"/>
        </w:rPr>
      </w:pPr>
      <w:r w:rsidRPr="00C817D1">
        <w:rPr>
          <w:rFonts w:ascii="Arial" w:hAnsi="Arial" w:cs="Arial"/>
          <w:sz w:val="24"/>
          <w:szCs w:val="24"/>
          <w:lang w:val="es-ES"/>
        </w:rPr>
        <w:t>E</w:t>
      </w:r>
      <w:r w:rsidRPr="00C817D1">
        <w:rPr>
          <w:rFonts w:ascii="Arial" w:hAnsi="Arial" w:cs="Arial"/>
          <w:sz w:val="24"/>
          <w:szCs w:val="24"/>
        </w:rPr>
        <w:t>s crucial que las actividades de fiscalización sean establecidas apropiadamente y tengan un mandato adecuado para lograr los objetivos</w:t>
      </w:r>
      <w:r w:rsidR="00A02806" w:rsidRPr="00C817D1">
        <w:rPr>
          <w:rFonts w:ascii="Arial" w:hAnsi="Arial" w:cs="Arial"/>
          <w:sz w:val="24"/>
          <w:szCs w:val="24"/>
        </w:rPr>
        <w:t xml:space="preserve">; </w:t>
      </w:r>
      <w:r w:rsidR="00C63558" w:rsidRPr="00C817D1">
        <w:rPr>
          <w:rFonts w:ascii="Arial" w:hAnsi="Arial" w:cs="Arial"/>
          <w:sz w:val="24"/>
          <w:szCs w:val="24"/>
        </w:rPr>
        <w:t>e</w:t>
      </w:r>
      <w:r w:rsidR="00A02806" w:rsidRPr="00C817D1">
        <w:rPr>
          <w:rFonts w:ascii="Arial" w:hAnsi="Arial" w:cs="Arial"/>
          <w:sz w:val="24"/>
          <w:szCs w:val="24"/>
        </w:rPr>
        <w:t>l Instituto Mexicano de Auditores Internos A.C. (</w:t>
      </w:r>
      <w:proofErr w:type="spellStart"/>
      <w:r w:rsidR="00A02806" w:rsidRPr="00C817D1">
        <w:rPr>
          <w:rFonts w:ascii="Arial" w:hAnsi="Arial" w:cs="Arial"/>
          <w:sz w:val="24"/>
          <w:szCs w:val="24"/>
        </w:rPr>
        <w:t>n.d</w:t>
      </w:r>
      <w:proofErr w:type="spellEnd"/>
      <w:r w:rsidR="00A02806" w:rsidRPr="00C817D1">
        <w:rPr>
          <w:rFonts w:ascii="Arial" w:hAnsi="Arial" w:cs="Arial"/>
          <w:sz w:val="24"/>
          <w:szCs w:val="24"/>
        </w:rPr>
        <w:t>., p. 4)</w:t>
      </w:r>
      <w:r w:rsidRPr="00C817D1">
        <w:rPr>
          <w:rFonts w:ascii="Arial" w:hAnsi="Arial" w:cs="Arial"/>
          <w:sz w:val="24"/>
          <w:szCs w:val="24"/>
        </w:rPr>
        <w:t>,</w:t>
      </w:r>
      <w:r w:rsidR="00C63558" w:rsidRPr="00C817D1">
        <w:rPr>
          <w:rFonts w:ascii="Arial" w:hAnsi="Arial" w:cs="Arial"/>
          <w:sz w:val="24"/>
          <w:szCs w:val="24"/>
        </w:rPr>
        <w:t xml:space="preserve"> en su </w:t>
      </w:r>
      <w:r w:rsidR="00FA2939" w:rsidRPr="00C817D1">
        <w:rPr>
          <w:rFonts w:ascii="Arial" w:hAnsi="Arial" w:cs="Arial"/>
          <w:sz w:val="24"/>
          <w:szCs w:val="24"/>
        </w:rPr>
        <w:t>trabajo docum</w:t>
      </w:r>
      <w:r w:rsidR="002953FB" w:rsidRPr="00C817D1">
        <w:rPr>
          <w:rFonts w:ascii="Arial" w:hAnsi="Arial" w:cs="Arial"/>
          <w:sz w:val="24"/>
          <w:szCs w:val="24"/>
        </w:rPr>
        <w:t>e</w:t>
      </w:r>
      <w:r w:rsidR="00FA2939" w:rsidRPr="00C817D1">
        <w:rPr>
          <w:rFonts w:ascii="Arial" w:hAnsi="Arial" w:cs="Arial"/>
          <w:sz w:val="24"/>
          <w:szCs w:val="24"/>
        </w:rPr>
        <w:t>ntal</w:t>
      </w:r>
      <w:r w:rsidR="00C63558" w:rsidRPr="00C817D1">
        <w:rPr>
          <w:rFonts w:ascii="Arial" w:hAnsi="Arial" w:cs="Arial"/>
          <w:sz w:val="24"/>
          <w:szCs w:val="24"/>
        </w:rPr>
        <w:t xml:space="preserve"> denominado “Certificación en Fiscalización”,</w:t>
      </w:r>
      <w:r w:rsidR="00A02806" w:rsidRPr="00C817D1">
        <w:rPr>
          <w:rFonts w:ascii="Arial" w:hAnsi="Arial" w:cs="Arial"/>
          <w:sz w:val="24"/>
          <w:szCs w:val="24"/>
        </w:rPr>
        <w:t xml:space="preserve"> menciona que </w:t>
      </w:r>
      <w:r w:rsidR="00B32B7A" w:rsidRPr="00C817D1">
        <w:rPr>
          <w:rFonts w:ascii="Arial" w:hAnsi="Arial" w:cs="Arial"/>
          <w:sz w:val="24"/>
          <w:szCs w:val="24"/>
        </w:rPr>
        <w:t xml:space="preserve">como mínimo una Entidad Fiscalizadora </w:t>
      </w:r>
      <w:r w:rsidRPr="00C817D1">
        <w:rPr>
          <w:rFonts w:ascii="Arial" w:hAnsi="Arial" w:cs="Arial"/>
          <w:sz w:val="24"/>
          <w:szCs w:val="24"/>
        </w:rPr>
        <w:t>necesita:</w:t>
      </w:r>
    </w:p>
    <w:p w:rsidR="006F43DF" w:rsidRPr="00C817D1" w:rsidRDefault="006F43DF" w:rsidP="001E47CD">
      <w:pPr>
        <w:spacing w:after="0" w:line="360" w:lineRule="auto"/>
        <w:jc w:val="both"/>
        <w:rPr>
          <w:rFonts w:ascii="Arial" w:hAnsi="Arial" w:cs="Arial"/>
          <w:sz w:val="24"/>
          <w:szCs w:val="24"/>
        </w:rPr>
      </w:pP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 xml:space="preserve">Organización independiente. </w:t>
      </w:r>
      <w:r w:rsidRPr="001E47CD">
        <w:rPr>
          <w:rFonts w:ascii="Arial" w:hAnsi="Arial" w:cs="Arial"/>
          <w:i/>
          <w:sz w:val="24"/>
          <w:szCs w:val="24"/>
        </w:rPr>
        <w:t>Permite realizar el trabajo sin la interferencia de la entidad fiscalizada, así como de funcionarios públicos.</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 xml:space="preserve">Mandato formal. </w:t>
      </w:r>
      <w:r w:rsidRPr="001E47CD">
        <w:rPr>
          <w:rFonts w:ascii="Arial" w:hAnsi="Arial" w:cs="Arial"/>
          <w:i/>
          <w:sz w:val="24"/>
          <w:szCs w:val="24"/>
        </w:rPr>
        <w:t>La definición de sus obligaciones debe estar establecida por la Constitución Política, este es un documento legal básico que aborda procedimientos y requisitos para reportar sus obligaciones.</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 xml:space="preserve">Acceso sin restricciones. </w:t>
      </w:r>
      <w:r w:rsidRPr="001E47CD">
        <w:rPr>
          <w:rFonts w:ascii="Arial" w:hAnsi="Arial" w:cs="Arial"/>
          <w:i/>
          <w:sz w:val="24"/>
          <w:szCs w:val="24"/>
        </w:rPr>
        <w:t>Refiere a que no debe haber ningún impedimento para el desempeño en la actividad de fiscalizar.</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Financiamiento suficiente</w:t>
      </w:r>
      <w:r w:rsidRPr="001E47CD">
        <w:rPr>
          <w:rFonts w:ascii="Arial" w:hAnsi="Arial" w:cs="Arial"/>
          <w:i/>
          <w:sz w:val="24"/>
          <w:szCs w:val="24"/>
        </w:rPr>
        <w:t>. Debe contar con los fondos suficientes en relación con sus responsabilidades.</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Liderazgo competente</w:t>
      </w:r>
      <w:r w:rsidRPr="001E47CD">
        <w:rPr>
          <w:rFonts w:ascii="Arial" w:hAnsi="Arial" w:cs="Arial"/>
          <w:i/>
          <w:sz w:val="24"/>
          <w:szCs w:val="24"/>
        </w:rPr>
        <w:t>. El titular o líder de la actividad de auditoría debe contratar personal altamente calificado y certificado.</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Personal objetivo</w:t>
      </w:r>
      <w:r w:rsidRPr="001E47CD">
        <w:rPr>
          <w:rFonts w:ascii="Arial" w:hAnsi="Arial" w:cs="Arial"/>
          <w:i/>
          <w:sz w:val="24"/>
          <w:szCs w:val="24"/>
        </w:rPr>
        <w:t>. El personal debe tener una actitud imparcial y evitar conflictos de interés.</w:t>
      </w:r>
    </w:p>
    <w:p w:rsidR="006F43DF" w:rsidRPr="001E47CD" w:rsidRDefault="006F43DF" w:rsidP="001E47CD">
      <w:pPr>
        <w:pStyle w:val="Prrafodelista"/>
        <w:numPr>
          <w:ilvl w:val="0"/>
          <w:numId w:val="1"/>
        </w:numPr>
        <w:spacing w:after="0" w:line="360" w:lineRule="auto"/>
        <w:ind w:left="567"/>
        <w:jc w:val="both"/>
        <w:rPr>
          <w:rFonts w:ascii="Arial" w:hAnsi="Arial" w:cs="Arial"/>
          <w:i/>
          <w:sz w:val="24"/>
          <w:szCs w:val="24"/>
        </w:rPr>
      </w:pPr>
      <w:r w:rsidRPr="001E47CD">
        <w:rPr>
          <w:rFonts w:ascii="Arial" w:hAnsi="Arial" w:cs="Arial"/>
          <w:b/>
          <w:bCs/>
          <w:i/>
          <w:sz w:val="24"/>
          <w:szCs w:val="24"/>
        </w:rPr>
        <w:t xml:space="preserve">Personal competente. </w:t>
      </w:r>
      <w:r w:rsidRPr="001E47CD">
        <w:rPr>
          <w:rFonts w:ascii="Arial" w:hAnsi="Arial" w:cs="Arial"/>
          <w:i/>
          <w:sz w:val="24"/>
          <w:szCs w:val="24"/>
        </w:rPr>
        <w:t>Necesita profesionales que dispongan de las competencias que solicite el mandato.</w:t>
      </w:r>
    </w:p>
    <w:p w:rsidR="006F43DF" w:rsidRPr="001E47CD" w:rsidRDefault="006F43DF" w:rsidP="001E47CD">
      <w:pPr>
        <w:spacing w:after="0" w:line="360" w:lineRule="auto"/>
        <w:jc w:val="both"/>
        <w:rPr>
          <w:rFonts w:ascii="Arial" w:hAnsi="Arial" w:cs="Arial"/>
          <w:sz w:val="24"/>
          <w:szCs w:val="24"/>
        </w:rPr>
      </w:pPr>
    </w:p>
    <w:p w:rsidR="001E47CD" w:rsidRDefault="001E47CD" w:rsidP="001E47CD">
      <w:pPr>
        <w:spacing w:after="0" w:line="360" w:lineRule="auto"/>
        <w:jc w:val="both"/>
        <w:rPr>
          <w:rFonts w:ascii="Arial" w:hAnsi="Arial" w:cs="Arial"/>
          <w:sz w:val="24"/>
          <w:szCs w:val="24"/>
        </w:rPr>
      </w:pPr>
    </w:p>
    <w:p w:rsidR="00C63558" w:rsidRPr="00C817D1" w:rsidRDefault="00C63558" w:rsidP="001E47CD">
      <w:pPr>
        <w:spacing w:after="0" w:line="360" w:lineRule="auto"/>
        <w:jc w:val="both"/>
        <w:rPr>
          <w:rFonts w:ascii="Arial" w:hAnsi="Arial" w:cs="Arial"/>
          <w:sz w:val="24"/>
          <w:szCs w:val="24"/>
        </w:rPr>
      </w:pPr>
      <w:r w:rsidRPr="00C817D1">
        <w:rPr>
          <w:rFonts w:ascii="Arial" w:hAnsi="Arial" w:cs="Arial"/>
          <w:sz w:val="24"/>
          <w:szCs w:val="24"/>
        </w:rPr>
        <w:lastRenderedPageBreak/>
        <w:t>Así mismo, el documento antes referido</w:t>
      </w:r>
      <w:r w:rsidR="00EE6CC1" w:rsidRPr="00C817D1">
        <w:rPr>
          <w:rFonts w:ascii="Arial" w:hAnsi="Arial" w:cs="Arial"/>
          <w:sz w:val="24"/>
          <w:szCs w:val="24"/>
        </w:rPr>
        <w:t>, plasma</w:t>
      </w:r>
      <w:r w:rsidRPr="00C817D1">
        <w:rPr>
          <w:rFonts w:ascii="Arial" w:hAnsi="Arial" w:cs="Arial"/>
          <w:sz w:val="24"/>
          <w:szCs w:val="24"/>
        </w:rPr>
        <w:t xml:space="preserve"> las definiciones</w:t>
      </w:r>
      <w:r w:rsidR="00EE6CC1" w:rsidRPr="00C817D1">
        <w:rPr>
          <w:rFonts w:ascii="Arial" w:hAnsi="Arial" w:cs="Arial"/>
          <w:sz w:val="24"/>
          <w:szCs w:val="24"/>
        </w:rPr>
        <w:t xml:space="preserve"> de los conceptos tales como Rendición de Cuentas y Transparencia, así como algunas de sus características; lo cual se desarrolla para una mejor comprensión en los siguientes renglones.</w:t>
      </w:r>
    </w:p>
    <w:p w:rsidR="00C63558" w:rsidRPr="00C817D1" w:rsidRDefault="00C63558" w:rsidP="001E47CD">
      <w:pPr>
        <w:spacing w:after="0" w:line="360" w:lineRule="auto"/>
        <w:jc w:val="both"/>
        <w:rPr>
          <w:rFonts w:ascii="Arial" w:hAnsi="Arial" w:cs="Arial"/>
          <w:sz w:val="24"/>
          <w:szCs w:val="24"/>
        </w:rPr>
      </w:pPr>
    </w:p>
    <w:p w:rsidR="006F43DF" w:rsidRPr="00C817D1" w:rsidRDefault="006F43DF" w:rsidP="001E47CD">
      <w:pPr>
        <w:spacing w:after="0" w:line="360" w:lineRule="auto"/>
        <w:ind w:left="284" w:firstLine="116"/>
        <w:jc w:val="both"/>
        <w:rPr>
          <w:rFonts w:ascii="Arial" w:hAnsi="Arial" w:cs="Arial"/>
          <w:b/>
          <w:i/>
          <w:sz w:val="24"/>
          <w:szCs w:val="24"/>
        </w:rPr>
      </w:pPr>
      <w:r w:rsidRPr="00C817D1">
        <w:rPr>
          <w:rFonts w:ascii="Arial" w:hAnsi="Arial" w:cs="Arial"/>
          <w:b/>
          <w:i/>
          <w:sz w:val="24"/>
          <w:szCs w:val="24"/>
        </w:rPr>
        <w:t>Rendición de cuentas</w:t>
      </w:r>
    </w:p>
    <w:p w:rsidR="006F43DF" w:rsidRPr="00C817D1" w:rsidRDefault="00EE6CC1" w:rsidP="001E47CD">
      <w:pPr>
        <w:spacing w:after="0" w:line="360" w:lineRule="auto"/>
        <w:ind w:left="284"/>
        <w:jc w:val="both"/>
        <w:rPr>
          <w:rFonts w:ascii="Arial" w:hAnsi="Arial" w:cs="Arial"/>
          <w:i/>
          <w:sz w:val="24"/>
          <w:szCs w:val="24"/>
        </w:rPr>
      </w:pPr>
      <w:r w:rsidRPr="00C817D1">
        <w:rPr>
          <w:rFonts w:ascii="Arial" w:hAnsi="Arial" w:cs="Arial"/>
          <w:sz w:val="24"/>
          <w:szCs w:val="24"/>
        </w:rPr>
        <w:t>El Instituto Mexicano de Auditores Internos A.C. (</w:t>
      </w:r>
      <w:proofErr w:type="spellStart"/>
      <w:r w:rsidRPr="00C817D1">
        <w:rPr>
          <w:rFonts w:ascii="Arial" w:hAnsi="Arial" w:cs="Arial"/>
          <w:sz w:val="24"/>
          <w:szCs w:val="24"/>
        </w:rPr>
        <w:t>n.d</w:t>
      </w:r>
      <w:proofErr w:type="spellEnd"/>
      <w:r w:rsidRPr="00C817D1">
        <w:rPr>
          <w:rFonts w:ascii="Arial" w:hAnsi="Arial" w:cs="Arial"/>
          <w:sz w:val="24"/>
          <w:szCs w:val="24"/>
        </w:rPr>
        <w:t>., p. 6),</w:t>
      </w:r>
      <w:r w:rsidRPr="00C817D1">
        <w:rPr>
          <w:rFonts w:ascii="Arial" w:hAnsi="Arial" w:cs="Arial"/>
          <w:i/>
          <w:sz w:val="24"/>
          <w:szCs w:val="24"/>
        </w:rPr>
        <w:t xml:space="preserve"> define a l</w:t>
      </w:r>
      <w:r w:rsidR="006F43DF" w:rsidRPr="00C817D1">
        <w:rPr>
          <w:rFonts w:ascii="Arial" w:hAnsi="Arial" w:cs="Arial"/>
          <w:i/>
          <w:sz w:val="24"/>
          <w:szCs w:val="24"/>
        </w:rPr>
        <w:t>a rendición de cuentas como el principio según el cual los individuos, las organizaciones y la comunidad son responsables de la utilización que hagan de los recursos públicos y puede exigírseles que expliquen a los demás dicha utilización</w:t>
      </w:r>
      <w:r w:rsidRPr="00C817D1">
        <w:rPr>
          <w:rFonts w:ascii="Arial" w:hAnsi="Arial" w:cs="Arial"/>
          <w:i/>
          <w:sz w:val="24"/>
          <w:szCs w:val="24"/>
        </w:rPr>
        <w:t>’</w:t>
      </w:r>
      <w:r w:rsidR="006F43DF" w:rsidRPr="00C817D1">
        <w:rPr>
          <w:rFonts w:ascii="Arial" w:hAnsi="Arial" w:cs="Arial"/>
          <w:i/>
          <w:sz w:val="24"/>
          <w:szCs w:val="24"/>
        </w:rPr>
        <w:t>.</w:t>
      </w:r>
    </w:p>
    <w:p w:rsidR="006F43DF" w:rsidRPr="00C817D1" w:rsidRDefault="006F43DF" w:rsidP="001E47CD">
      <w:pPr>
        <w:spacing w:after="0" w:line="360" w:lineRule="auto"/>
        <w:ind w:left="284"/>
        <w:jc w:val="both"/>
        <w:rPr>
          <w:rFonts w:ascii="Arial" w:hAnsi="Arial" w:cs="Arial"/>
          <w:i/>
          <w:sz w:val="24"/>
          <w:szCs w:val="24"/>
        </w:rPr>
      </w:pPr>
    </w:p>
    <w:p w:rsidR="006F43DF" w:rsidRPr="00C817D1" w:rsidRDefault="001D12BA" w:rsidP="001E47CD">
      <w:pPr>
        <w:pStyle w:val="Default"/>
        <w:spacing w:line="360" w:lineRule="auto"/>
        <w:ind w:left="284"/>
        <w:jc w:val="both"/>
        <w:rPr>
          <w:i/>
        </w:rPr>
      </w:pPr>
      <w:r w:rsidRPr="00C817D1">
        <w:rPr>
          <w:i/>
        </w:rPr>
        <w:t>Tal co</w:t>
      </w:r>
      <w:r w:rsidR="006F43DF" w:rsidRPr="00C817D1">
        <w:rPr>
          <w:i/>
        </w:rPr>
        <w:t>ncepto refiere al marco jurídico y presentación de informes, a la estructura organizativa, la estrategia, los procedimientos y las acciones que contribuyen a garantizar que las Entidades de Fiscalización Superior (EFS):</w:t>
      </w:r>
    </w:p>
    <w:p w:rsidR="006F43DF" w:rsidRPr="00C817D1" w:rsidRDefault="006F43DF" w:rsidP="001E47CD">
      <w:pPr>
        <w:pStyle w:val="Default"/>
        <w:numPr>
          <w:ilvl w:val="0"/>
          <w:numId w:val="2"/>
        </w:numPr>
        <w:spacing w:line="360" w:lineRule="auto"/>
        <w:ind w:left="709" w:hanging="284"/>
        <w:jc w:val="both"/>
        <w:rPr>
          <w:i/>
        </w:rPr>
      </w:pPr>
      <w:r w:rsidRPr="00C817D1">
        <w:rPr>
          <w:i/>
        </w:rPr>
        <w:t>desarrollen sus obligaciones legales conforme a su competencia de auditoría y presenten informes, en el marco de su presupuesto;</w:t>
      </w:r>
    </w:p>
    <w:p w:rsidR="006F43DF" w:rsidRPr="00C817D1" w:rsidRDefault="006F43DF" w:rsidP="001E47CD">
      <w:pPr>
        <w:pStyle w:val="Default"/>
        <w:numPr>
          <w:ilvl w:val="0"/>
          <w:numId w:val="2"/>
        </w:numPr>
        <w:spacing w:line="360" w:lineRule="auto"/>
        <w:ind w:left="709" w:hanging="284"/>
        <w:jc w:val="both"/>
        <w:rPr>
          <w:i/>
        </w:rPr>
      </w:pPr>
      <w:r w:rsidRPr="00C817D1">
        <w:rPr>
          <w:i/>
        </w:rPr>
        <w:t>evalúen y hagan un seguimiento de su propia gestión así como del impacto de su función fiscalizadora;</w:t>
      </w:r>
    </w:p>
    <w:p w:rsidR="006F43DF" w:rsidRPr="00C817D1" w:rsidRDefault="006F43DF" w:rsidP="001E47CD">
      <w:pPr>
        <w:pStyle w:val="Default"/>
        <w:numPr>
          <w:ilvl w:val="0"/>
          <w:numId w:val="2"/>
        </w:numPr>
        <w:spacing w:line="360" w:lineRule="auto"/>
        <w:ind w:left="709" w:hanging="284"/>
        <w:jc w:val="both"/>
        <w:rPr>
          <w:i/>
        </w:rPr>
      </w:pPr>
      <w:r w:rsidRPr="00C817D1">
        <w:rPr>
          <w:i/>
        </w:rPr>
        <w:t>presenten informes sobre la regularidad y la eficiencia en el uso de fondos públicos, incluso sobre sus propias acciones y actividades y el uso de los recursos de las EFS; y</w:t>
      </w:r>
    </w:p>
    <w:p w:rsidR="006F43DF" w:rsidRPr="00C817D1" w:rsidRDefault="006F43DF" w:rsidP="001E47CD">
      <w:pPr>
        <w:pStyle w:val="Default"/>
        <w:numPr>
          <w:ilvl w:val="0"/>
          <w:numId w:val="2"/>
        </w:numPr>
        <w:spacing w:line="360" w:lineRule="auto"/>
        <w:ind w:left="709" w:hanging="284"/>
        <w:jc w:val="both"/>
        <w:rPr>
          <w:i/>
        </w:rPr>
      </w:pPr>
      <w:r w:rsidRPr="00C817D1">
        <w:rPr>
          <w:i/>
        </w:rPr>
        <w:t>el Auditor Superior y el personal de la EFS sean responsables de su actuación.</w:t>
      </w:r>
    </w:p>
    <w:p w:rsidR="006F43DF" w:rsidRPr="00C817D1" w:rsidRDefault="006F43DF" w:rsidP="001E47CD">
      <w:pPr>
        <w:pStyle w:val="Default"/>
        <w:spacing w:line="360" w:lineRule="auto"/>
        <w:jc w:val="both"/>
        <w:rPr>
          <w:color w:val="auto"/>
        </w:rPr>
      </w:pPr>
    </w:p>
    <w:p w:rsidR="006F43DF" w:rsidRPr="00C817D1" w:rsidRDefault="006F43DF" w:rsidP="001E47CD">
      <w:pPr>
        <w:pStyle w:val="Default"/>
        <w:spacing w:line="360" w:lineRule="auto"/>
        <w:jc w:val="both"/>
        <w:rPr>
          <w:color w:val="auto"/>
        </w:rPr>
      </w:pPr>
      <w:r w:rsidRPr="00C817D1">
        <w:rPr>
          <w:color w:val="auto"/>
        </w:rPr>
        <w:t>En el proceso de la fiscalización, un punto clave es la rendición de cuentas, al tener la obligación cada funcionario público de informar sobre sus acciones y responder por los resultados obtenidos en el ejercicio del gasto público.</w:t>
      </w:r>
    </w:p>
    <w:p w:rsidR="006F43DF" w:rsidRDefault="006F43DF" w:rsidP="001E47CD">
      <w:pPr>
        <w:pStyle w:val="Default"/>
        <w:spacing w:line="360" w:lineRule="auto"/>
        <w:jc w:val="both"/>
        <w:rPr>
          <w:color w:val="auto"/>
        </w:rPr>
      </w:pPr>
    </w:p>
    <w:p w:rsidR="002A2DA7" w:rsidRDefault="002A2DA7" w:rsidP="001E47CD">
      <w:pPr>
        <w:pStyle w:val="Default"/>
        <w:spacing w:line="360" w:lineRule="auto"/>
        <w:jc w:val="both"/>
        <w:rPr>
          <w:color w:val="auto"/>
        </w:rPr>
      </w:pPr>
    </w:p>
    <w:p w:rsidR="002A2DA7" w:rsidRPr="00C817D1" w:rsidRDefault="002A2DA7" w:rsidP="001E47CD">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lastRenderedPageBreak/>
        <w:t>La actuación de los funcionarios mexiquenses se encuentra regulada en la actualidad por la Ley de Responsabilidades Administrativas del Estado de México y Municipios, y con el objetivo de que cada funcionario haga del ejercicio del cargo público un servicio de legalidad, honradez, lealtad, imparcialidad y eficiencia, es menester cumplir con los ordenamientos legales aplicables en la entidad.</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Durante el periodo del 1° de septiembre de 2009 al 31 de agosto del 2010 se realizaron 8 mil 327 quejas y denuncias a través del Sistema de Atención Mexiquense (SAM), medio de comunicación que permite a la ciudadanía expresar su opinión sobre los servicios gubernamentales y la atención que brindan los servidores públicos. Comparado con las 9 mil 872 quejas y denuncias del periodo del 1° de septiembre de 2016 al 31 de agosto del 2017, presenta un aumento del 15.65 por ciento.</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Caso contrario en el rubro de procedimientos administrativos, disciplinarios y resarcitorios, ya que para el Informe del periodo 2009-2010 se resolvieron  un total de 4 mil 393 procedimientos administrativos originados de la siguiente forma: mil 973 correspondieron al incumplimiento en la presentación de manifestación de bienes, mil 90 consistieron en auditorías, 930 fueron actuaciones de oficio, 373 relativos a quejas y denuncias contra servidores públicos, y los 27 restantes resultaron de recomendaciones emitidas por la Comisión de Derechos Humanos del Estado de México (CODHEM).</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 xml:space="preserve">Con respecto al Informe del periodo 2016-2017 se resolvieron 3 mil 404, de los cuales derivaron 3 mil 738 sanciones, que corresponden a 932 con amonestación, 300 con inhabilitación, 479 suspensiones, 104 económicas, 235 con destitución, mil 527 pecuniarias y 126 de tipo resarcitorio, imponiéndose en todos los casos por conductas contrarias al Marco Jurídico que regula la actuación de los servidores públicos de la Administración Pública Estatal. Como resultado, se observa una disminución del 29.05 por ciento; lo anterior se describe en </w:t>
      </w:r>
      <w:r w:rsidR="00F565FE" w:rsidRPr="00E816EE">
        <w:rPr>
          <w:color w:val="auto"/>
        </w:rPr>
        <w:t>la tabla 1</w:t>
      </w:r>
      <w:r w:rsidRPr="00E816EE">
        <w:rPr>
          <w:color w:val="auto"/>
        </w:rPr>
        <w:t>.</w:t>
      </w:r>
    </w:p>
    <w:p w:rsidR="00DD3D80" w:rsidRPr="00E816EE" w:rsidRDefault="00DD3D80" w:rsidP="00DD3D80">
      <w:pPr>
        <w:pStyle w:val="Default"/>
        <w:spacing w:line="360" w:lineRule="auto"/>
        <w:jc w:val="center"/>
        <w:rPr>
          <w:color w:val="auto"/>
        </w:rPr>
      </w:pPr>
    </w:p>
    <w:p w:rsidR="00F565FE" w:rsidRPr="00E816EE" w:rsidRDefault="00F565FE" w:rsidP="00F565FE">
      <w:pPr>
        <w:pStyle w:val="Epgrafe"/>
        <w:keepNext/>
        <w:spacing w:after="0"/>
        <w:jc w:val="center"/>
        <w:rPr>
          <w:rFonts w:ascii="Arial" w:hAnsi="Arial" w:cs="Arial"/>
          <w:color w:val="auto"/>
          <w:sz w:val="24"/>
          <w:szCs w:val="24"/>
        </w:rPr>
      </w:pPr>
      <w:bookmarkStart w:id="0" w:name="_Toc510526008"/>
      <w:r w:rsidRPr="00E816EE">
        <w:rPr>
          <w:rFonts w:ascii="Arial" w:hAnsi="Arial" w:cs="Arial"/>
          <w:color w:val="auto"/>
          <w:sz w:val="24"/>
          <w:szCs w:val="24"/>
        </w:rPr>
        <w:t xml:space="preserve">Tabla </w:t>
      </w:r>
      <w:r w:rsidRPr="00E816EE">
        <w:rPr>
          <w:rFonts w:ascii="Arial" w:hAnsi="Arial" w:cs="Arial"/>
          <w:color w:val="auto"/>
          <w:sz w:val="24"/>
          <w:szCs w:val="24"/>
        </w:rPr>
        <w:fldChar w:fldCharType="begin"/>
      </w:r>
      <w:r w:rsidRPr="00E816EE">
        <w:rPr>
          <w:rFonts w:ascii="Arial" w:hAnsi="Arial" w:cs="Arial"/>
          <w:color w:val="auto"/>
          <w:sz w:val="24"/>
          <w:szCs w:val="24"/>
        </w:rPr>
        <w:instrText xml:space="preserve"> SEQ Tabla \* ARABIC </w:instrText>
      </w:r>
      <w:r w:rsidRPr="00E816EE">
        <w:rPr>
          <w:rFonts w:ascii="Arial" w:hAnsi="Arial" w:cs="Arial"/>
          <w:color w:val="auto"/>
          <w:sz w:val="24"/>
          <w:szCs w:val="24"/>
        </w:rPr>
        <w:fldChar w:fldCharType="separate"/>
      </w:r>
      <w:r w:rsidR="004D25BA">
        <w:rPr>
          <w:rFonts w:ascii="Arial" w:hAnsi="Arial" w:cs="Arial"/>
          <w:noProof/>
          <w:color w:val="auto"/>
          <w:sz w:val="24"/>
          <w:szCs w:val="24"/>
        </w:rPr>
        <w:t>1</w:t>
      </w:r>
      <w:bookmarkEnd w:id="0"/>
      <w:r w:rsidRPr="00E816EE">
        <w:rPr>
          <w:rFonts w:ascii="Arial" w:hAnsi="Arial" w:cs="Arial"/>
          <w:color w:val="auto"/>
          <w:sz w:val="24"/>
          <w:szCs w:val="24"/>
        </w:rPr>
        <w:fldChar w:fldCharType="end"/>
      </w:r>
    </w:p>
    <w:tbl>
      <w:tblPr>
        <w:tblW w:w="8071" w:type="dxa"/>
        <w:jc w:val="center"/>
        <w:tblInd w:w="55" w:type="dxa"/>
        <w:tblCellMar>
          <w:left w:w="70" w:type="dxa"/>
          <w:right w:w="70" w:type="dxa"/>
        </w:tblCellMar>
        <w:tblLook w:val="04A0" w:firstRow="1" w:lastRow="0" w:firstColumn="1" w:lastColumn="0" w:noHBand="0" w:noVBand="1"/>
      </w:tblPr>
      <w:tblGrid>
        <w:gridCol w:w="1182"/>
        <w:gridCol w:w="3278"/>
        <w:gridCol w:w="1560"/>
        <w:gridCol w:w="2051"/>
      </w:tblGrid>
      <w:tr w:rsidR="00E816EE" w:rsidRPr="00E816EE" w:rsidTr="00462FA4">
        <w:trPr>
          <w:trHeight w:val="751"/>
          <w:jc w:val="center"/>
        </w:trPr>
        <w:tc>
          <w:tcPr>
            <w:tcW w:w="1182" w:type="dxa"/>
            <w:tcBorders>
              <w:top w:val="nil"/>
              <w:left w:val="nil"/>
              <w:bottom w:val="single" w:sz="8" w:space="0" w:color="C2D69B" w:themeColor="accent3" w:themeTint="99"/>
              <w:right w:val="single" w:sz="8" w:space="0" w:color="C2D69B" w:themeColor="accent3" w:themeTint="99"/>
            </w:tcBorders>
            <w:shd w:val="clear" w:color="auto" w:fill="B4BD9F"/>
            <w:vAlign w:val="center"/>
            <w:hideMark/>
          </w:tcPr>
          <w:p w:rsidR="00DD3D80" w:rsidRPr="00E816EE" w:rsidRDefault="00DD3D80" w:rsidP="00462FA4">
            <w:pPr>
              <w:spacing w:after="0" w:line="240" w:lineRule="auto"/>
              <w:jc w:val="center"/>
              <w:rPr>
                <w:rFonts w:ascii="Arial" w:eastAsia="Times New Roman" w:hAnsi="Arial" w:cs="Arial"/>
                <w:b/>
                <w:bCs/>
                <w:sz w:val="24"/>
                <w:szCs w:val="24"/>
                <w:lang w:eastAsia="es-MX"/>
              </w:rPr>
            </w:pPr>
            <w:r w:rsidRPr="00E816EE">
              <w:rPr>
                <w:rFonts w:ascii="Arial" w:eastAsia="Times New Roman" w:hAnsi="Arial" w:cs="Arial"/>
                <w:b/>
                <w:bCs/>
                <w:sz w:val="24"/>
                <w:szCs w:val="24"/>
                <w:lang w:eastAsia="es-MX"/>
              </w:rPr>
              <w:t>Informe</w:t>
            </w:r>
          </w:p>
        </w:tc>
        <w:tc>
          <w:tcPr>
            <w:tcW w:w="3278"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B4BD9F"/>
            <w:vAlign w:val="center"/>
            <w:hideMark/>
          </w:tcPr>
          <w:p w:rsidR="00DD3D80" w:rsidRPr="00E816EE" w:rsidRDefault="00DD3D80" w:rsidP="00462FA4">
            <w:pPr>
              <w:spacing w:after="0" w:line="240" w:lineRule="auto"/>
              <w:jc w:val="center"/>
              <w:rPr>
                <w:rFonts w:ascii="Arial" w:eastAsia="Times New Roman" w:hAnsi="Arial" w:cs="Arial"/>
                <w:b/>
                <w:bCs/>
                <w:sz w:val="24"/>
                <w:szCs w:val="24"/>
                <w:lang w:eastAsia="es-MX"/>
              </w:rPr>
            </w:pPr>
            <w:r w:rsidRPr="00E816EE">
              <w:rPr>
                <w:rFonts w:ascii="Arial" w:eastAsia="Times New Roman" w:hAnsi="Arial" w:cs="Arial"/>
                <w:b/>
                <w:bCs/>
                <w:sz w:val="24"/>
                <w:szCs w:val="24"/>
                <w:lang w:eastAsia="es-MX"/>
              </w:rPr>
              <w:t>Periodo</w:t>
            </w:r>
          </w:p>
        </w:tc>
        <w:tc>
          <w:tcPr>
            <w:tcW w:w="1560"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B4BD9F"/>
            <w:vAlign w:val="center"/>
            <w:hideMark/>
          </w:tcPr>
          <w:p w:rsidR="00DD3D80" w:rsidRPr="00E816EE" w:rsidRDefault="00DD3D80" w:rsidP="00462FA4">
            <w:pPr>
              <w:spacing w:after="0" w:line="240" w:lineRule="auto"/>
              <w:jc w:val="center"/>
              <w:rPr>
                <w:rFonts w:ascii="Arial" w:eastAsia="Times New Roman" w:hAnsi="Arial" w:cs="Arial"/>
                <w:b/>
                <w:bCs/>
                <w:sz w:val="24"/>
                <w:szCs w:val="24"/>
                <w:lang w:eastAsia="es-MX"/>
              </w:rPr>
            </w:pPr>
            <w:r w:rsidRPr="00E816EE">
              <w:rPr>
                <w:rFonts w:ascii="Arial" w:eastAsia="Times New Roman" w:hAnsi="Arial" w:cs="Arial"/>
                <w:b/>
                <w:bCs/>
                <w:sz w:val="24"/>
                <w:szCs w:val="24"/>
                <w:lang w:eastAsia="es-MX"/>
              </w:rPr>
              <w:t>SAM</w:t>
            </w:r>
          </w:p>
          <w:p w:rsidR="00DD3D80" w:rsidRPr="00E816EE" w:rsidRDefault="00DD3D80" w:rsidP="00462FA4">
            <w:pPr>
              <w:spacing w:after="0" w:line="240" w:lineRule="auto"/>
              <w:jc w:val="center"/>
              <w:rPr>
                <w:rFonts w:ascii="Arial" w:eastAsia="Times New Roman" w:hAnsi="Arial" w:cs="Arial"/>
                <w:b/>
                <w:bCs/>
                <w:sz w:val="24"/>
                <w:szCs w:val="24"/>
                <w:lang w:eastAsia="es-MX"/>
              </w:rPr>
            </w:pPr>
            <w:r w:rsidRPr="00E816EE">
              <w:rPr>
                <w:rFonts w:ascii="Arial" w:eastAsia="Times New Roman" w:hAnsi="Arial" w:cs="Arial"/>
                <w:b/>
                <w:bCs/>
                <w:sz w:val="16"/>
                <w:szCs w:val="24"/>
                <w:lang w:eastAsia="es-MX"/>
              </w:rPr>
              <w:t>(Quejas y Denuncias)</w:t>
            </w:r>
          </w:p>
        </w:tc>
        <w:tc>
          <w:tcPr>
            <w:tcW w:w="2051"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B4BD9F"/>
            <w:vAlign w:val="center"/>
            <w:hideMark/>
          </w:tcPr>
          <w:p w:rsidR="00DD3D80" w:rsidRPr="00E816EE" w:rsidRDefault="00DD3D80" w:rsidP="00462FA4">
            <w:pPr>
              <w:spacing w:after="0" w:line="240" w:lineRule="auto"/>
              <w:jc w:val="center"/>
              <w:rPr>
                <w:rFonts w:ascii="Arial" w:eastAsia="Times New Roman" w:hAnsi="Arial" w:cs="Arial"/>
                <w:b/>
                <w:bCs/>
                <w:sz w:val="24"/>
                <w:szCs w:val="24"/>
                <w:lang w:eastAsia="es-MX"/>
              </w:rPr>
            </w:pPr>
            <w:r w:rsidRPr="00E816EE">
              <w:rPr>
                <w:rFonts w:ascii="Arial" w:eastAsia="Times New Roman" w:hAnsi="Arial" w:cs="Arial"/>
                <w:b/>
                <w:bCs/>
                <w:sz w:val="24"/>
                <w:szCs w:val="24"/>
                <w:lang w:eastAsia="es-MX"/>
              </w:rPr>
              <w:t>Procedimientos Administrativos</w:t>
            </w:r>
          </w:p>
        </w:tc>
      </w:tr>
      <w:tr w:rsidR="00E816EE" w:rsidRPr="00E816EE" w:rsidTr="00462FA4">
        <w:trPr>
          <w:trHeight w:val="687"/>
          <w:jc w:val="center"/>
        </w:trPr>
        <w:tc>
          <w:tcPr>
            <w:tcW w:w="1182" w:type="dxa"/>
            <w:tcBorders>
              <w:top w:val="single" w:sz="8" w:space="0" w:color="C2D69B" w:themeColor="accent3" w:themeTint="99"/>
              <w:left w:val="nil"/>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 xml:space="preserve">6° </w:t>
            </w:r>
          </w:p>
        </w:tc>
        <w:tc>
          <w:tcPr>
            <w:tcW w:w="3278"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Del 01 de Septiembre de 2016</w:t>
            </w:r>
            <w:r w:rsidRPr="00E816EE">
              <w:rPr>
                <w:rFonts w:ascii="Arial" w:eastAsia="Times New Roman" w:hAnsi="Arial" w:cs="Arial"/>
                <w:lang w:eastAsia="es-MX"/>
              </w:rPr>
              <w:br/>
              <w:t>al 31 de Agosto de 2017</w:t>
            </w:r>
          </w:p>
        </w:tc>
        <w:tc>
          <w:tcPr>
            <w:tcW w:w="1560"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9,872.0</w:t>
            </w:r>
          </w:p>
        </w:tc>
        <w:tc>
          <w:tcPr>
            <w:tcW w:w="2051"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3,404.0</w:t>
            </w:r>
          </w:p>
        </w:tc>
      </w:tr>
      <w:tr w:rsidR="00E816EE" w:rsidRPr="00E816EE" w:rsidTr="00462FA4">
        <w:trPr>
          <w:trHeight w:val="687"/>
          <w:jc w:val="center"/>
        </w:trPr>
        <w:tc>
          <w:tcPr>
            <w:tcW w:w="1182" w:type="dxa"/>
            <w:tcBorders>
              <w:top w:val="single" w:sz="8" w:space="0" w:color="C2D69B" w:themeColor="accent3" w:themeTint="99"/>
              <w:left w:val="nil"/>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5°</w:t>
            </w:r>
          </w:p>
        </w:tc>
        <w:tc>
          <w:tcPr>
            <w:tcW w:w="3278"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Del 01 de Septiembre de 2009</w:t>
            </w:r>
            <w:r w:rsidRPr="00E816EE">
              <w:rPr>
                <w:rFonts w:ascii="Arial" w:eastAsia="Times New Roman" w:hAnsi="Arial" w:cs="Arial"/>
                <w:lang w:eastAsia="es-MX"/>
              </w:rPr>
              <w:br/>
              <w:t>al 31 de Agosto de 2010</w:t>
            </w:r>
          </w:p>
        </w:tc>
        <w:tc>
          <w:tcPr>
            <w:tcW w:w="1560"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8,327.0</w:t>
            </w:r>
          </w:p>
        </w:tc>
        <w:tc>
          <w:tcPr>
            <w:tcW w:w="2051"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4,393.0</w:t>
            </w:r>
          </w:p>
        </w:tc>
      </w:tr>
      <w:tr w:rsidR="00E816EE" w:rsidRPr="00E816EE" w:rsidTr="00462FA4">
        <w:trPr>
          <w:trHeight w:val="429"/>
          <w:jc w:val="center"/>
        </w:trPr>
        <w:tc>
          <w:tcPr>
            <w:tcW w:w="4460" w:type="dxa"/>
            <w:gridSpan w:val="2"/>
            <w:tcBorders>
              <w:top w:val="single" w:sz="8" w:space="0" w:color="C2D69B" w:themeColor="accent3" w:themeTint="99"/>
              <w:left w:val="nil"/>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b/>
                <w:bCs/>
                <w:lang w:eastAsia="es-MX"/>
              </w:rPr>
            </w:pPr>
            <w:r w:rsidRPr="00E816EE">
              <w:rPr>
                <w:rFonts w:ascii="Arial" w:eastAsia="Times New Roman" w:hAnsi="Arial" w:cs="Arial"/>
                <w:b/>
                <w:bCs/>
                <w:lang w:eastAsia="es-MX"/>
              </w:rPr>
              <w:t>Diferencia</w:t>
            </w:r>
          </w:p>
        </w:tc>
        <w:tc>
          <w:tcPr>
            <w:tcW w:w="1560"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1,545.0</w:t>
            </w:r>
          </w:p>
        </w:tc>
        <w:tc>
          <w:tcPr>
            <w:tcW w:w="2051"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-989.0</w:t>
            </w:r>
          </w:p>
        </w:tc>
      </w:tr>
      <w:tr w:rsidR="00E816EE" w:rsidRPr="00E816EE" w:rsidTr="00462FA4">
        <w:trPr>
          <w:trHeight w:val="429"/>
          <w:jc w:val="center"/>
        </w:trPr>
        <w:tc>
          <w:tcPr>
            <w:tcW w:w="4460" w:type="dxa"/>
            <w:gridSpan w:val="2"/>
            <w:tcBorders>
              <w:top w:val="single" w:sz="8" w:space="0" w:color="C2D69B" w:themeColor="accent3" w:themeTint="99"/>
              <w:left w:val="nil"/>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b/>
                <w:bCs/>
                <w:lang w:eastAsia="es-MX"/>
              </w:rPr>
            </w:pPr>
            <w:r w:rsidRPr="00E816EE">
              <w:rPr>
                <w:rFonts w:ascii="Arial" w:eastAsia="Times New Roman" w:hAnsi="Arial" w:cs="Arial"/>
                <w:b/>
                <w:bCs/>
                <w:lang w:eastAsia="es-MX"/>
              </w:rPr>
              <w:t>Porcentaje</w:t>
            </w:r>
          </w:p>
        </w:tc>
        <w:tc>
          <w:tcPr>
            <w:tcW w:w="1560"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15.65%</w:t>
            </w:r>
          </w:p>
        </w:tc>
        <w:tc>
          <w:tcPr>
            <w:tcW w:w="2051" w:type="dxa"/>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rsidR="00DD3D80" w:rsidRPr="00E816EE" w:rsidRDefault="00DD3D80" w:rsidP="00462FA4">
            <w:pPr>
              <w:spacing w:after="0" w:line="240" w:lineRule="auto"/>
              <w:jc w:val="center"/>
              <w:rPr>
                <w:rFonts w:ascii="Arial" w:eastAsia="Times New Roman" w:hAnsi="Arial" w:cs="Arial"/>
                <w:lang w:eastAsia="es-MX"/>
              </w:rPr>
            </w:pPr>
            <w:r w:rsidRPr="00E816EE">
              <w:rPr>
                <w:rFonts w:ascii="Arial" w:eastAsia="Times New Roman" w:hAnsi="Arial" w:cs="Arial"/>
                <w:lang w:eastAsia="es-MX"/>
              </w:rPr>
              <w:t>-29.05%</w:t>
            </w:r>
          </w:p>
        </w:tc>
      </w:tr>
      <w:tr w:rsidR="00DD3D80" w:rsidRPr="00E816EE" w:rsidTr="00462FA4">
        <w:trPr>
          <w:trHeight w:val="429"/>
          <w:jc w:val="center"/>
        </w:trPr>
        <w:tc>
          <w:tcPr>
            <w:tcW w:w="8071" w:type="dxa"/>
            <w:gridSpan w:val="4"/>
            <w:tcBorders>
              <w:top w:val="single" w:sz="8" w:space="0" w:color="C2D69B" w:themeColor="accent3" w:themeTint="99"/>
              <w:left w:val="nil"/>
            </w:tcBorders>
            <w:shd w:val="clear" w:color="auto" w:fill="auto"/>
            <w:vAlign w:val="center"/>
          </w:tcPr>
          <w:p w:rsidR="00DD3D80" w:rsidRPr="00E816EE" w:rsidRDefault="00DD3D80" w:rsidP="00462FA4">
            <w:pPr>
              <w:spacing w:after="0" w:line="240" w:lineRule="auto"/>
              <w:ind w:left="751" w:right="-29" w:hanging="770"/>
              <w:jc w:val="both"/>
              <w:rPr>
                <w:rFonts w:ascii="Arial" w:eastAsia="Times New Roman" w:hAnsi="Arial" w:cs="Arial"/>
                <w:sz w:val="16"/>
                <w:szCs w:val="16"/>
                <w:lang w:eastAsia="es-MX"/>
              </w:rPr>
            </w:pPr>
            <w:r w:rsidRPr="00E816EE">
              <w:rPr>
                <w:rFonts w:ascii="Arial" w:eastAsia="Times New Roman" w:hAnsi="Arial" w:cs="Arial"/>
                <w:b/>
                <w:sz w:val="16"/>
                <w:szCs w:val="16"/>
                <w:lang w:eastAsia="es-MX"/>
              </w:rPr>
              <w:t>FUENTE:</w:t>
            </w:r>
            <w:r w:rsidRPr="00E816EE">
              <w:rPr>
                <w:rFonts w:ascii="Arial" w:eastAsia="Times New Roman" w:hAnsi="Arial" w:cs="Arial"/>
                <w:sz w:val="16"/>
                <w:szCs w:val="16"/>
                <w:lang w:eastAsia="es-MX"/>
              </w:rPr>
              <w:t xml:space="preserve"> Elaboración propia con datos del </w:t>
            </w:r>
            <w:r w:rsidRPr="00E816EE">
              <w:rPr>
                <w:rFonts w:ascii="Arial" w:hAnsi="Arial" w:cs="Arial"/>
                <w:sz w:val="16"/>
                <w:szCs w:val="16"/>
              </w:rPr>
              <w:t>5° Informe de Gobierno de Enrique Peña Nieto del 1 de septiembre de 2009 al 31 de agosto de 2010 y del 6° Informe de Gobierno de Eruviel Ávila Villegas, del 1 de septiembre de 2016 al 31 de agosto de 2017.</w:t>
            </w:r>
          </w:p>
        </w:tc>
      </w:tr>
    </w:tbl>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Aunado a lo anterior, se observa que para el 2015 en México se registraron en promedio 30 mil 97 actos de corrupción por cada 100 mil habitantes, lo anterior con base en la “</w:t>
      </w:r>
      <w:r w:rsidRPr="00E816EE">
        <w:rPr>
          <w:bCs/>
          <w:color w:val="auto"/>
        </w:rPr>
        <w:t>Encuesta Nacional de Calidad de Impacto Gubernamental” (</w:t>
      </w:r>
      <w:r w:rsidRPr="00E816EE">
        <w:rPr>
          <w:color w:val="auto"/>
        </w:rPr>
        <w:t>ENCIG)</w:t>
      </w:r>
      <w:r w:rsidRPr="00E816EE">
        <w:rPr>
          <w:bCs/>
          <w:color w:val="auto"/>
        </w:rPr>
        <w:t xml:space="preserve"> del Instituto Nacional de Estadística y Geografía (</w:t>
      </w:r>
      <w:r w:rsidRPr="00E816EE">
        <w:rPr>
          <w:iCs/>
          <w:color w:val="auto"/>
        </w:rPr>
        <w:t>INEGI</w:t>
      </w:r>
      <w:r w:rsidRPr="00E816EE">
        <w:rPr>
          <w:bCs/>
          <w:color w:val="auto"/>
        </w:rPr>
        <w:t xml:space="preserve">), </w:t>
      </w:r>
      <w:r w:rsidRPr="00E816EE">
        <w:rPr>
          <w:color w:val="auto"/>
        </w:rPr>
        <w:t>la cual fue publicada el miércoles 25 de mayo de 2016 en medios de difusión como son la Jornada y el Nacional.</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 xml:space="preserve">En el estudio se mencionó que el </w:t>
      </w:r>
      <w:r w:rsidRPr="00E816EE">
        <w:rPr>
          <w:bCs/>
          <w:color w:val="auto"/>
        </w:rPr>
        <w:t xml:space="preserve">Estado de México </w:t>
      </w:r>
      <w:r w:rsidRPr="00E816EE">
        <w:rPr>
          <w:color w:val="auto"/>
        </w:rPr>
        <w:t>fue la entidad con una mayor incidencia, con 62 mil 160 actos de corrupción por cada 100 mil habitantes; a</w:t>
      </w:r>
      <w:r w:rsidRPr="00E816EE">
        <w:rPr>
          <w:bCs/>
          <w:color w:val="auto"/>
        </w:rPr>
        <w:t xml:space="preserve">sí mismo, el estado de Sinaloa ocupó el segundo lugar, con 58 mil 232 actos corruptos, mientras Chihuahua se encontró en el tercer sitio, con 36 mil 472 casos. </w:t>
      </w:r>
      <w:r w:rsidRPr="00E816EE">
        <w:rPr>
          <w:color w:val="auto"/>
        </w:rPr>
        <w:t>Por otro lado, el estado de Colima resulto ser la entidad con menos actos de corrupción con 9,230 actos, Nayarit con 9,879 y Tamaulipas con 10,441 casos, por cada 100,000 habitantes.</w:t>
      </w:r>
    </w:p>
    <w:p w:rsidR="00707340" w:rsidRPr="00707340" w:rsidRDefault="00707340" w:rsidP="00707340">
      <w:pPr>
        <w:pStyle w:val="Epgrafe"/>
        <w:keepNext/>
        <w:spacing w:after="0"/>
        <w:jc w:val="center"/>
        <w:rPr>
          <w:rFonts w:ascii="Arial" w:hAnsi="Arial" w:cs="Arial"/>
          <w:color w:val="auto"/>
          <w:sz w:val="24"/>
          <w:szCs w:val="24"/>
        </w:rPr>
      </w:pPr>
      <w:bookmarkStart w:id="1" w:name="_Toc510526009"/>
      <w:r w:rsidRPr="00707340">
        <w:rPr>
          <w:rFonts w:ascii="Arial" w:hAnsi="Arial" w:cs="Arial"/>
          <w:color w:val="auto"/>
          <w:sz w:val="24"/>
          <w:szCs w:val="24"/>
        </w:rPr>
        <w:lastRenderedPageBreak/>
        <w:t xml:space="preserve">Tabla </w:t>
      </w:r>
      <w:r w:rsidRPr="00707340">
        <w:rPr>
          <w:rFonts w:ascii="Arial" w:hAnsi="Arial" w:cs="Arial"/>
          <w:color w:val="auto"/>
          <w:sz w:val="24"/>
          <w:szCs w:val="24"/>
        </w:rPr>
        <w:fldChar w:fldCharType="begin"/>
      </w:r>
      <w:r w:rsidRPr="00707340">
        <w:rPr>
          <w:rFonts w:ascii="Arial" w:hAnsi="Arial" w:cs="Arial"/>
          <w:color w:val="auto"/>
          <w:sz w:val="24"/>
          <w:szCs w:val="24"/>
        </w:rPr>
        <w:instrText xml:space="preserve"> SEQ Tabla \* ARABIC </w:instrText>
      </w:r>
      <w:r w:rsidRPr="00707340">
        <w:rPr>
          <w:rFonts w:ascii="Arial" w:hAnsi="Arial" w:cs="Arial"/>
          <w:color w:val="auto"/>
          <w:sz w:val="24"/>
          <w:szCs w:val="24"/>
        </w:rPr>
        <w:fldChar w:fldCharType="separate"/>
      </w:r>
      <w:r w:rsidR="004D25BA">
        <w:rPr>
          <w:rFonts w:ascii="Arial" w:hAnsi="Arial" w:cs="Arial"/>
          <w:noProof/>
          <w:color w:val="auto"/>
          <w:sz w:val="24"/>
          <w:szCs w:val="24"/>
        </w:rPr>
        <w:t>2</w:t>
      </w:r>
      <w:bookmarkEnd w:id="1"/>
      <w:r w:rsidRPr="00707340">
        <w:rPr>
          <w:rFonts w:ascii="Arial" w:hAnsi="Arial" w:cs="Arial"/>
          <w:color w:val="auto"/>
          <w:sz w:val="24"/>
          <w:szCs w:val="24"/>
        </w:rPr>
        <w:fldChar w:fldCharType="end"/>
      </w:r>
    </w:p>
    <w:p w:rsidR="00DD3D80" w:rsidRPr="00DD3D80" w:rsidRDefault="00DD3D80" w:rsidP="00DD3D80">
      <w:pPr>
        <w:pStyle w:val="Default"/>
        <w:jc w:val="center"/>
        <w:rPr>
          <w:color w:val="C0504D" w:themeColor="accent2"/>
        </w:rPr>
      </w:pPr>
      <w:r w:rsidRPr="00DD3D80">
        <w:rPr>
          <w:noProof/>
          <w:color w:val="C0504D" w:themeColor="accent2"/>
          <w:lang w:eastAsia="es-MX"/>
        </w:rPr>
        <w:drawing>
          <wp:inline distT="0" distB="0" distL="0" distR="0" wp14:anchorId="0F6BF488" wp14:editId="3B90BCEE">
            <wp:extent cx="4507700" cy="3575050"/>
            <wp:effectExtent l="0" t="0" r="0" b="6350"/>
            <wp:docPr id="359" name="Imagen 359" descr="http://cdn.expansion.mx/infographic/1464210788288-00000154-e9c0-d127-ad54-edda1a8c0000-large/estados-corrupto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10493" cy="3577266"/>
                    </a:xfrm>
                    <a:prstGeom prst="rect">
                      <a:avLst/>
                    </a:prstGeom>
                    <a:noFill/>
                    <a:ln>
                      <a:noFill/>
                      <a:prstDash/>
                    </a:ln>
                  </pic:spPr>
                </pic:pic>
              </a:graphicData>
            </a:graphic>
          </wp:inline>
        </w:drawing>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 xml:space="preserve">Dicha encuesta ofreció información referente a </w:t>
      </w:r>
      <w:r w:rsidRPr="00E816EE">
        <w:rPr>
          <w:bCs/>
          <w:color w:val="auto"/>
        </w:rPr>
        <w:t>“las experiencias en la realización de trámites, pagos y solicitudes de servicios públicos, además de otros contactos con autoridades que durante 2015 tuvo la población de 18 años y más, que reside en ciudades de 100,000 habitantes y más”</w:t>
      </w:r>
      <w:r w:rsidRPr="00E816EE">
        <w:rPr>
          <w:color w:val="auto"/>
        </w:rPr>
        <w:t xml:space="preserve">, explicó el Instituto. Con base en los datos publicados, se observó que los temas más preocupantes para los mexicanos durante 2015, fueron la delincuencia, inseguridad y la corrupción. </w:t>
      </w:r>
      <w:r w:rsidRPr="00E816EE">
        <w:rPr>
          <w:bCs/>
          <w:color w:val="auto"/>
        </w:rPr>
        <w:t>De tal manera que el 66.4% de los ciudadanos opinó que la inseguridad y la delincuencia es uno de los problemas que más aqueja el país y ubicó a la corrupción en segundo lugar con el 50.9%.</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 xml:space="preserve">Los encuestados refirieron que de la corrupción en trámites y servicios públicos, los realizados en instancias de seguridad son más frecuentes con un 55.2% y ante un Ministerio Público con 23.7%. La ENCIG estimó que a nivel nacional, del total de trámites, pagos y solicitudes de servicios públicos realizados por los usuarios, </w:t>
      </w:r>
      <w:r w:rsidRPr="00E816EE">
        <w:rPr>
          <w:color w:val="auto"/>
        </w:rPr>
        <w:lastRenderedPageBreak/>
        <w:t xml:space="preserve">en 52.5% de ellos se presentó algún tipo de problema para realizarlo. </w:t>
      </w:r>
      <w:r w:rsidRPr="00E816EE">
        <w:rPr>
          <w:bCs/>
          <w:color w:val="auto"/>
        </w:rPr>
        <w:t>De estos problemas, el más frecuente fue el de barreras al trámite con 87.6%.</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Como se pudo observar, una gran limitante para una eficaz, eficiente y económica aplicación y administración de los recursos estatales, es la corrupción. Si bien es cierto, esta se presenta o es más notoria por el público en general al realizar algún tipo de trámite; sin embargo, debemos recordar que en la Administración Pública los servidores que entregan algún bien o servicio se convierten en clientes del mismo sistema al llevar a cabo los trámites necesarios para la obtención de recursos, ya sean monetarios o materiales, para la creación o entrega de los bienes y servicios que las instituciones públicas generan y otorgan a la población mexiquense.</w:t>
      </w:r>
    </w:p>
    <w:p w:rsidR="00DD3D80" w:rsidRPr="00E816EE" w:rsidRDefault="00DD3D80" w:rsidP="00DD3D80">
      <w:pPr>
        <w:pStyle w:val="Default"/>
        <w:spacing w:line="360" w:lineRule="auto"/>
        <w:jc w:val="both"/>
        <w:rPr>
          <w:color w:val="auto"/>
        </w:rPr>
      </w:pPr>
    </w:p>
    <w:p w:rsidR="00DD3D80" w:rsidRPr="00E816EE" w:rsidRDefault="00DD3D80" w:rsidP="00DD3D80">
      <w:pPr>
        <w:pStyle w:val="Default"/>
        <w:spacing w:line="360" w:lineRule="auto"/>
        <w:jc w:val="both"/>
        <w:rPr>
          <w:color w:val="auto"/>
        </w:rPr>
      </w:pPr>
      <w:r w:rsidRPr="00E816EE">
        <w:rPr>
          <w:color w:val="auto"/>
        </w:rPr>
        <w:t>Y es donde estos mismos se topan con barreras creadas por ellos mismos, es por lo anterior que una sistema basado en indicadores de medición del desempeño es factible, ya que si estos son implementados se tendría una semaforización donde se pudieran observar las señales de alerta para implementar a corto plazo las medidas necesarias y así contrarrestar los vicios observados en la administración pública estatal.</w:t>
      </w:r>
    </w:p>
    <w:p w:rsidR="001E47CD" w:rsidRPr="00E816EE" w:rsidRDefault="001E47CD" w:rsidP="001E47CD">
      <w:pPr>
        <w:pStyle w:val="Default"/>
        <w:spacing w:line="360" w:lineRule="auto"/>
        <w:jc w:val="both"/>
        <w:rPr>
          <w:color w:val="auto"/>
        </w:rPr>
      </w:pPr>
    </w:p>
    <w:p w:rsidR="006F43DF" w:rsidRPr="00C817D1" w:rsidRDefault="006F43DF" w:rsidP="001E47CD">
      <w:pPr>
        <w:spacing w:after="0" w:line="360" w:lineRule="auto"/>
        <w:jc w:val="both"/>
        <w:rPr>
          <w:rFonts w:ascii="Arial" w:hAnsi="Arial" w:cs="Arial"/>
          <w:sz w:val="24"/>
          <w:szCs w:val="24"/>
        </w:rPr>
      </w:pPr>
      <w:r w:rsidRPr="00C817D1">
        <w:rPr>
          <w:rFonts w:ascii="Arial" w:hAnsi="Arial" w:cs="Arial"/>
          <w:sz w:val="24"/>
          <w:szCs w:val="24"/>
        </w:rPr>
        <w:t>El fiscalizador debe tener en mente que no es suficiente el escrutinio de la cuenta pública, es indispensable que el fiscalizador realice una evaluación sobre los resultados, productos y calidad de servicios entregados por la entidad fiscalizada, a fin de lograr un entendimiento entre el gasto ejercido y el servicio o producto logrado. La incongruencia entre el gasto ejercido y la calidad del producto es motivo de análisis e indicador de alguna irregularidad.</w:t>
      </w:r>
    </w:p>
    <w:p w:rsidR="006F43DF" w:rsidRPr="00C817D1" w:rsidRDefault="006F43DF" w:rsidP="001E47CD">
      <w:pPr>
        <w:spacing w:after="0" w:line="360" w:lineRule="auto"/>
        <w:jc w:val="both"/>
        <w:rPr>
          <w:rFonts w:ascii="Arial" w:hAnsi="Arial" w:cs="Arial"/>
          <w:sz w:val="24"/>
          <w:szCs w:val="24"/>
        </w:rPr>
      </w:pPr>
    </w:p>
    <w:p w:rsidR="001D12BA" w:rsidRPr="00C817D1" w:rsidRDefault="001D12BA" w:rsidP="001E47CD">
      <w:pPr>
        <w:spacing w:after="0" w:line="360" w:lineRule="auto"/>
        <w:jc w:val="both"/>
        <w:rPr>
          <w:rFonts w:ascii="Arial" w:hAnsi="Arial" w:cs="Arial"/>
          <w:sz w:val="24"/>
          <w:szCs w:val="24"/>
        </w:rPr>
      </w:pPr>
      <w:r w:rsidRPr="00C817D1">
        <w:rPr>
          <w:rFonts w:ascii="Arial" w:hAnsi="Arial" w:cs="Arial"/>
          <w:sz w:val="24"/>
          <w:szCs w:val="24"/>
        </w:rPr>
        <w:t>Aunado a lo anterior y como tema relacionado a la fiscalización, el concepto de trasparencia se muestra, por el Instituto Mexicano de Auditores Internos A.C. (</w:t>
      </w:r>
      <w:proofErr w:type="spellStart"/>
      <w:r w:rsidRPr="00C817D1">
        <w:rPr>
          <w:rFonts w:ascii="Arial" w:hAnsi="Arial" w:cs="Arial"/>
          <w:sz w:val="24"/>
          <w:szCs w:val="24"/>
        </w:rPr>
        <w:t>n.d</w:t>
      </w:r>
      <w:proofErr w:type="spellEnd"/>
      <w:r w:rsidRPr="00C817D1">
        <w:rPr>
          <w:rFonts w:ascii="Arial" w:hAnsi="Arial" w:cs="Arial"/>
          <w:sz w:val="24"/>
          <w:szCs w:val="24"/>
        </w:rPr>
        <w:t>., p. 8) como:</w:t>
      </w:r>
    </w:p>
    <w:p w:rsidR="00C17608" w:rsidRPr="00C817D1" w:rsidRDefault="00C17608" w:rsidP="001E47CD">
      <w:pPr>
        <w:spacing w:after="0" w:line="360" w:lineRule="auto"/>
        <w:jc w:val="both"/>
        <w:rPr>
          <w:rFonts w:ascii="Arial" w:hAnsi="Arial" w:cs="Arial"/>
          <w:sz w:val="24"/>
          <w:szCs w:val="24"/>
        </w:rPr>
      </w:pPr>
    </w:p>
    <w:p w:rsidR="006F43DF" w:rsidRPr="00C817D1" w:rsidRDefault="006F43DF" w:rsidP="001E47CD">
      <w:pPr>
        <w:spacing w:after="0" w:line="360" w:lineRule="auto"/>
        <w:ind w:left="284" w:firstLine="116"/>
        <w:jc w:val="both"/>
        <w:rPr>
          <w:rFonts w:ascii="Arial" w:hAnsi="Arial" w:cs="Arial"/>
          <w:b/>
          <w:i/>
          <w:sz w:val="24"/>
          <w:szCs w:val="24"/>
        </w:rPr>
      </w:pPr>
      <w:r w:rsidRPr="00C817D1">
        <w:rPr>
          <w:rFonts w:ascii="Arial" w:hAnsi="Arial" w:cs="Arial"/>
          <w:b/>
          <w:i/>
          <w:sz w:val="24"/>
          <w:szCs w:val="24"/>
        </w:rPr>
        <w:t>Transparencia</w:t>
      </w:r>
    </w:p>
    <w:p w:rsidR="006F43DF" w:rsidRPr="00C817D1" w:rsidRDefault="006F43DF" w:rsidP="001E47CD">
      <w:pPr>
        <w:pStyle w:val="Default"/>
        <w:spacing w:line="360" w:lineRule="auto"/>
        <w:ind w:left="284"/>
        <w:jc w:val="both"/>
        <w:rPr>
          <w:i/>
          <w:color w:val="auto"/>
        </w:rPr>
      </w:pPr>
      <w:r w:rsidRPr="00C817D1">
        <w:rPr>
          <w:i/>
          <w:color w:val="auto"/>
        </w:rPr>
        <w:t xml:space="preserve">La noción de </w:t>
      </w:r>
      <w:r w:rsidRPr="00C817D1">
        <w:rPr>
          <w:i/>
          <w:iCs/>
          <w:color w:val="auto"/>
        </w:rPr>
        <w:t xml:space="preserve">transparencia </w:t>
      </w:r>
      <w:r w:rsidRPr="00C817D1">
        <w:rPr>
          <w:i/>
          <w:color w:val="auto"/>
        </w:rPr>
        <w:t>se refiere a la información pública por la EFS, de manera oportuna, fidedigna, clara y pertinente, sobre su situación, competencia, estrategia, actividades, gestión financiera, actuaciones y rendimiento. Además, incluye la obligación de informar sobre los resultados y conclusiones de las auditorías, y hacer accesible al público la información relativa a la EFS.</w:t>
      </w:r>
    </w:p>
    <w:p w:rsidR="001D12BA" w:rsidRPr="00C817D1" w:rsidRDefault="001D12BA" w:rsidP="001E47CD">
      <w:pPr>
        <w:pStyle w:val="Default"/>
        <w:spacing w:line="360" w:lineRule="auto"/>
        <w:jc w:val="both"/>
        <w:rPr>
          <w:color w:val="auto"/>
        </w:rPr>
      </w:pPr>
    </w:p>
    <w:p w:rsidR="006F43DF" w:rsidRPr="00C817D1" w:rsidRDefault="006F43DF" w:rsidP="001E47CD">
      <w:pPr>
        <w:pStyle w:val="Default"/>
        <w:spacing w:line="360" w:lineRule="auto"/>
        <w:jc w:val="both"/>
        <w:rPr>
          <w:color w:val="auto"/>
        </w:rPr>
      </w:pPr>
      <w:r w:rsidRPr="00C817D1">
        <w:rPr>
          <w:color w:val="auto"/>
        </w:rPr>
        <w:t>Es necesario que el auditor goce de acceso irrestricto a la información, para ello se requiere, que la entidad fiscalizada actué en total transparencia, permitiendo el acceso a los registros de la cuenta pública</w:t>
      </w:r>
      <w:r w:rsidR="009B39AC" w:rsidRPr="00C817D1">
        <w:rPr>
          <w:color w:val="auto"/>
        </w:rPr>
        <w:t xml:space="preserve"> y la administración de los recursos públicos</w:t>
      </w:r>
      <w:r w:rsidRPr="00C817D1">
        <w:rPr>
          <w:color w:val="auto"/>
        </w:rPr>
        <w:t>.</w:t>
      </w:r>
    </w:p>
    <w:p w:rsidR="007530B8" w:rsidRPr="00C817D1" w:rsidRDefault="007530B8" w:rsidP="001E47CD">
      <w:pPr>
        <w:pStyle w:val="Default"/>
        <w:spacing w:line="360" w:lineRule="auto"/>
        <w:jc w:val="both"/>
        <w:rPr>
          <w:color w:val="auto"/>
        </w:rPr>
      </w:pPr>
    </w:p>
    <w:p w:rsidR="006F43DF" w:rsidRPr="00C817D1" w:rsidRDefault="00D23866" w:rsidP="001E47CD">
      <w:pPr>
        <w:pStyle w:val="Default"/>
        <w:spacing w:line="360" w:lineRule="auto"/>
        <w:ind w:left="284"/>
        <w:jc w:val="both"/>
        <w:rPr>
          <w:i/>
          <w:color w:val="auto"/>
        </w:rPr>
      </w:pPr>
      <w:r w:rsidRPr="00C817D1">
        <w:rPr>
          <w:i/>
        </w:rPr>
        <w:t>El Instituto Mexicano de Auditores Internos A.C. (</w:t>
      </w:r>
      <w:proofErr w:type="spellStart"/>
      <w:r w:rsidRPr="00C817D1">
        <w:rPr>
          <w:i/>
        </w:rPr>
        <w:t>n.d</w:t>
      </w:r>
      <w:proofErr w:type="spellEnd"/>
      <w:r w:rsidRPr="00C817D1">
        <w:rPr>
          <w:i/>
        </w:rPr>
        <w:t>., p. 8) menciona que c</w:t>
      </w:r>
      <w:r w:rsidR="006F43DF" w:rsidRPr="00C817D1">
        <w:rPr>
          <w:i/>
          <w:color w:val="auto"/>
        </w:rPr>
        <w:t>on base en consolidar la democracia en la región, desde 2001 se realiza el Índice Latinoamericano de Transparencia Presupuestaria (ILTP),</w:t>
      </w:r>
      <w:r w:rsidR="009B39AC" w:rsidRPr="00C817D1">
        <w:rPr>
          <w:i/>
          <w:color w:val="auto"/>
        </w:rPr>
        <w:t xml:space="preserve"> </w:t>
      </w:r>
      <w:r w:rsidR="006F43DF" w:rsidRPr="00C817D1">
        <w:rPr>
          <w:i/>
          <w:color w:val="auto"/>
        </w:rPr>
        <w:t>el</w:t>
      </w:r>
      <w:r w:rsidR="00095D2F" w:rsidRPr="00C817D1">
        <w:rPr>
          <w:i/>
          <w:color w:val="auto"/>
        </w:rPr>
        <w:t xml:space="preserve"> cual tiene</w:t>
      </w:r>
      <w:r w:rsidR="003F554B" w:rsidRPr="00C817D1">
        <w:rPr>
          <w:i/>
          <w:color w:val="auto"/>
        </w:rPr>
        <w:t xml:space="preserve"> como</w:t>
      </w:r>
      <w:r w:rsidR="006F43DF" w:rsidRPr="00C817D1">
        <w:rPr>
          <w:i/>
          <w:color w:val="auto"/>
        </w:rPr>
        <w:t xml:space="preserve"> objetivo general del proyecto</w:t>
      </w:r>
      <w:r w:rsidR="00095D2F" w:rsidRPr="00C817D1">
        <w:rPr>
          <w:i/>
          <w:color w:val="auto"/>
        </w:rPr>
        <w:t>,</w:t>
      </w:r>
      <w:r w:rsidR="006F43DF" w:rsidRPr="00C817D1">
        <w:rPr>
          <w:i/>
          <w:color w:val="auto"/>
        </w:rPr>
        <w:t xml:space="preserve"> generar el conocimiento relevante para entender y transformar el proceso presupuestario, a fin de hacerlo más transparente y sensible a las necesidades de los grupos de población marginados y, de esta manera, colocar el tema de la transparencia presupuestaria en la agenda pública; así como promover la creación de espacios formales e informales para la participación ciudadana en etapas clave del proceso presupuestario</w:t>
      </w:r>
      <w:r w:rsidR="003F554B" w:rsidRPr="00C817D1">
        <w:rPr>
          <w:i/>
        </w:rPr>
        <w:t>.</w:t>
      </w:r>
    </w:p>
    <w:p w:rsidR="006F43DF" w:rsidRPr="00C817D1" w:rsidRDefault="006F43DF" w:rsidP="001E47CD">
      <w:pPr>
        <w:pStyle w:val="Default"/>
        <w:spacing w:line="360" w:lineRule="auto"/>
        <w:ind w:left="284"/>
        <w:jc w:val="both"/>
        <w:rPr>
          <w:i/>
          <w:color w:val="auto"/>
        </w:rPr>
      </w:pPr>
    </w:p>
    <w:p w:rsidR="006F43DF" w:rsidRPr="00C817D1" w:rsidRDefault="006F43DF" w:rsidP="001E47CD">
      <w:pPr>
        <w:spacing w:after="0" w:line="360" w:lineRule="auto"/>
        <w:ind w:left="284"/>
        <w:jc w:val="both"/>
        <w:rPr>
          <w:rFonts w:ascii="Arial" w:hAnsi="Arial" w:cs="Arial"/>
          <w:i/>
          <w:sz w:val="24"/>
          <w:szCs w:val="24"/>
        </w:rPr>
      </w:pPr>
      <w:r w:rsidRPr="00C817D1">
        <w:rPr>
          <w:rFonts w:ascii="Arial" w:hAnsi="Arial" w:cs="Arial"/>
          <w:i/>
          <w:sz w:val="24"/>
          <w:szCs w:val="24"/>
        </w:rPr>
        <w:t>La transparencia presupuestaria se expresa en el conjunto de normas y prácticas claras en el proceso presupuestario, el acceso del público a la información y los mecanismos formales para la participación durante el proceso. La existencia de estos elementos es una condición necesaria para la consolidación de cualquier estado democrático.</w:t>
      </w:r>
      <w:r w:rsidR="003F554B" w:rsidRPr="00C817D1">
        <w:rPr>
          <w:rFonts w:ascii="Arial" w:hAnsi="Arial" w:cs="Arial"/>
          <w:i/>
          <w:sz w:val="24"/>
          <w:szCs w:val="24"/>
        </w:rPr>
        <w:t xml:space="preserve"> </w:t>
      </w:r>
    </w:p>
    <w:p w:rsidR="006F43DF" w:rsidRPr="00C817D1" w:rsidRDefault="006F43DF" w:rsidP="001E47CD">
      <w:pPr>
        <w:spacing w:after="0" w:line="360" w:lineRule="auto"/>
        <w:jc w:val="both"/>
        <w:rPr>
          <w:rFonts w:ascii="Arial" w:hAnsi="Arial" w:cs="Arial"/>
          <w:sz w:val="24"/>
          <w:szCs w:val="24"/>
        </w:rPr>
      </w:pPr>
    </w:p>
    <w:p w:rsidR="006F43DF" w:rsidRPr="00C817D1" w:rsidRDefault="006F43DF" w:rsidP="001E47CD">
      <w:pPr>
        <w:spacing w:after="0" w:line="360" w:lineRule="auto"/>
        <w:jc w:val="both"/>
        <w:rPr>
          <w:rFonts w:ascii="Arial" w:hAnsi="Arial" w:cs="Arial"/>
          <w:sz w:val="24"/>
          <w:szCs w:val="24"/>
        </w:rPr>
      </w:pPr>
      <w:r w:rsidRPr="00C817D1">
        <w:rPr>
          <w:rFonts w:ascii="Arial" w:hAnsi="Arial" w:cs="Arial"/>
          <w:sz w:val="24"/>
          <w:szCs w:val="24"/>
        </w:rPr>
        <w:lastRenderedPageBreak/>
        <w:t>En tanto la ciudadanía no tenga conocimiento preciso de las políticas públicas y su aplicación, particularmente el gasto públic</w:t>
      </w:r>
      <w:r w:rsidR="004E5BC4" w:rsidRPr="00C817D1">
        <w:rPr>
          <w:rFonts w:ascii="Arial" w:hAnsi="Arial" w:cs="Arial"/>
          <w:sz w:val="24"/>
          <w:szCs w:val="24"/>
        </w:rPr>
        <w:t>o, su información está truncada</w:t>
      </w:r>
      <w:r w:rsidRPr="00C817D1">
        <w:rPr>
          <w:rFonts w:ascii="Arial" w:hAnsi="Arial" w:cs="Arial"/>
          <w:sz w:val="24"/>
          <w:szCs w:val="24"/>
        </w:rPr>
        <w:t xml:space="preserve"> inhibiendo la posibilidad de </w:t>
      </w:r>
      <w:r w:rsidR="004E5BC4" w:rsidRPr="00C817D1">
        <w:rPr>
          <w:rFonts w:ascii="Arial" w:hAnsi="Arial" w:cs="Arial"/>
          <w:sz w:val="24"/>
          <w:szCs w:val="24"/>
        </w:rPr>
        <w:t>tom</w:t>
      </w:r>
      <w:r w:rsidRPr="00C817D1">
        <w:rPr>
          <w:rFonts w:ascii="Arial" w:hAnsi="Arial" w:cs="Arial"/>
          <w:sz w:val="24"/>
          <w:szCs w:val="24"/>
        </w:rPr>
        <w:t>ar decisiones informadas a la hora de ejercer su derecho ciudadano. La información puntual y comprensiva es necesaria para conocer y evaluar el impacto del gasto y el desempeño de las políticas públicas, así como identificar responsables del manejo de recursos.</w:t>
      </w:r>
    </w:p>
    <w:p w:rsidR="003F554B" w:rsidRPr="00C817D1" w:rsidRDefault="003F554B" w:rsidP="001E47CD">
      <w:pPr>
        <w:spacing w:after="0" w:line="360" w:lineRule="auto"/>
        <w:jc w:val="both"/>
        <w:rPr>
          <w:rFonts w:ascii="Arial" w:hAnsi="Arial" w:cs="Arial"/>
          <w:sz w:val="24"/>
          <w:szCs w:val="24"/>
        </w:rPr>
      </w:pP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Las instituciones del control son inmanentes a las economías financieras públicas.</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Muestra de ello es la Organización Internacional de Entidades Fiscalizadoras Superiores (INTOSAI), que dentro de sus Estatutos (Diciembre 2016, p. 1), </w:t>
      </w:r>
      <w:r w:rsidR="00D23866" w:rsidRPr="00C817D1">
        <w:rPr>
          <w:rFonts w:ascii="Arial" w:eastAsia="Times New Roman" w:hAnsi="Arial" w:cs="Arial"/>
          <w:color w:val="000000"/>
          <w:sz w:val="24"/>
          <w:szCs w:val="24"/>
        </w:rPr>
        <w:t>‘</w:t>
      </w:r>
      <w:r w:rsidRPr="00C817D1">
        <w:rPr>
          <w:rFonts w:ascii="Arial" w:eastAsia="Times New Roman" w:hAnsi="Arial" w:cs="Arial"/>
          <w:color w:val="000000"/>
          <w:sz w:val="24"/>
          <w:szCs w:val="24"/>
        </w:rPr>
        <w:t>define su finalidad como un organismo autónomo, independiente, profesional y apolítico, creado como una institución permanente</w:t>
      </w:r>
      <w:r w:rsidR="00D23866" w:rsidRPr="00C817D1">
        <w:rPr>
          <w:rFonts w:ascii="Arial" w:eastAsia="Times New Roman" w:hAnsi="Arial" w:cs="Arial"/>
          <w:color w:val="000000"/>
          <w:sz w:val="24"/>
          <w:szCs w:val="24"/>
        </w:rPr>
        <w:t>’; la cual se constituye para</w:t>
      </w:r>
      <w:r w:rsidRPr="00C817D1">
        <w:rPr>
          <w:rFonts w:ascii="Arial" w:eastAsia="Times New Roman" w:hAnsi="Arial" w:cs="Arial"/>
          <w:color w:val="000000"/>
          <w:sz w:val="24"/>
          <w:szCs w:val="24"/>
        </w:rPr>
        <w:t xml:space="preserve">: </w:t>
      </w:r>
    </w:p>
    <w:p w:rsidR="003A3FFF" w:rsidRPr="00C817D1" w:rsidRDefault="003A3FFF" w:rsidP="001E47CD">
      <w:pPr>
        <w:spacing w:after="0" w:line="360" w:lineRule="auto"/>
        <w:jc w:val="both"/>
        <w:rPr>
          <w:rFonts w:ascii="Arial" w:eastAsia="Times New Roman" w:hAnsi="Arial" w:cs="Arial"/>
          <w:color w:val="000000"/>
          <w:sz w:val="24"/>
          <w:szCs w:val="24"/>
        </w:rPr>
      </w:pPr>
    </w:p>
    <w:p w:rsidR="003A3FFF" w:rsidRPr="00C817D1" w:rsidRDefault="003A3FFF" w:rsidP="001E47CD">
      <w:pPr>
        <w:pStyle w:val="Prrafodelista"/>
        <w:numPr>
          <w:ilvl w:val="0"/>
          <w:numId w:val="3"/>
        </w:numPr>
        <w:spacing w:after="0" w:line="360" w:lineRule="auto"/>
        <w:ind w:left="426"/>
        <w:jc w:val="both"/>
        <w:rPr>
          <w:rFonts w:ascii="Arial" w:eastAsia="Times New Roman" w:hAnsi="Arial" w:cs="Arial"/>
          <w:color w:val="000000"/>
          <w:sz w:val="24"/>
          <w:szCs w:val="24"/>
        </w:rPr>
      </w:pPr>
      <w:r w:rsidRPr="00C817D1">
        <w:rPr>
          <w:rFonts w:ascii="Arial" w:eastAsia="Times New Roman" w:hAnsi="Arial" w:cs="Arial"/>
          <w:color w:val="000000"/>
          <w:sz w:val="24"/>
          <w:szCs w:val="24"/>
        </w:rPr>
        <w:t>Fomentar el apoyo mutuo;</w:t>
      </w:r>
    </w:p>
    <w:p w:rsidR="003A3FFF" w:rsidRPr="00C817D1" w:rsidRDefault="003A3FFF" w:rsidP="001E47CD">
      <w:pPr>
        <w:pStyle w:val="Prrafodelista"/>
        <w:numPr>
          <w:ilvl w:val="0"/>
          <w:numId w:val="3"/>
        </w:numPr>
        <w:spacing w:after="0" w:line="360" w:lineRule="auto"/>
        <w:ind w:left="426"/>
        <w:jc w:val="both"/>
        <w:rPr>
          <w:rFonts w:ascii="Arial" w:eastAsia="Times New Roman" w:hAnsi="Arial" w:cs="Arial"/>
          <w:color w:val="000000"/>
          <w:sz w:val="24"/>
          <w:szCs w:val="24"/>
        </w:rPr>
      </w:pPr>
      <w:r w:rsidRPr="00C817D1">
        <w:rPr>
          <w:rFonts w:ascii="Arial" w:eastAsia="Times New Roman" w:hAnsi="Arial" w:cs="Arial"/>
          <w:color w:val="000000"/>
          <w:sz w:val="24"/>
          <w:szCs w:val="24"/>
        </w:rPr>
        <w:t>Fortalecer el intercambio de ideas, conocimientos y experiencias;</w:t>
      </w:r>
    </w:p>
    <w:p w:rsidR="003A3FFF" w:rsidRPr="00C817D1" w:rsidRDefault="003A3FFF" w:rsidP="001E47CD">
      <w:pPr>
        <w:pStyle w:val="Prrafodelista"/>
        <w:numPr>
          <w:ilvl w:val="0"/>
          <w:numId w:val="3"/>
        </w:numPr>
        <w:spacing w:after="0" w:line="360" w:lineRule="auto"/>
        <w:ind w:left="426"/>
        <w:jc w:val="both"/>
        <w:rPr>
          <w:rFonts w:ascii="Arial" w:eastAsia="Times New Roman" w:hAnsi="Arial" w:cs="Arial"/>
          <w:color w:val="000000"/>
          <w:sz w:val="24"/>
          <w:szCs w:val="24"/>
        </w:rPr>
      </w:pPr>
      <w:r w:rsidRPr="00C817D1">
        <w:rPr>
          <w:rFonts w:ascii="Arial" w:eastAsia="Times New Roman" w:hAnsi="Arial" w:cs="Arial"/>
          <w:color w:val="000000"/>
          <w:sz w:val="24"/>
          <w:szCs w:val="24"/>
        </w:rPr>
        <w:t>Actuar como portavoz, reconocido globalmente de las EFS dentro de la comunidad internacional;</w:t>
      </w:r>
    </w:p>
    <w:p w:rsidR="003A3FFF" w:rsidRPr="00C817D1" w:rsidRDefault="003A3FFF" w:rsidP="001E47CD">
      <w:pPr>
        <w:pStyle w:val="Prrafodelista"/>
        <w:numPr>
          <w:ilvl w:val="0"/>
          <w:numId w:val="3"/>
        </w:numPr>
        <w:spacing w:after="0" w:line="360" w:lineRule="auto"/>
        <w:ind w:left="426"/>
        <w:jc w:val="both"/>
        <w:rPr>
          <w:rFonts w:ascii="Arial" w:eastAsia="Times New Roman" w:hAnsi="Arial" w:cs="Arial"/>
          <w:color w:val="000000"/>
          <w:sz w:val="24"/>
          <w:szCs w:val="24"/>
        </w:rPr>
      </w:pPr>
      <w:r w:rsidRPr="00C817D1">
        <w:rPr>
          <w:rFonts w:ascii="Arial" w:eastAsia="Times New Roman" w:hAnsi="Arial" w:cs="Arial"/>
          <w:color w:val="000000"/>
          <w:sz w:val="24"/>
          <w:szCs w:val="24"/>
        </w:rPr>
        <w:t>Elabora normas para la auditoría del sector público; y</w:t>
      </w:r>
    </w:p>
    <w:p w:rsidR="003A3FFF" w:rsidRDefault="003A3FFF" w:rsidP="001E47CD">
      <w:pPr>
        <w:pStyle w:val="Prrafodelista"/>
        <w:numPr>
          <w:ilvl w:val="0"/>
          <w:numId w:val="3"/>
        </w:numPr>
        <w:spacing w:after="0" w:line="360" w:lineRule="auto"/>
        <w:ind w:left="426"/>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Fomentar la buena gobernanza y promover el desarrollo de capacidades, la cooperación y una continua mejora del rendimiento de las </w:t>
      </w:r>
      <w:r w:rsidR="00FA6D39" w:rsidRPr="00C817D1">
        <w:rPr>
          <w:rFonts w:ascii="Arial" w:eastAsia="Times New Roman" w:hAnsi="Arial" w:cs="Arial"/>
          <w:color w:val="000000"/>
          <w:sz w:val="24"/>
          <w:szCs w:val="24"/>
        </w:rPr>
        <w:t>Entidades de Fiscalización Superior (</w:t>
      </w:r>
      <w:r w:rsidRPr="00C817D1">
        <w:rPr>
          <w:rFonts w:ascii="Arial" w:eastAsia="Times New Roman" w:hAnsi="Arial" w:cs="Arial"/>
          <w:color w:val="000000"/>
          <w:sz w:val="24"/>
          <w:szCs w:val="24"/>
        </w:rPr>
        <w:t>EFS</w:t>
      </w:r>
      <w:r w:rsidR="00FA6D39" w:rsidRPr="00C817D1">
        <w:rPr>
          <w:rFonts w:ascii="Arial" w:eastAsia="Times New Roman" w:hAnsi="Arial" w:cs="Arial"/>
          <w:color w:val="000000"/>
          <w:sz w:val="24"/>
          <w:szCs w:val="24"/>
        </w:rPr>
        <w:t>)</w:t>
      </w:r>
      <w:r w:rsidRPr="00C817D1">
        <w:rPr>
          <w:rFonts w:ascii="Arial" w:eastAsia="Times New Roman" w:hAnsi="Arial" w:cs="Arial"/>
          <w:color w:val="000000"/>
          <w:sz w:val="24"/>
          <w:szCs w:val="24"/>
        </w:rPr>
        <w:t>.</w:t>
      </w:r>
    </w:p>
    <w:p w:rsidR="002A2DA7" w:rsidRPr="002A2DA7" w:rsidRDefault="002A2DA7" w:rsidP="002A2DA7">
      <w:pPr>
        <w:spacing w:after="0" w:line="360" w:lineRule="auto"/>
        <w:ind w:left="66"/>
        <w:jc w:val="both"/>
        <w:rPr>
          <w:rFonts w:ascii="Arial" w:eastAsia="Times New Roman" w:hAnsi="Arial" w:cs="Arial"/>
          <w:color w:val="000000"/>
          <w:sz w:val="24"/>
          <w:szCs w:val="24"/>
        </w:rPr>
      </w:pP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Así mismo, la INTOSAI precisa su objetivo como</w:t>
      </w:r>
      <w:r w:rsidR="002D443F" w:rsidRPr="00C817D1">
        <w:rPr>
          <w:rFonts w:ascii="Arial" w:eastAsia="Times New Roman" w:hAnsi="Arial" w:cs="Arial"/>
          <w:color w:val="000000"/>
          <w:sz w:val="24"/>
          <w:szCs w:val="24"/>
        </w:rPr>
        <w:t xml:space="preserve"> (www.intosai.org, 2017) ‘</w:t>
      </w:r>
      <w:r w:rsidRPr="00C817D1">
        <w:rPr>
          <w:rFonts w:ascii="Arial" w:eastAsia="Times New Roman" w:hAnsi="Arial" w:cs="Arial"/>
          <w:color w:val="000000"/>
          <w:sz w:val="24"/>
          <w:szCs w:val="24"/>
        </w:rPr>
        <w:t>promover la buena gobernanza al habilitar a las EFS para poder apoyar a sus respectivos gobiernos para mejorar el rendimiento, aumentar la transparencia, asegurar la rendición de cuentas, mantener credibilidad, luchar contra la corrupción, promover la confianza y fomentar la eficiente y efectiva recepción y utilización de recursos públicos a favor y beneficio de sus ciudadanos</w:t>
      </w:r>
      <w:r w:rsidR="002D443F" w:rsidRPr="00C817D1">
        <w:rPr>
          <w:rFonts w:ascii="Arial" w:eastAsia="Times New Roman" w:hAnsi="Arial" w:cs="Arial"/>
          <w:color w:val="000000"/>
          <w:sz w:val="24"/>
          <w:szCs w:val="24"/>
        </w:rPr>
        <w:t>’</w:t>
      </w:r>
      <w:r w:rsidRPr="00C817D1">
        <w:rPr>
          <w:rFonts w:ascii="Arial" w:eastAsia="Times New Roman" w:hAnsi="Arial" w:cs="Arial"/>
          <w:color w:val="000000"/>
          <w:sz w:val="24"/>
          <w:szCs w:val="24"/>
        </w:rPr>
        <w:t>.</w:t>
      </w:r>
    </w:p>
    <w:p w:rsidR="003A3FFF" w:rsidRPr="00C817D1" w:rsidRDefault="003A3FFF" w:rsidP="001E47CD">
      <w:pPr>
        <w:spacing w:after="0" w:line="360" w:lineRule="auto"/>
        <w:jc w:val="both"/>
        <w:rPr>
          <w:rFonts w:ascii="Arial" w:eastAsia="Times New Roman" w:hAnsi="Arial" w:cs="Arial"/>
          <w:color w:val="000000"/>
          <w:sz w:val="24"/>
          <w:szCs w:val="24"/>
        </w:rPr>
      </w:pP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lastRenderedPageBreak/>
        <w:t xml:space="preserve">Por más de 50 años, la INTOSAI ha proporcionado un marco institucional para la transferencia y el aumento de conocimientos, lo anterior para mejorar a nivel mundial la fiscalización pública exterior y por lo tanto fortalecer la posición, competencia y prestigio de las distintas Entidades de Fiscalización Superior (EFS) en sus respectivos países. </w:t>
      </w:r>
    </w:p>
    <w:p w:rsidR="00446C01" w:rsidRPr="00C817D1" w:rsidRDefault="00446C01" w:rsidP="001E47CD">
      <w:pPr>
        <w:spacing w:after="0" w:line="360" w:lineRule="auto"/>
        <w:jc w:val="both"/>
        <w:rPr>
          <w:rFonts w:ascii="Arial" w:eastAsia="Times New Roman" w:hAnsi="Arial" w:cs="Arial"/>
          <w:color w:val="000000"/>
          <w:sz w:val="24"/>
          <w:szCs w:val="24"/>
        </w:rPr>
      </w:pP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El intercambio de experiencias entre los miembros de la INTOSAI y los consiguientes descubrimientos y perspectivas</w:t>
      </w:r>
      <w:r w:rsidR="00F5529E" w:rsidRPr="00C817D1">
        <w:rPr>
          <w:rFonts w:ascii="Arial" w:eastAsia="Times New Roman" w:hAnsi="Arial" w:cs="Arial"/>
          <w:color w:val="000000"/>
          <w:sz w:val="24"/>
          <w:szCs w:val="24"/>
        </w:rPr>
        <w:t>,</w:t>
      </w:r>
      <w:r w:rsidRPr="00C817D1">
        <w:rPr>
          <w:rFonts w:ascii="Arial" w:eastAsia="Times New Roman" w:hAnsi="Arial" w:cs="Arial"/>
          <w:color w:val="000000"/>
          <w:sz w:val="24"/>
          <w:szCs w:val="24"/>
        </w:rPr>
        <w:t xml:space="preserve"> constituyen una garantía para que la fiscalización pública avance continuamente hacia nuevas metas.</w:t>
      </w:r>
    </w:p>
    <w:p w:rsidR="003A3FFF" w:rsidRPr="00C817D1" w:rsidRDefault="003A3FFF" w:rsidP="001E47CD">
      <w:pPr>
        <w:spacing w:after="0" w:line="360" w:lineRule="auto"/>
        <w:jc w:val="both"/>
        <w:rPr>
          <w:rFonts w:ascii="Arial" w:eastAsia="Times New Roman" w:hAnsi="Arial" w:cs="Arial"/>
          <w:color w:val="000000"/>
          <w:sz w:val="24"/>
          <w:szCs w:val="24"/>
        </w:rPr>
      </w:pPr>
    </w:p>
    <w:p w:rsidR="003A3FFF"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La Organización Internacional de Entidades Fiscalizadoras Superiores fue fundada en 1953 a iniciativa del entonces Presidente de las EFS de Cuba, Emilio Fernández Camus, año en el que se reunieron 34 EFS para el Primer Congreso. Actualmente la INTOSAI cuenta con 194 miembros de pleno derecho y 5 miembros asociados. Los siguientes Órganos y Entidades Relacionadas apoyan y llevan a cabo los temas </w:t>
      </w:r>
      <w:r w:rsidR="00436DCF" w:rsidRPr="00C817D1">
        <w:rPr>
          <w:rFonts w:ascii="Arial" w:eastAsia="Times New Roman" w:hAnsi="Arial" w:cs="Arial"/>
          <w:color w:val="000000"/>
          <w:sz w:val="24"/>
          <w:szCs w:val="24"/>
        </w:rPr>
        <w:t>inherentes a</w:t>
      </w:r>
      <w:r w:rsidR="00897677" w:rsidRPr="00C817D1">
        <w:rPr>
          <w:rFonts w:ascii="Arial" w:eastAsia="Times New Roman" w:hAnsi="Arial" w:cs="Arial"/>
          <w:color w:val="000000"/>
          <w:sz w:val="24"/>
          <w:szCs w:val="24"/>
        </w:rPr>
        <w:t xml:space="preserve"> la INTOSAI </w:t>
      </w:r>
      <w:r w:rsidRPr="00C817D1">
        <w:rPr>
          <w:rFonts w:ascii="Arial" w:eastAsia="Times New Roman" w:hAnsi="Arial" w:cs="Arial"/>
          <w:color w:val="000000"/>
          <w:sz w:val="24"/>
          <w:szCs w:val="24"/>
        </w:rPr>
        <w:t>(www.intosai.org, 2017).</w:t>
      </w:r>
    </w:p>
    <w:p w:rsidR="00C817D1" w:rsidRPr="00C817D1" w:rsidRDefault="00C817D1" w:rsidP="001E47CD">
      <w:pPr>
        <w:spacing w:after="0" w:line="360" w:lineRule="auto"/>
        <w:jc w:val="both"/>
        <w:rPr>
          <w:rFonts w:ascii="Arial" w:eastAsia="Times New Roman" w:hAnsi="Arial" w:cs="Arial"/>
          <w:color w:val="000000"/>
          <w:sz w:val="24"/>
          <w:szCs w:val="24"/>
        </w:rPr>
      </w:pP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1) Órganos:</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a) El Congreso;</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b) El Comité Directivo;</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c) la Secretaría General;</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d) Los Comités de Meta de la INTOSAI; y</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e) Comité Supervisor sobre Asuntos Emergentes (SCEI).</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2) Órganos de la INTOSAI que son entidades legales separadas:</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a) La Revista Internacional de Auditoría Gubernamental (RIAG); y</w:t>
      </w:r>
    </w:p>
    <w:p w:rsidR="003A3FFF" w:rsidRPr="00C817D1" w:rsidRDefault="003A3FFF" w:rsidP="001E47CD">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ab/>
        <w:t>b) La Iniciativa de Desarrollo de la INTOSAI (IDI).</w:t>
      </w:r>
    </w:p>
    <w:p w:rsidR="003A3FFF" w:rsidRPr="001E47CD" w:rsidRDefault="003A3FFF" w:rsidP="001E47CD">
      <w:pPr>
        <w:spacing w:after="0" w:line="360" w:lineRule="auto"/>
        <w:jc w:val="both"/>
        <w:rPr>
          <w:rFonts w:ascii="Arial" w:eastAsia="Times New Roman" w:hAnsi="Arial" w:cs="Arial"/>
          <w:color w:val="000000"/>
          <w:sz w:val="24"/>
          <w:szCs w:val="24"/>
        </w:rPr>
      </w:pPr>
    </w:p>
    <w:p w:rsidR="003A3FFF" w:rsidRPr="001E47CD" w:rsidRDefault="003A3FFF" w:rsidP="001E47CD">
      <w:pPr>
        <w:spacing w:after="0" w:line="360" w:lineRule="auto"/>
        <w:jc w:val="both"/>
        <w:rPr>
          <w:rFonts w:ascii="Arial" w:eastAsia="Times New Roman" w:hAnsi="Arial" w:cs="Arial"/>
          <w:color w:val="000000"/>
          <w:sz w:val="24"/>
          <w:szCs w:val="24"/>
        </w:rPr>
      </w:pPr>
      <w:r w:rsidRPr="001E47CD">
        <w:rPr>
          <w:rFonts w:ascii="Arial" w:eastAsia="Times New Roman" w:hAnsi="Arial" w:cs="Arial"/>
          <w:color w:val="000000"/>
          <w:sz w:val="24"/>
          <w:szCs w:val="24"/>
        </w:rPr>
        <w:t>3) Entidades Relacionadas:</w:t>
      </w:r>
    </w:p>
    <w:p w:rsidR="003A3FFF" w:rsidRPr="001E47CD" w:rsidRDefault="003A3FFF" w:rsidP="001E47CD">
      <w:pPr>
        <w:spacing w:after="0" w:line="360" w:lineRule="auto"/>
        <w:jc w:val="both"/>
        <w:rPr>
          <w:rFonts w:ascii="Arial" w:eastAsia="Times New Roman" w:hAnsi="Arial" w:cs="Arial"/>
          <w:color w:val="000000"/>
          <w:sz w:val="24"/>
          <w:szCs w:val="24"/>
        </w:rPr>
      </w:pPr>
      <w:r w:rsidRPr="001E47CD">
        <w:rPr>
          <w:rFonts w:ascii="Arial" w:eastAsia="Times New Roman" w:hAnsi="Arial" w:cs="Arial"/>
          <w:color w:val="000000"/>
          <w:sz w:val="24"/>
          <w:szCs w:val="24"/>
        </w:rPr>
        <w:tab/>
        <w:t>Organizaciones Regionales.</w:t>
      </w:r>
    </w:p>
    <w:p w:rsidR="003A3FFF" w:rsidRPr="001E47CD" w:rsidRDefault="003A3FFF" w:rsidP="001E47CD">
      <w:pPr>
        <w:spacing w:after="0" w:line="360" w:lineRule="auto"/>
        <w:jc w:val="both"/>
        <w:rPr>
          <w:rFonts w:ascii="Arial" w:eastAsia="Times New Roman" w:hAnsi="Arial" w:cs="Arial"/>
          <w:color w:val="000000"/>
          <w:sz w:val="24"/>
          <w:szCs w:val="24"/>
        </w:rPr>
      </w:pPr>
    </w:p>
    <w:p w:rsidR="003A3FFF" w:rsidRPr="001E47CD" w:rsidRDefault="003A3FFF" w:rsidP="001E47CD">
      <w:pPr>
        <w:spacing w:after="0" w:line="360" w:lineRule="auto"/>
        <w:jc w:val="both"/>
        <w:rPr>
          <w:rFonts w:ascii="Arial" w:eastAsia="Times New Roman" w:hAnsi="Arial" w:cs="Arial"/>
          <w:color w:val="000000"/>
          <w:sz w:val="24"/>
          <w:szCs w:val="24"/>
        </w:rPr>
      </w:pPr>
      <w:r w:rsidRPr="001E47CD">
        <w:rPr>
          <w:rFonts w:ascii="Arial" w:eastAsia="Times New Roman" w:hAnsi="Arial" w:cs="Arial"/>
          <w:color w:val="000000"/>
          <w:sz w:val="24"/>
          <w:szCs w:val="24"/>
        </w:rPr>
        <w:lastRenderedPageBreak/>
        <w:t>Las Organizaciones Regionales apoyan los objetivos de la INTOSAI a nivel regional y ofrecen a los miembros un foro para la cooperación y profesionalización de sus miembros. El Comité Directivo de la INTOSAI ha reconocido las siguientes siete Organizaciones Regionales:</w:t>
      </w:r>
    </w:p>
    <w:p w:rsidR="006C3DA8" w:rsidRPr="001E47CD" w:rsidRDefault="006C3DA8" w:rsidP="001E47CD">
      <w:pPr>
        <w:spacing w:after="0" w:line="360" w:lineRule="auto"/>
        <w:jc w:val="both"/>
        <w:rPr>
          <w:rFonts w:ascii="Arial" w:eastAsia="Times New Roman" w:hAnsi="Arial" w:cs="Arial"/>
          <w:color w:val="000000"/>
          <w:sz w:val="24"/>
          <w:szCs w:val="24"/>
        </w:rPr>
      </w:pPr>
    </w:p>
    <w:p w:rsidR="00707340" w:rsidRPr="00707340" w:rsidRDefault="00707340" w:rsidP="00707340">
      <w:pPr>
        <w:pStyle w:val="Epgrafe"/>
        <w:keepNext/>
        <w:spacing w:after="0"/>
        <w:jc w:val="center"/>
        <w:rPr>
          <w:rFonts w:ascii="Arial" w:hAnsi="Arial" w:cs="Arial"/>
          <w:color w:val="auto"/>
          <w:sz w:val="24"/>
          <w:szCs w:val="24"/>
        </w:rPr>
      </w:pPr>
      <w:bookmarkStart w:id="2" w:name="_Toc510526010"/>
      <w:r w:rsidRPr="00707340">
        <w:rPr>
          <w:rFonts w:ascii="Arial" w:hAnsi="Arial" w:cs="Arial"/>
          <w:color w:val="auto"/>
          <w:sz w:val="24"/>
          <w:szCs w:val="24"/>
        </w:rPr>
        <w:t xml:space="preserve">Tabla </w:t>
      </w:r>
      <w:r w:rsidRPr="00707340">
        <w:rPr>
          <w:rFonts w:ascii="Arial" w:hAnsi="Arial" w:cs="Arial"/>
          <w:color w:val="auto"/>
          <w:sz w:val="24"/>
          <w:szCs w:val="24"/>
        </w:rPr>
        <w:fldChar w:fldCharType="begin"/>
      </w:r>
      <w:r w:rsidRPr="00707340">
        <w:rPr>
          <w:rFonts w:ascii="Arial" w:hAnsi="Arial" w:cs="Arial"/>
          <w:color w:val="auto"/>
          <w:sz w:val="24"/>
          <w:szCs w:val="24"/>
        </w:rPr>
        <w:instrText xml:space="preserve"> SEQ Tabla \* ARABIC </w:instrText>
      </w:r>
      <w:r w:rsidRPr="00707340">
        <w:rPr>
          <w:rFonts w:ascii="Arial" w:hAnsi="Arial" w:cs="Arial"/>
          <w:color w:val="auto"/>
          <w:sz w:val="24"/>
          <w:szCs w:val="24"/>
        </w:rPr>
        <w:fldChar w:fldCharType="separate"/>
      </w:r>
      <w:r w:rsidR="004D25BA">
        <w:rPr>
          <w:rFonts w:ascii="Arial" w:hAnsi="Arial" w:cs="Arial"/>
          <w:noProof/>
          <w:color w:val="auto"/>
          <w:sz w:val="24"/>
          <w:szCs w:val="24"/>
        </w:rPr>
        <w:t>3</w:t>
      </w:r>
      <w:bookmarkEnd w:id="2"/>
      <w:r w:rsidRPr="00707340">
        <w:rPr>
          <w:rFonts w:ascii="Arial" w:hAnsi="Arial" w:cs="Arial"/>
          <w:color w:val="auto"/>
          <w:sz w:val="24"/>
          <w:szCs w:val="24"/>
        </w:rPr>
        <w:fldChar w:fldCharType="end"/>
      </w:r>
    </w:p>
    <w:tbl>
      <w:tblPr>
        <w:tblW w:w="8325"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3"/>
        <w:gridCol w:w="4885"/>
        <w:gridCol w:w="2007"/>
      </w:tblGrid>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15" w:history="1">
              <w:r w:rsidR="003A3FFF" w:rsidRPr="00C817D1">
                <w:rPr>
                  <w:rFonts w:ascii="Arial" w:eastAsia="Times New Roman" w:hAnsi="Arial" w:cs="Arial"/>
                  <w:sz w:val="24"/>
                  <w:szCs w:val="24"/>
                  <w:lang w:eastAsia="es-MX"/>
                </w:rPr>
                <w:t>OLACEFS</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Latinoamericana y del Caribe de Entidades Fiscalizadoras Superiores</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1965</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16" w:history="1">
              <w:r w:rsidR="003A3FFF" w:rsidRPr="00C817D1">
                <w:rPr>
                  <w:rFonts w:ascii="Arial" w:eastAsia="Times New Roman" w:hAnsi="Arial" w:cs="Arial"/>
                  <w:sz w:val="24"/>
                  <w:szCs w:val="24"/>
                  <w:lang w:eastAsia="es-MX"/>
                </w:rPr>
                <w:t>AFROSAI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de Entidades Fiscalizadoras Superiores de África</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1976</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17" w:history="1">
              <w:r w:rsidR="003A3FFF" w:rsidRPr="00C817D1">
                <w:rPr>
                  <w:rFonts w:ascii="Arial" w:eastAsia="Times New Roman" w:hAnsi="Arial" w:cs="Arial"/>
                  <w:sz w:val="24"/>
                  <w:szCs w:val="24"/>
                  <w:lang w:eastAsia="es-MX"/>
                </w:rPr>
                <w:t>ARABOSAI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Árabe de Entidades Fiscalizadoras Superiores</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1976</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18" w:history="1">
              <w:r w:rsidR="003A3FFF" w:rsidRPr="00C817D1">
                <w:rPr>
                  <w:rFonts w:ascii="Arial" w:eastAsia="Times New Roman" w:hAnsi="Arial" w:cs="Arial"/>
                  <w:sz w:val="24"/>
                  <w:szCs w:val="24"/>
                  <w:lang w:eastAsia="es-MX"/>
                </w:rPr>
                <w:t>ASOSAI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de Entidades Fiscalizadoras Superiores de Asia</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1978</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19" w:history="1">
              <w:r w:rsidR="003A3FFF" w:rsidRPr="00C817D1">
                <w:rPr>
                  <w:rFonts w:ascii="Arial" w:eastAsia="Times New Roman" w:hAnsi="Arial" w:cs="Arial"/>
                  <w:sz w:val="24"/>
                  <w:szCs w:val="24"/>
                  <w:lang w:eastAsia="es-MX"/>
                </w:rPr>
                <w:t>PASAI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Asociación de Entidades Fiscalizadoras Superiores del Pacífico</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1987</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20" w:history="1">
              <w:r w:rsidR="003A3FFF" w:rsidRPr="00C817D1">
                <w:rPr>
                  <w:rFonts w:ascii="Arial" w:eastAsia="Times New Roman" w:hAnsi="Arial" w:cs="Arial"/>
                  <w:sz w:val="24"/>
                  <w:szCs w:val="24"/>
                  <w:lang w:eastAsia="es-MX"/>
                </w:rPr>
                <w:t>CAROSAI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de Entidades Fiscalizadoras Superiores del Caribe</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1988</w:t>
            </w:r>
          </w:p>
        </w:tc>
      </w:tr>
      <w:tr w:rsidR="003A3FFF" w:rsidRPr="009C1AD8" w:rsidTr="00D1277C">
        <w:trPr>
          <w:tblCellSpacing w:w="15" w:type="dxa"/>
          <w:jc w:val="center"/>
        </w:trPr>
        <w:tc>
          <w:tcPr>
            <w:tcW w:w="0" w:type="auto"/>
            <w:shd w:val="clear" w:color="auto" w:fill="auto"/>
            <w:tcMar>
              <w:top w:w="75" w:type="dxa"/>
              <w:left w:w="75" w:type="dxa"/>
              <w:bottom w:w="75" w:type="dxa"/>
              <w:right w:w="75" w:type="dxa"/>
            </w:tcMar>
            <w:vAlign w:val="center"/>
            <w:hideMark/>
          </w:tcPr>
          <w:p w:rsidR="003A3FFF" w:rsidRPr="00C817D1" w:rsidRDefault="00976B25" w:rsidP="00D1277C">
            <w:pPr>
              <w:spacing w:after="0" w:line="240" w:lineRule="auto"/>
              <w:rPr>
                <w:rFonts w:ascii="Arial" w:eastAsia="Times New Roman" w:hAnsi="Arial" w:cs="Arial"/>
                <w:sz w:val="24"/>
                <w:szCs w:val="24"/>
                <w:lang w:eastAsia="es-MX"/>
              </w:rPr>
            </w:pPr>
            <w:hyperlink r:id="rId21" w:history="1">
              <w:r w:rsidR="003A3FFF" w:rsidRPr="00C817D1">
                <w:rPr>
                  <w:rFonts w:ascii="Arial" w:eastAsia="Times New Roman" w:hAnsi="Arial" w:cs="Arial"/>
                  <w:sz w:val="24"/>
                  <w:szCs w:val="24"/>
                  <w:lang w:eastAsia="es-MX"/>
                </w:rPr>
                <w:t>EUROSAI</w:t>
              </w:r>
            </w:hyperlink>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Organización de las Entidades Fiscalizadoras Superiores de Europa</w:t>
            </w:r>
          </w:p>
        </w:tc>
        <w:tc>
          <w:tcPr>
            <w:tcW w:w="0" w:type="auto"/>
            <w:shd w:val="clear" w:color="auto" w:fill="auto"/>
            <w:tcMar>
              <w:top w:w="75" w:type="dxa"/>
              <w:left w:w="75" w:type="dxa"/>
              <w:bottom w:w="75" w:type="dxa"/>
              <w:right w:w="75" w:type="dxa"/>
            </w:tcMar>
            <w:vAlign w:val="center"/>
            <w:hideMark/>
          </w:tcPr>
          <w:p w:rsidR="003A3FFF" w:rsidRPr="00C817D1" w:rsidRDefault="003A3FFF" w:rsidP="00D1277C">
            <w:pPr>
              <w:spacing w:after="0" w:line="240" w:lineRule="auto"/>
              <w:rPr>
                <w:rFonts w:ascii="Arial" w:eastAsia="Times New Roman" w:hAnsi="Arial" w:cs="Arial"/>
                <w:sz w:val="24"/>
                <w:szCs w:val="24"/>
                <w:lang w:eastAsia="es-MX"/>
              </w:rPr>
            </w:pPr>
            <w:r w:rsidRPr="00C817D1">
              <w:rPr>
                <w:rFonts w:ascii="Arial" w:eastAsia="Times New Roman" w:hAnsi="Arial" w:cs="Arial"/>
                <w:sz w:val="24"/>
                <w:szCs w:val="24"/>
                <w:lang w:eastAsia="es-MX"/>
              </w:rPr>
              <w:t>fundada en 1990</w:t>
            </w:r>
          </w:p>
        </w:tc>
      </w:tr>
    </w:tbl>
    <w:p w:rsidR="003A3FFF" w:rsidRPr="00744531" w:rsidRDefault="003A3FFF" w:rsidP="003A3FFF">
      <w:pPr>
        <w:spacing w:after="0" w:line="360" w:lineRule="auto"/>
        <w:jc w:val="both"/>
        <w:rPr>
          <w:rFonts w:ascii="Arial" w:eastAsia="Times New Roman" w:hAnsi="Arial" w:cs="Arial"/>
          <w:color w:val="000000"/>
          <w:sz w:val="24"/>
          <w:szCs w:val="24"/>
        </w:rPr>
      </w:pPr>
    </w:p>
    <w:p w:rsidR="003A3FFF" w:rsidRPr="00132650" w:rsidRDefault="003A3FFF" w:rsidP="003A3FFF">
      <w:pPr>
        <w:shd w:val="clear" w:color="auto" w:fill="FFFFFF"/>
        <w:spacing w:after="0" w:line="225" w:lineRule="atLeast"/>
        <w:jc w:val="center"/>
        <w:rPr>
          <w:rFonts w:ascii="Verdana" w:eastAsia="Times New Roman" w:hAnsi="Verdana" w:cs="Times New Roman"/>
          <w:lang w:eastAsia="es-MX"/>
        </w:rPr>
      </w:pPr>
      <w:r w:rsidRPr="00132650">
        <w:rPr>
          <w:rFonts w:ascii="Verdana" w:eastAsia="Times New Roman" w:hAnsi="Verdana" w:cs="Times New Roman"/>
          <w:noProof/>
          <w:lang w:eastAsia="es-MX"/>
        </w:rPr>
        <w:drawing>
          <wp:inline distT="0" distB="0" distL="0" distR="0" wp14:anchorId="3AACC0CA" wp14:editId="106CE66B">
            <wp:extent cx="5202453" cy="2813050"/>
            <wp:effectExtent l="0" t="0" r="0" b="6350"/>
            <wp:docPr id="2" name="Imagen 2" descr="http://www.intosai.org/fileadmin/_processed_/csm_graphic_regionalworkinggroups_02_3f140f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osai.org/fileadmin/_processed_/csm_graphic_regionalworkinggroups_02_3f140f01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2306" cy="2812971"/>
                    </a:xfrm>
                    <a:prstGeom prst="rect">
                      <a:avLst/>
                    </a:prstGeom>
                    <a:noFill/>
                    <a:ln>
                      <a:noFill/>
                    </a:ln>
                  </pic:spPr>
                </pic:pic>
              </a:graphicData>
            </a:graphic>
          </wp:inline>
        </w:drawing>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México, pertenece a la </w:t>
      </w:r>
      <w:r w:rsidRPr="00C817D1">
        <w:rPr>
          <w:rFonts w:ascii="Arial" w:eastAsia="Times New Roman" w:hAnsi="Arial" w:cs="Arial"/>
          <w:sz w:val="24"/>
          <w:szCs w:val="24"/>
          <w:lang w:eastAsia="es-MX"/>
        </w:rPr>
        <w:t>Organización Latinoamericana y del Caribe de Entidades Fiscalizadoras Superiores (OLACEFS).</w:t>
      </w:r>
    </w:p>
    <w:p w:rsidR="00F5529E" w:rsidRPr="00C817D1" w:rsidRDefault="00F5529E"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La Entidad Fiscalizadora Superior sólo puede cumplir eficazmente sus funciones si es independiente de la institución controlada y se halla protegida contra influencias exteriores. Aunque una independencia absoluta respecto de los demás órganos estatales es imposible, por estar ella misma inserta en la totalidad estatal, las Entidades Fiscalizadoras Superiores deben gozar de la independencia funcional y organizativa necesaria para el cumplimiento de sus funciones.</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El grado de su independencia debe regularse en la Constitución; los aspectos concretos podrán ser regulados por medio de Leyes. Especialmente deben gozar de una protección legal suficiente, garantizada por un Tribunal Supremo, contra cualquier injerencia en su independencia y sus competencias de control.</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La independencia otorgada a las Entidades Fiscalizadoras Superiores por la Constitución y la Ley, les garantiza iniciativa y responsabilidad, aun cuando actúen como órganos del gobierno y ejerzan el control por encargo de éste a los ejecutores de recursos públicos. La Constitución debe regular las relaciones entre la Entidad Fiscalizadora Superior y el gobierno, de acuerdo con las circunstancias y necesidades de cada país.</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Por lo cual en octubre de 1977, los delegados al IX INCOSAI de Lima (Perú) aprobaron por aclamación la Declaración de Lima de Criterios sobre las Normas de Auditoría (ISSAI</w:t>
      </w:r>
      <w:r w:rsidRPr="00C817D1">
        <w:rPr>
          <w:rStyle w:val="Refdenotaalpie"/>
          <w:rFonts w:ascii="Arial" w:hAnsi="Arial" w:cs="Arial"/>
          <w:b/>
          <w:color w:val="000000"/>
          <w:sz w:val="24"/>
          <w:szCs w:val="24"/>
        </w:rPr>
        <w:footnoteReference w:id="2"/>
      </w:r>
      <w:r w:rsidRPr="00C817D1">
        <w:rPr>
          <w:rFonts w:ascii="Arial" w:eastAsia="Times New Roman" w:hAnsi="Arial" w:cs="Arial"/>
          <w:color w:val="000000"/>
          <w:sz w:val="24"/>
          <w:szCs w:val="24"/>
        </w:rPr>
        <w:t xml:space="preserve"> </w:t>
      </w:r>
      <w:proofErr w:type="spellStart"/>
      <w:r w:rsidRPr="00C817D1">
        <w:rPr>
          <w:rFonts w:ascii="Arial" w:eastAsia="Times New Roman" w:hAnsi="Arial" w:cs="Arial"/>
          <w:color w:val="000000"/>
          <w:sz w:val="24"/>
          <w:szCs w:val="24"/>
        </w:rPr>
        <w:t>n.d</w:t>
      </w:r>
      <w:proofErr w:type="spellEnd"/>
      <w:r w:rsidRPr="00C817D1">
        <w:rPr>
          <w:rFonts w:ascii="Arial" w:eastAsia="Times New Roman" w:hAnsi="Arial" w:cs="Arial"/>
          <w:color w:val="000000"/>
          <w:sz w:val="24"/>
          <w:szCs w:val="24"/>
        </w:rPr>
        <w:t>., p.4), la cual tuvo grandes esperanzas de que llegaran a aplicarse en todo el mundo, pero no se tenía ninguna certidumbre a ese respecto.</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lastRenderedPageBreak/>
        <w:t>Las experiencias que se han llevado a cabo desde entonces en relación con la Declaración de Lima han superado incluso las expectativas más elevadas, y han manifestado su influencia sobre el desarrollo de la auditoría pública en todos los países. La Declaración de Lima es importante para todas las Entidades Fiscalizadoras Superiores de la INTOSAI, sea cual fuere la región a la que pertenezcan, el desarrollo que hayan tenido, el modo en que se integren dentro de la administración pública, o la forma en que estén organizadas.</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El éxito de la Declaración se debe sobre todo al hecho de que, por una parte, abarca una amplia lista de todos los objetivos y temas relacionados con la auditoría de la administración pública, y que, al mismo tiempo, son notablemente significativos y concisos, lo cual facilita su utilización, mientras que la claridad de su lenguaje garantiza que la atención se centre en los elementos principales.</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El propósito esencial de la Declaración de Lima consiste en defender la independencia en la auditoría de la administración pública. Una Entidad Fiscalizadora Superior que no pueda cumplir esta exigencia no se ajusta a las normas. Por consiguiente, no llama la atención que el tema de la independencia de las Entidades Fiscalizadoras Superiores continúe siendo una cuestión que se debate de forma reiterada en el ámbito de la INTOSAI. Sin embargo, es preciso señalar que la Declaración no se aplica por el mero hecho de que se logre la independencia, sino que también se requiere que esta independencia esté ratificada por la legislación. </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 xml:space="preserve">Esto exige que las instituciones funcionen correctamente para que haya una seguridad jurídica, lo cual sólo podrá darse en una democracia que se rija por el imperio de la ley. </w:t>
      </w:r>
    </w:p>
    <w:p w:rsidR="003A3FFF" w:rsidRPr="00C817D1" w:rsidRDefault="003A3FFF" w:rsidP="003A3FFF">
      <w:pPr>
        <w:spacing w:after="0" w:line="360" w:lineRule="auto"/>
        <w:jc w:val="both"/>
        <w:rPr>
          <w:rFonts w:ascii="Arial" w:eastAsia="Times New Roman" w:hAnsi="Arial" w:cs="Arial"/>
          <w:color w:val="000000"/>
          <w:sz w:val="24"/>
          <w:szCs w:val="24"/>
          <w:lang w:eastAsia="es-MX"/>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En otro contexto, se observa que en las décadas de los años 80 y 90, Nueva Zelanda, Reino Unido y Australia realizaron reformas a sus presupuestos</w:t>
      </w:r>
      <w:r w:rsidR="00FA6D39" w:rsidRPr="00C817D1">
        <w:rPr>
          <w:rFonts w:ascii="Arial" w:eastAsia="Times New Roman" w:hAnsi="Arial" w:cs="Arial"/>
          <w:color w:val="000000"/>
          <w:sz w:val="24"/>
          <w:szCs w:val="24"/>
        </w:rPr>
        <w:t>;</w:t>
      </w:r>
      <w:r w:rsidRPr="00C817D1">
        <w:rPr>
          <w:rFonts w:ascii="Arial" w:eastAsia="Times New Roman" w:hAnsi="Arial" w:cs="Arial"/>
          <w:color w:val="000000"/>
          <w:sz w:val="24"/>
          <w:szCs w:val="24"/>
        </w:rPr>
        <w:t xml:space="preserve"> para el </w:t>
      </w:r>
      <w:r w:rsidRPr="00C817D1">
        <w:rPr>
          <w:rFonts w:ascii="Arial" w:eastAsia="Times New Roman" w:hAnsi="Arial" w:cs="Arial"/>
          <w:color w:val="000000"/>
          <w:sz w:val="24"/>
          <w:szCs w:val="24"/>
        </w:rPr>
        <w:lastRenderedPageBreak/>
        <w:t>2010 Dinamarca, Suecia, Corea, Canadá, Holanda y Chile, entre otras naciones, implementaron un Presupuesto basado en Resultados (</w:t>
      </w:r>
      <w:proofErr w:type="spellStart"/>
      <w:r w:rsidRPr="00C817D1">
        <w:rPr>
          <w:rFonts w:ascii="Arial" w:eastAsia="Times New Roman" w:hAnsi="Arial" w:cs="Arial"/>
          <w:color w:val="000000"/>
          <w:sz w:val="24"/>
          <w:szCs w:val="24"/>
        </w:rPr>
        <w:t>PbR</w:t>
      </w:r>
      <w:proofErr w:type="spellEnd"/>
      <w:r w:rsidRPr="00C817D1">
        <w:rPr>
          <w:rFonts w:ascii="Arial" w:eastAsia="Times New Roman" w:hAnsi="Arial" w:cs="Arial"/>
          <w:color w:val="000000"/>
          <w:sz w:val="24"/>
          <w:szCs w:val="24"/>
        </w:rPr>
        <w:t>), definido como el proceso que integra, de forma sistemática en las decisiones correspondientes, consideraciones sobre los resultados y el impacto en la ejecución de los programas presupuestarios y de la aplicación de los recursos asignados a éstos, con el objeto de entregar mejores bienes y servicios públicos a la población, elevar la calidad en el gasto público y promover una adecuada rendición de cuentas y transparencia.</w:t>
      </w:r>
    </w:p>
    <w:p w:rsidR="003A3FFF" w:rsidRPr="00C817D1" w:rsidRDefault="003A3FFF" w:rsidP="003A3FFF">
      <w:pPr>
        <w:spacing w:after="0" w:line="360" w:lineRule="auto"/>
        <w:jc w:val="both"/>
        <w:rPr>
          <w:rFonts w:ascii="Arial" w:eastAsia="Times New Roman" w:hAnsi="Arial" w:cs="Arial"/>
          <w:color w:val="000000"/>
          <w:sz w:val="24"/>
          <w:szCs w:val="24"/>
        </w:rPr>
      </w:pPr>
    </w:p>
    <w:p w:rsidR="009803E6"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En consecuencia, la Administración Pública adapta la Gestión para Resultados (</w:t>
      </w:r>
      <w:proofErr w:type="spellStart"/>
      <w:r w:rsidRPr="00C817D1">
        <w:rPr>
          <w:rFonts w:ascii="Arial" w:eastAsia="Times New Roman" w:hAnsi="Arial" w:cs="Arial"/>
          <w:sz w:val="24"/>
          <w:szCs w:val="24"/>
        </w:rPr>
        <w:t>GpR</w:t>
      </w:r>
      <w:proofErr w:type="spellEnd"/>
      <w:r w:rsidRPr="00C817D1">
        <w:rPr>
          <w:rFonts w:ascii="Arial" w:eastAsia="Times New Roman" w:hAnsi="Arial" w:cs="Arial"/>
          <w:sz w:val="24"/>
          <w:szCs w:val="24"/>
        </w:rPr>
        <w:t>) que es un modelo de cultura organizacional, directiva y de desempeño institucional que pone más énfasis en los resultados que en los procedimientos, aunque no se descuida la parte de cómo se hacen las cosas; cobrando mayor relevancia el qué se hace, qué se logra y cuál es su impacto en el bienestar de la población, es decir la creación de “</w:t>
      </w:r>
      <w:r w:rsidR="00AF30D2" w:rsidRPr="00C817D1">
        <w:rPr>
          <w:rFonts w:ascii="Arial" w:eastAsia="Times New Roman" w:hAnsi="Arial" w:cs="Arial"/>
          <w:sz w:val="24"/>
          <w:szCs w:val="24"/>
        </w:rPr>
        <w:t>valor público</w:t>
      </w:r>
      <w:r w:rsidRPr="00C817D1">
        <w:rPr>
          <w:rFonts w:ascii="Arial" w:eastAsia="Times New Roman" w:hAnsi="Arial" w:cs="Arial"/>
          <w:sz w:val="24"/>
          <w:szCs w:val="24"/>
        </w:rPr>
        <w:t>”.</w:t>
      </w:r>
      <w:r w:rsidR="002A2DA7">
        <w:rPr>
          <w:rFonts w:ascii="Arial" w:eastAsia="Times New Roman" w:hAnsi="Arial" w:cs="Arial"/>
          <w:sz w:val="24"/>
          <w:szCs w:val="24"/>
        </w:rPr>
        <w:t xml:space="preserve"> </w:t>
      </w:r>
      <w:r w:rsidRPr="00C817D1">
        <w:rPr>
          <w:rFonts w:ascii="Arial" w:eastAsia="Times New Roman" w:hAnsi="Arial" w:cs="Arial"/>
          <w:sz w:val="24"/>
          <w:szCs w:val="24"/>
        </w:rPr>
        <w:t xml:space="preserve">Así, el objeto de la </w:t>
      </w:r>
      <w:proofErr w:type="spellStart"/>
      <w:r w:rsidRPr="00C817D1">
        <w:rPr>
          <w:rFonts w:ascii="Arial" w:eastAsia="Times New Roman" w:hAnsi="Arial" w:cs="Arial"/>
          <w:sz w:val="24"/>
          <w:szCs w:val="24"/>
        </w:rPr>
        <w:t>GpR</w:t>
      </w:r>
      <w:proofErr w:type="spellEnd"/>
      <w:r w:rsidRPr="00C817D1">
        <w:rPr>
          <w:rFonts w:ascii="Arial" w:eastAsia="Times New Roman" w:hAnsi="Arial" w:cs="Arial"/>
          <w:sz w:val="24"/>
          <w:szCs w:val="24"/>
        </w:rPr>
        <w:t xml:space="preserve"> es el conjunto de componentes, interacciones, factores y agentes que forman parte del proceso de creación del valor público.</w:t>
      </w:r>
    </w:p>
    <w:p w:rsidR="002A2DA7" w:rsidRPr="00C817D1" w:rsidRDefault="002A2DA7" w:rsidP="009803E6">
      <w:pPr>
        <w:spacing w:after="0" w:line="360" w:lineRule="auto"/>
        <w:jc w:val="both"/>
        <w:rPr>
          <w:rFonts w:ascii="Arial" w:eastAsia="Times New Roman" w:hAnsi="Arial" w:cs="Arial"/>
          <w:sz w:val="24"/>
          <w:szCs w:val="24"/>
        </w:rPr>
      </w:pPr>
    </w:p>
    <w:p w:rsidR="009803E6" w:rsidRPr="00C817D1"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Derivado de lo anterior, en las décadas de los años 80 y 90, Nueva Zelanda, Reino Unido y Australia realizaron reformas a sus presupuestos, para el 2010 Dinamarca, Suecia, Corea, Canadá, Holanda y Chile, entre otras naciones, implementaron un Presupuesto basado en Resultados (</w:t>
      </w:r>
      <w:proofErr w:type="spellStart"/>
      <w:r w:rsidRPr="00C817D1">
        <w:rPr>
          <w:rFonts w:ascii="Arial" w:eastAsia="Times New Roman" w:hAnsi="Arial" w:cs="Arial"/>
          <w:sz w:val="24"/>
          <w:szCs w:val="24"/>
        </w:rPr>
        <w:t>PbR</w:t>
      </w:r>
      <w:proofErr w:type="spellEnd"/>
      <w:r w:rsidRPr="00C817D1">
        <w:rPr>
          <w:rFonts w:ascii="Arial" w:eastAsia="Times New Roman" w:hAnsi="Arial" w:cs="Arial"/>
          <w:sz w:val="24"/>
          <w:szCs w:val="24"/>
        </w:rPr>
        <w:t>), definido como el proceso que integra, de forma sistemática en las decisiones correspondientes, consideraciones sobre los resultados y el impacto en la ejecución de los programas presupuestarios y de la aplicación de los recursos asignados a éstos, con el objeto de entregar mejores bienes y servicios públicos a la población, elevar la calidad en el gasto público y promover una adecuada rendición de cuentas y transparencia.</w:t>
      </w:r>
    </w:p>
    <w:p w:rsidR="009803E6" w:rsidRDefault="009803E6" w:rsidP="009803E6">
      <w:pPr>
        <w:spacing w:after="0" w:line="360" w:lineRule="auto"/>
        <w:jc w:val="both"/>
        <w:rPr>
          <w:rFonts w:ascii="Arial" w:eastAsia="Times New Roman" w:hAnsi="Arial" w:cs="Arial"/>
          <w:sz w:val="24"/>
          <w:szCs w:val="24"/>
        </w:rPr>
      </w:pPr>
    </w:p>
    <w:p w:rsidR="00DC114F" w:rsidRDefault="00DC114F" w:rsidP="009803E6">
      <w:pPr>
        <w:spacing w:after="0" w:line="360" w:lineRule="auto"/>
        <w:jc w:val="both"/>
        <w:rPr>
          <w:rFonts w:ascii="Arial" w:eastAsia="Times New Roman" w:hAnsi="Arial" w:cs="Arial"/>
          <w:sz w:val="24"/>
          <w:szCs w:val="24"/>
        </w:rPr>
      </w:pPr>
    </w:p>
    <w:p w:rsidR="00DC114F" w:rsidRPr="004743F3" w:rsidRDefault="00DC114F" w:rsidP="00DC114F">
      <w:pPr>
        <w:pStyle w:val="Default"/>
        <w:spacing w:line="360" w:lineRule="auto"/>
        <w:jc w:val="both"/>
        <w:rPr>
          <w:rFonts w:eastAsia="Times New Roman"/>
          <w:color w:val="auto"/>
        </w:rPr>
      </w:pPr>
      <w:r w:rsidRPr="004743F3">
        <w:rPr>
          <w:rFonts w:eastAsia="Times New Roman"/>
          <w:color w:val="auto"/>
        </w:rPr>
        <w:lastRenderedPageBreak/>
        <w:t>Las leyes “Federal de Presupuesto y Responsabilidad Hacendaria”, de “Coordinación Fiscal”, así como la “Ley General de Contabilidad Gubernamental” y los “Lineamientos para informar sobre los recursos federales transferidos a las entidades federativas, municipios y demarcaciones territoriales del Distrito Federal, y de operación de los recursos del Ramo General 33” (ámbito federal), establecen que las entidades federativas tienen la obligación de informar sobre el ejercicio, destino y resultados obtenidos respecto de los recursos públicos federales que les sean transferidos, como es el caso de las aportaciones federales.</w:t>
      </w:r>
    </w:p>
    <w:p w:rsidR="00DC114F" w:rsidRPr="004743F3" w:rsidRDefault="00DC114F" w:rsidP="00DC114F">
      <w:pPr>
        <w:pStyle w:val="Default"/>
        <w:spacing w:line="360" w:lineRule="auto"/>
        <w:jc w:val="both"/>
        <w:rPr>
          <w:rFonts w:eastAsia="Times New Roman"/>
          <w:color w:val="auto"/>
        </w:rPr>
      </w:pPr>
    </w:p>
    <w:p w:rsidR="00DC114F" w:rsidRPr="004743F3" w:rsidRDefault="00DC114F" w:rsidP="00DC114F">
      <w:pPr>
        <w:pStyle w:val="Default"/>
        <w:spacing w:line="360" w:lineRule="auto"/>
        <w:jc w:val="both"/>
        <w:rPr>
          <w:rFonts w:eastAsia="Times New Roman"/>
          <w:color w:val="auto"/>
        </w:rPr>
      </w:pPr>
      <w:r w:rsidRPr="004743F3">
        <w:rPr>
          <w:rFonts w:eastAsia="Times New Roman"/>
          <w:color w:val="auto"/>
        </w:rPr>
        <w:t>La anterior normatividad está dirigida a que los ejecutores de los recursos del gasto federalizado, que en el caso que nos ocupa, son las dependencias y entidades del Poder Ejecutivo del Gobierno Estatal, cumplan con la obligatoriedad de informar sobre el avance en cumplimiento de la aplicación de cada uno de los Fondos del Ramo General 33; por lo anterior, el estudio está centrado en la fiscalización de las aportaciones federales transferidas al Estado de México a través del Ramo las cuales se muestran en la gráfica 1.</w:t>
      </w:r>
    </w:p>
    <w:p w:rsidR="00DC114F" w:rsidRPr="004743F3" w:rsidRDefault="00DC114F" w:rsidP="00DC114F">
      <w:pPr>
        <w:pStyle w:val="Default"/>
        <w:spacing w:line="360" w:lineRule="auto"/>
        <w:jc w:val="both"/>
        <w:rPr>
          <w:rFonts w:eastAsia="Times New Roman"/>
          <w:color w:val="auto"/>
        </w:rPr>
      </w:pPr>
    </w:p>
    <w:p w:rsidR="00DC114F" w:rsidRPr="004743F3" w:rsidRDefault="00DC114F" w:rsidP="00DC114F">
      <w:pPr>
        <w:pStyle w:val="Epgrafe"/>
        <w:keepNext/>
        <w:spacing w:after="0"/>
        <w:jc w:val="center"/>
        <w:rPr>
          <w:rFonts w:ascii="Arial" w:hAnsi="Arial" w:cs="Arial"/>
          <w:color w:val="auto"/>
          <w:sz w:val="24"/>
          <w:szCs w:val="24"/>
        </w:rPr>
      </w:pPr>
      <w:r w:rsidRPr="004743F3">
        <w:rPr>
          <w:rFonts w:ascii="Arial" w:hAnsi="Arial" w:cs="Arial"/>
          <w:color w:val="auto"/>
          <w:sz w:val="24"/>
          <w:szCs w:val="24"/>
        </w:rPr>
        <w:t xml:space="preserve">Gráfica </w:t>
      </w:r>
      <w:r w:rsidRPr="004743F3">
        <w:rPr>
          <w:rFonts w:ascii="Arial" w:hAnsi="Arial" w:cs="Arial"/>
          <w:color w:val="auto"/>
          <w:sz w:val="24"/>
          <w:szCs w:val="24"/>
        </w:rPr>
        <w:fldChar w:fldCharType="begin"/>
      </w:r>
      <w:r w:rsidRPr="004743F3">
        <w:rPr>
          <w:rFonts w:ascii="Arial" w:hAnsi="Arial" w:cs="Arial"/>
          <w:color w:val="auto"/>
          <w:sz w:val="24"/>
          <w:szCs w:val="24"/>
        </w:rPr>
        <w:instrText xml:space="preserve"> SEQ Gráfica \* ARABIC </w:instrText>
      </w:r>
      <w:r w:rsidRPr="004743F3">
        <w:rPr>
          <w:rFonts w:ascii="Arial" w:hAnsi="Arial" w:cs="Arial"/>
          <w:color w:val="auto"/>
          <w:sz w:val="24"/>
          <w:szCs w:val="24"/>
        </w:rPr>
        <w:fldChar w:fldCharType="separate"/>
      </w:r>
      <w:r w:rsidR="004D25BA">
        <w:rPr>
          <w:rFonts w:ascii="Arial" w:hAnsi="Arial" w:cs="Arial"/>
          <w:noProof/>
          <w:color w:val="auto"/>
          <w:sz w:val="24"/>
          <w:szCs w:val="24"/>
        </w:rPr>
        <w:t>1</w:t>
      </w:r>
      <w:r w:rsidRPr="004743F3">
        <w:rPr>
          <w:rFonts w:ascii="Arial" w:hAnsi="Arial" w:cs="Arial"/>
          <w:color w:val="auto"/>
          <w:sz w:val="24"/>
          <w:szCs w:val="24"/>
        </w:rPr>
        <w:fldChar w:fldCharType="end"/>
      </w:r>
    </w:p>
    <w:p w:rsidR="00DC114F" w:rsidRPr="004743F3" w:rsidRDefault="00DC114F" w:rsidP="00DC114F">
      <w:pPr>
        <w:pStyle w:val="Default"/>
        <w:jc w:val="center"/>
        <w:rPr>
          <w:rFonts w:eastAsia="Times New Roman"/>
          <w:color w:val="auto"/>
        </w:rPr>
      </w:pPr>
      <w:r w:rsidRPr="004743F3">
        <w:rPr>
          <w:noProof/>
          <w:color w:val="auto"/>
          <w:lang w:eastAsia="es-MX"/>
        </w:rPr>
        <w:drawing>
          <wp:inline distT="0" distB="0" distL="0" distR="0" wp14:anchorId="6979BB8B" wp14:editId="7E1CA426">
            <wp:extent cx="4320000" cy="2774166"/>
            <wp:effectExtent l="0" t="0" r="23495" b="26670"/>
            <wp:docPr id="357" name="Gráfico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114F" w:rsidRPr="004743F3" w:rsidRDefault="00DC114F" w:rsidP="00DC114F">
      <w:pPr>
        <w:pStyle w:val="Default"/>
        <w:ind w:left="1022"/>
        <w:jc w:val="center"/>
        <w:rPr>
          <w:color w:val="auto"/>
          <w:sz w:val="6"/>
          <w:szCs w:val="6"/>
        </w:rPr>
      </w:pPr>
    </w:p>
    <w:p w:rsidR="00DC114F" w:rsidRPr="004743F3" w:rsidRDefault="00DC114F" w:rsidP="00DC114F">
      <w:pPr>
        <w:pStyle w:val="Default"/>
        <w:ind w:left="1806" w:right="1041" w:hanging="784"/>
        <w:jc w:val="both"/>
        <w:rPr>
          <w:color w:val="auto"/>
          <w:sz w:val="16"/>
          <w:szCs w:val="16"/>
        </w:rPr>
      </w:pPr>
      <w:r w:rsidRPr="004743F3">
        <w:rPr>
          <w:rFonts w:eastAsia="Times New Roman"/>
          <w:b/>
          <w:color w:val="auto"/>
          <w:sz w:val="16"/>
          <w:szCs w:val="16"/>
          <w:lang w:eastAsia="es-MX"/>
        </w:rPr>
        <w:t>FUENTE:</w:t>
      </w:r>
      <w:r w:rsidRPr="004743F3">
        <w:rPr>
          <w:rFonts w:eastAsia="Times New Roman"/>
          <w:color w:val="auto"/>
          <w:sz w:val="16"/>
          <w:szCs w:val="16"/>
          <w:lang w:eastAsia="es-MX"/>
        </w:rPr>
        <w:t xml:space="preserve"> Elaboración propia, con información de la Cuenta Pública del Gobierno, Organismos Auxiliares y Autónomos del Estado de México 2010-2016.</w:t>
      </w:r>
    </w:p>
    <w:p w:rsidR="00DC114F" w:rsidRPr="004743F3" w:rsidRDefault="00DC114F" w:rsidP="009803E6">
      <w:pPr>
        <w:spacing w:after="0" w:line="360" w:lineRule="auto"/>
        <w:jc w:val="both"/>
        <w:rPr>
          <w:rFonts w:ascii="Arial" w:eastAsia="Times New Roman" w:hAnsi="Arial" w:cs="Arial"/>
          <w:sz w:val="24"/>
          <w:szCs w:val="24"/>
        </w:rPr>
      </w:pPr>
    </w:p>
    <w:p w:rsidR="009803E6" w:rsidRPr="00C817D1"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lastRenderedPageBreak/>
        <w:t xml:space="preserve">El Ramo General 33 “Aportaciones Federales para Entidades Federativas y Municipios”, es el mecanismo presupuestario diseñado para transferir a los estados y municipios, por parte de la federación, recursos que les permitan fortalecer su capacidad de respuesta y atender demandas al gobierno en los rubros de educación, salud, infraestructura básica, fortalecimiento financiero, seguridad pública, programas alimenticios y de seguridad social e infraestructura educativa. Para el periodo 2014 – 2016, estos recursos representaron el 31.24%, 29.11% y 29.43%, respectivamente, con relación al total de los Ingresos del Estado de México, como se muestra </w:t>
      </w:r>
      <w:r w:rsidR="005774FB" w:rsidRPr="00C817D1">
        <w:rPr>
          <w:rFonts w:ascii="Arial" w:eastAsia="Times New Roman" w:hAnsi="Arial" w:cs="Arial"/>
          <w:sz w:val="24"/>
          <w:szCs w:val="24"/>
        </w:rPr>
        <w:t xml:space="preserve">en </w:t>
      </w:r>
      <w:r w:rsidR="00707340">
        <w:rPr>
          <w:rFonts w:ascii="Arial" w:eastAsia="Times New Roman" w:hAnsi="Arial" w:cs="Arial"/>
          <w:sz w:val="24"/>
          <w:szCs w:val="24"/>
        </w:rPr>
        <w:t>Tabla 4</w:t>
      </w:r>
      <w:r w:rsidRPr="00C817D1">
        <w:rPr>
          <w:rFonts w:ascii="Arial" w:eastAsia="Times New Roman" w:hAnsi="Arial" w:cs="Arial"/>
          <w:sz w:val="24"/>
          <w:szCs w:val="24"/>
        </w:rPr>
        <w:t>.</w:t>
      </w:r>
    </w:p>
    <w:p w:rsidR="001E47CD" w:rsidRPr="00C817D1" w:rsidRDefault="001E47CD" w:rsidP="009803E6">
      <w:pPr>
        <w:spacing w:after="0" w:line="360" w:lineRule="auto"/>
        <w:jc w:val="both"/>
        <w:rPr>
          <w:rFonts w:ascii="Arial" w:eastAsia="Times New Roman" w:hAnsi="Arial" w:cs="Arial"/>
          <w:sz w:val="24"/>
          <w:szCs w:val="24"/>
        </w:rPr>
      </w:pPr>
    </w:p>
    <w:p w:rsidR="00707340" w:rsidRPr="00707340" w:rsidRDefault="00707340" w:rsidP="00707340">
      <w:pPr>
        <w:pStyle w:val="Epgrafe"/>
        <w:keepNext/>
        <w:spacing w:after="0"/>
        <w:jc w:val="center"/>
        <w:rPr>
          <w:rFonts w:ascii="Arial" w:hAnsi="Arial" w:cs="Arial"/>
          <w:color w:val="auto"/>
          <w:sz w:val="24"/>
          <w:szCs w:val="24"/>
        </w:rPr>
      </w:pPr>
      <w:bookmarkStart w:id="3" w:name="_Toc510526011"/>
      <w:r w:rsidRPr="00707340">
        <w:rPr>
          <w:rFonts w:ascii="Arial" w:hAnsi="Arial" w:cs="Arial"/>
          <w:color w:val="auto"/>
          <w:sz w:val="24"/>
          <w:szCs w:val="24"/>
        </w:rPr>
        <w:t xml:space="preserve">Tabla </w:t>
      </w:r>
      <w:r w:rsidRPr="00707340">
        <w:rPr>
          <w:rFonts w:ascii="Arial" w:hAnsi="Arial" w:cs="Arial"/>
          <w:color w:val="auto"/>
          <w:sz w:val="24"/>
          <w:szCs w:val="24"/>
        </w:rPr>
        <w:fldChar w:fldCharType="begin"/>
      </w:r>
      <w:r w:rsidRPr="00707340">
        <w:rPr>
          <w:rFonts w:ascii="Arial" w:hAnsi="Arial" w:cs="Arial"/>
          <w:color w:val="auto"/>
          <w:sz w:val="24"/>
          <w:szCs w:val="24"/>
        </w:rPr>
        <w:instrText xml:space="preserve"> SEQ Tabla \* ARABIC </w:instrText>
      </w:r>
      <w:r w:rsidRPr="00707340">
        <w:rPr>
          <w:rFonts w:ascii="Arial" w:hAnsi="Arial" w:cs="Arial"/>
          <w:color w:val="auto"/>
          <w:sz w:val="24"/>
          <w:szCs w:val="24"/>
        </w:rPr>
        <w:fldChar w:fldCharType="separate"/>
      </w:r>
      <w:r w:rsidR="004D25BA">
        <w:rPr>
          <w:rFonts w:ascii="Arial" w:hAnsi="Arial" w:cs="Arial"/>
          <w:noProof/>
          <w:color w:val="auto"/>
          <w:sz w:val="24"/>
          <w:szCs w:val="24"/>
        </w:rPr>
        <w:t>4</w:t>
      </w:r>
      <w:bookmarkEnd w:id="3"/>
      <w:r w:rsidRPr="00707340">
        <w:rPr>
          <w:rFonts w:ascii="Arial" w:hAnsi="Arial" w:cs="Arial"/>
          <w:color w:val="auto"/>
          <w:sz w:val="24"/>
          <w:szCs w:val="24"/>
        </w:rPr>
        <w:fldChar w:fldCharType="end"/>
      </w:r>
    </w:p>
    <w:p w:rsidR="009803E6" w:rsidRPr="00A73A86" w:rsidRDefault="009803E6" w:rsidP="009803E6">
      <w:pPr>
        <w:spacing w:after="0" w:line="360" w:lineRule="auto"/>
        <w:jc w:val="center"/>
        <w:rPr>
          <w:rFonts w:ascii="Arial" w:eastAsia="Times New Roman" w:hAnsi="Arial" w:cs="Arial"/>
          <w:color w:val="95B3D7" w:themeColor="accent1" w:themeTint="99"/>
          <w:sz w:val="24"/>
          <w:szCs w:val="24"/>
        </w:rPr>
      </w:pPr>
      <w:r w:rsidRPr="00A73A86">
        <w:rPr>
          <w:noProof/>
          <w:color w:val="95B3D7" w:themeColor="accent1" w:themeTint="99"/>
          <w:lang w:eastAsia="es-MX"/>
        </w:rPr>
        <w:drawing>
          <wp:inline distT="0" distB="0" distL="0" distR="0" wp14:anchorId="3CD052F7" wp14:editId="1F0B9B22">
            <wp:extent cx="5060352" cy="1668440"/>
            <wp:effectExtent l="0" t="0" r="698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241" cy="1670711"/>
                    </a:xfrm>
                    <a:prstGeom prst="rect">
                      <a:avLst/>
                    </a:prstGeom>
                    <a:noFill/>
                    <a:ln>
                      <a:noFill/>
                    </a:ln>
                  </pic:spPr>
                </pic:pic>
              </a:graphicData>
            </a:graphic>
          </wp:inline>
        </w:drawing>
      </w:r>
    </w:p>
    <w:p w:rsidR="009803E6" w:rsidRPr="00240EEE" w:rsidRDefault="009803E6" w:rsidP="009803E6">
      <w:pPr>
        <w:spacing w:after="0" w:line="360" w:lineRule="auto"/>
        <w:jc w:val="both"/>
        <w:rPr>
          <w:rFonts w:ascii="Arial" w:eastAsia="Times New Roman" w:hAnsi="Arial" w:cs="Arial"/>
          <w:sz w:val="24"/>
          <w:szCs w:val="24"/>
        </w:rPr>
      </w:pPr>
    </w:p>
    <w:p w:rsidR="009803E6" w:rsidRPr="00C817D1"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La aplicación de los Indicadores del Ramo General 33, nos lleva a pensar, si la administración pública estatal tiene los recursos humanos y financieros necesarios para llevar a cabo este tipo de fiscalizaciones, el personal está capacitado para interrelacionar con los servidores públicos que ministran y ejecutan los recursos.</w:t>
      </w:r>
    </w:p>
    <w:p w:rsidR="009803E6" w:rsidRPr="00C817D1" w:rsidRDefault="009803E6" w:rsidP="009803E6">
      <w:pPr>
        <w:spacing w:after="0" w:line="360" w:lineRule="auto"/>
        <w:jc w:val="both"/>
        <w:rPr>
          <w:rFonts w:ascii="Arial" w:eastAsia="Times New Roman" w:hAnsi="Arial" w:cs="Arial"/>
          <w:sz w:val="24"/>
          <w:szCs w:val="24"/>
        </w:rPr>
      </w:pPr>
    </w:p>
    <w:p w:rsidR="009803E6" w:rsidRPr="00C817D1"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Pero, ¿dónde hallan su origen dichos Indicadores? ¿Cuál es el marco jurídico que los sostiene? ¿Qué hay antes y después de ellos? ¿Cómo hay que entenderlos y cómo desarrollarlos? ¿Cuál es su futuro en la administración pública estatal?</w:t>
      </w:r>
    </w:p>
    <w:p w:rsidR="009803E6" w:rsidRPr="00C817D1" w:rsidRDefault="009803E6" w:rsidP="009803E6">
      <w:pPr>
        <w:spacing w:after="0" w:line="360" w:lineRule="auto"/>
        <w:jc w:val="both"/>
        <w:rPr>
          <w:rFonts w:ascii="Arial" w:eastAsia="Times New Roman" w:hAnsi="Arial" w:cs="Arial"/>
          <w:sz w:val="24"/>
          <w:szCs w:val="24"/>
        </w:rPr>
      </w:pPr>
    </w:p>
    <w:p w:rsidR="009803E6" w:rsidRPr="00C817D1" w:rsidRDefault="009803E6" w:rsidP="009803E6">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 xml:space="preserve">Es necesario tomar en cuenta los plazos de tiempo en que este tipo de evaluaciones serán tomadas como base para llevar a cabo la presupuestación por </w:t>
      </w:r>
      <w:r w:rsidRPr="00C817D1">
        <w:rPr>
          <w:rFonts w:ascii="Arial" w:eastAsia="Times New Roman" w:hAnsi="Arial" w:cs="Arial"/>
          <w:sz w:val="24"/>
          <w:szCs w:val="24"/>
        </w:rPr>
        <w:lastRenderedPageBreak/>
        <w:t>el gobierno federal, estatal y municipal; así como el grado en que serán aplicados por los mismos.</w:t>
      </w:r>
    </w:p>
    <w:p w:rsidR="009803E6" w:rsidRPr="00C817D1" w:rsidRDefault="009803E6" w:rsidP="003A3FFF">
      <w:pPr>
        <w:spacing w:after="0" w:line="360" w:lineRule="auto"/>
        <w:jc w:val="both"/>
        <w:rPr>
          <w:rFonts w:ascii="Arial" w:eastAsia="Times New Roman" w:hAnsi="Arial" w:cs="Arial"/>
          <w:sz w:val="24"/>
          <w:szCs w:val="24"/>
        </w:rPr>
      </w:pPr>
    </w:p>
    <w:p w:rsidR="003A3FFF" w:rsidRPr="00C817D1" w:rsidRDefault="003A3FFF" w:rsidP="003A3FFF">
      <w:pPr>
        <w:spacing w:after="0" w:line="360" w:lineRule="auto"/>
        <w:jc w:val="both"/>
        <w:rPr>
          <w:rFonts w:ascii="Arial" w:eastAsia="Times New Roman" w:hAnsi="Arial" w:cs="Arial"/>
          <w:sz w:val="24"/>
          <w:szCs w:val="24"/>
        </w:rPr>
      </w:pPr>
      <w:r w:rsidRPr="00C817D1">
        <w:rPr>
          <w:rFonts w:ascii="Arial" w:eastAsia="Times New Roman" w:hAnsi="Arial" w:cs="Arial"/>
          <w:sz w:val="24"/>
          <w:szCs w:val="24"/>
        </w:rPr>
        <w:t xml:space="preserve">En entrevista realizada a Eduardo Pérez </w:t>
      </w:r>
      <w:proofErr w:type="spellStart"/>
      <w:r w:rsidRPr="00C817D1">
        <w:rPr>
          <w:rFonts w:ascii="Arial" w:eastAsia="Times New Roman" w:hAnsi="Arial" w:cs="Arial"/>
          <w:sz w:val="24"/>
          <w:szCs w:val="24"/>
        </w:rPr>
        <w:t>Armienta</w:t>
      </w:r>
      <w:proofErr w:type="spellEnd"/>
      <w:r w:rsidRPr="00C817D1">
        <w:rPr>
          <w:rFonts w:ascii="Arial" w:eastAsia="Times New Roman" w:hAnsi="Arial" w:cs="Arial"/>
          <w:sz w:val="24"/>
          <w:szCs w:val="24"/>
        </w:rPr>
        <w:t xml:space="preserve">, Socio Director de la Consultoría en Negocios Moore Stephens (El Economista, 2012), menciona que la Ley de Cumplimiento Fiscal sobre cuentas extranjeras (conocida como FATCA, por su siglas en inglés) aprobada en Estados Unidos, a la cual ya se sumó México, es el inicio de una red de fiscalización internacional, coincidieron expertos en temas fiscales y tributarios. Para Eduardo Pérez </w:t>
      </w:r>
      <w:proofErr w:type="spellStart"/>
      <w:r w:rsidRPr="00C817D1">
        <w:rPr>
          <w:rFonts w:ascii="Arial" w:eastAsia="Times New Roman" w:hAnsi="Arial" w:cs="Arial"/>
          <w:sz w:val="24"/>
          <w:szCs w:val="24"/>
        </w:rPr>
        <w:t>Armienta</w:t>
      </w:r>
      <w:proofErr w:type="spellEnd"/>
      <w:r w:rsidRPr="00C817D1">
        <w:rPr>
          <w:rFonts w:ascii="Arial" w:eastAsia="Times New Roman" w:hAnsi="Arial" w:cs="Arial"/>
          <w:sz w:val="24"/>
          <w:szCs w:val="24"/>
        </w:rPr>
        <w:t>, la citada ley es el primer paso de un trabajo en conjunto a nivel internacional, que tiene como finalidad prevenir la evasión fiscal en los próximos años.</w:t>
      </w:r>
    </w:p>
    <w:p w:rsidR="003A3FFF" w:rsidRPr="00C817D1" w:rsidRDefault="003A3FFF" w:rsidP="003A3FFF">
      <w:pPr>
        <w:spacing w:after="0" w:line="360" w:lineRule="auto"/>
        <w:jc w:val="both"/>
        <w:rPr>
          <w:rFonts w:ascii="Arial" w:eastAsia="Times New Roman" w:hAnsi="Arial" w:cs="Arial"/>
          <w:sz w:val="24"/>
          <w:szCs w:val="24"/>
        </w:rPr>
      </w:pPr>
    </w:p>
    <w:p w:rsidR="00FA6D39" w:rsidRDefault="00FA6D39"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Default="002A2DA7" w:rsidP="003A3FFF">
      <w:pPr>
        <w:spacing w:after="0" w:line="360" w:lineRule="auto"/>
        <w:jc w:val="both"/>
        <w:rPr>
          <w:rFonts w:ascii="Arial" w:eastAsia="Times New Roman" w:hAnsi="Arial" w:cs="Arial"/>
          <w:color w:val="000000"/>
          <w:sz w:val="24"/>
          <w:szCs w:val="24"/>
        </w:rPr>
      </w:pPr>
    </w:p>
    <w:p w:rsidR="002A2DA7" w:rsidRPr="00C817D1" w:rsidRDefault="002A2DA7"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5774FB" w:rsidRPr="00C817D1" w:rsidRDefault="005774FB" w:rsidP="003A3FFF">
      <w:pPr>
        <w:spacing w:after="0" w:line="360" w:lineRule="auto"/>
        <w:jc w:val="both"/>
        <w:rPr>
          <w:rFonts w:ascii="Arial" w:eastAsia="Times New Roman" w:hAnsi="Arial" w:cs="Arial"/>
          <w:color w:val="000000"/>
          <w:sz w:val="24"/>
          <w:szCs w:val="24"/>
        </w:rPr>
      </w:pPr>
    </w:p>
    <w:p w:rsidR="003A3FFF" w:rsidRPr="00C817D1" w:rsidRDefault="00FA6D39" w:rsidP="003A3FFF">
      <w:pPr>
        <w:spacing w:after="0" w:line="360" w:lineRule="auto"/>
        <w:jc w:val="both"/>
        <w:rPr>
          <w:rFonts w:ascii="Arial" w:eastAsia="Times New Roman" w:hAnsi="Arial" w:cs="Arial"/>
          <w:b/>
          <w:color w:val="000000"/>
          <w:sz w:val="24"/>
          <w:szCs w:val="24"/>
          <w:lang w:val="es-ES" w:eastAsia="es-MX"/>
        </w:rPr>
      </w:pPr>
      <w:r w:rsidRPr="00C817D1">
        <w:rPr>
          <w:rFonts w:ascii="Arial" w:eastAsia="Times New Roman" w:hAnsi="Arial" w:cs="Arial"/>
          <w:b/>
          <w:color w:val="000000"/>
          <w:sz w:val="24"/>
          <w:szCs w:val="24"/>
          <w:lang w:val="es-ES" w:eastAsia="es-MX"/>
        </w:rPr>
        <w:lastRenderedPageBreak/>
        <w:t>1.1</w:t>
      </w:r>
      <w:r w:rsidRPr="00C817D1">
        <w:rPr>
          <w:rFonts w:ascii="Arial" w:eastAsia="Times New Roman" w:hAnsi="Arial" w:cs="Arial"/>
          <w:b/>
          <w:color w:val="000000"/>
          <w:sz w:val="24"/>
          <w:szCs w:val="24"/>
          <w:lang w:val="es-ES" w:eastAsia="es-MX"/>
        </w:rPr>
        <w:tab/>
      </w:r>
      <w:r w:rsidR="003A3FFF" w:rsidRPr="00C817D1">
        <w:rPr>
          <w:rFonts w:ascii="Arial" w:eastAsia="Times New Roman" w:hAnsi="Arial" w:cs="Arial"/>
          <w:b/>
          <w:color w:val="000000"/>
          <w:sz w:val="24"/>
          <w:szCs w:val="24"/>
          <w:lang w:val="es-ES" w:eastAsia="es-MX"/>
        </w:rPr>
        <w:t>Evolución de la Fiscalización en México</w:t>
      </w:r>
      <w:r w:rsidR="00AF564F" w:rsidRPr="00C817D1">
        <w:rPr>
          <w:rFonts w:ascii="Arial" w:eastAsia="Times New Roman" w:hAnsi="Arial" w:cs="Arial"/>
          <w:b/>
          <w:color w:val="000000"/>
          <w:sz w:val="24"/>
          <w:szCs w:val="24"/>
          <w:lang w:val="es-ES" w:eastAsia="es-MX"/>
        </w:rPr>
        <w:t>.</w:t>
      </w:r>
    </w:p>
    <w:p w:rsidR="003A3FFF" w:rsidRPr="00C817D1" w:rsidRDefault="003A3FFF" w:rsidP="003A3FFF">
      <w:pPr>
        <w:tabs>
          <w:tab w:val="left" w:pos="2080"/>
        </w:tabs>
        <w:spacing w:after="0" w:line="360" w:lineRule="auto"/>
        <w:jc w:val="both"/>
        <w:rPr>
          <w:rFonts w:ascii="Arial" w:eastAsia="Times New Roman" w:hAnsi="Arial" w:cs="Arial"/>
          <w:color w:val="000000"/>
          <w:sz w:val="24"/>
          <w:szCs w:val="24"/>
          <w:lang w:eastAsia="es-MX"/>
        </w:rPr>
      </w:pPr>
    </w:p>
    <w:p w:rsidR="002D443F" w:rsidRPr="00C817D1" w:rsidRDefault="003A3FFF" w:rsidP="003A3FFF">
      <w:pPr>
        <w:tabs>
          <w:tab w:val="left" w:pos="2080"/>
        </w:tabs>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lang w:eastAsia="es-MX"/>
        </w:rPr>
        <w:t xml:space="preserve">El reconocernos como nación, implica identificar y aceptar las raíces profundas y firmes de nuestra procedencia e historia. </w:t>
      </w:r>
      <w:r w:rsidRPr="00C817D1">
        <w:rPr>
          <w:rFonts w:ascii="Arial" w:eastAsia="Times New Roman" w:hAnsi="Arial" w:cs="Arial"/>
          <w:color w:val="000000"/>
          <w:sz w:val="24"/>
          <w:szCs w:val="24"/>
        </w:rPr>
        <w:t xml:space="preserve">Es así, que en los antecedentes presentados dentro del portal aplicativo del </w:t>
      </w:r>
      <w:r w:rsidR="00B17422" w:rsidRPr="00C817D1">
        <w:rPr>
          <w:rFonts w:ascii="Arial" w:eastAsia="Times New Roman" w:hAnsi="Arial" w:cs="Arial"/>
          <w:color w:val="000000"/>
          <w:sz w:val="24"/>
          <w:szCs w:val="24"/>
        </w:rPr>
        <w:t xml:space="preserve">Órgano Superior de Fiscalización del Estado de México </w:t>
      </w:r>
      <w:r w:rsidRPr="00C817D1">
        <w:rPr>
          <w:rFonts w:ascii="Arial" w:eastAsia="Times New Roman" w:hAnsi="Arial" w:cs="Arial"/>
          <w:sz w:val="24"/>
          <w:szCs w:val="24"/>
          <w:lang w:eastAsia="es-MX"/>
        </w:rPr>
        <w:t xml:space="preserve">(www.osfem.gob.mx, 2015), </w:t>
      </w:r>
      <w:r w:rsidRPr="00C817D1">
        <w:rPr>
          <w:rFonts w:ascii="Arial" w:eastAsia="Times New Roman" w:hAnsi="Arial" w:cs="Arial"/>
          <w:color w:val="000000"/>
          <w:sz w:val="24"/>
          <w:szCs w:val="24"/>
        </w:rPr>
        <w:t>se menciona lo siguiente:</w:t>
      </w:r>
    </w:p>
    <w:p w:rsidR="002D443F" w:rsidRPr="00C817D1" w:rsidRDefault="002D443F" w:rsidP="003A3FFF">
      <w:pPr>
        <w:tabs>
          <w:tab w:val="left" w:pos="2080"/>
        </w:tabs>
        <w:spacing w:after="0" w:line="360" w:lineRule="auto"/>
        <w:jc w:val="both"/>
        <w:rPr>
          <w:rFonts w:ascii="Arial" w:eastAsia="Times New Roman" w:hAnsi="Arial" w:cs="Arial"/>
          <w:color w:val="000000"/>
          <w:sz w:val="24"/>
          <w:szCs w:val="24"/>
        </w:rPr>
      </w:pPr>
    </w:p>
    <w:p w:rsidR="003A3FFF" w:rsidRPr="002D443F" w:rsidRDefault="003A3FFF" w:rsidP="002D443F">
      <w:pPr>
        <w:tabs>
          <w:tab w:val="left" w:pos="2080"/>
        </w:tabs>
        <w:spacing w:after="0" w:line="360" w:lineRule="auto"/>
        <w:ind w:left="284"/>
        <w:jc w:val="both"/>
        <w:rPr>
          <w:rFonts w:ascii="Arial" w:eastAsia="Times New Roman" w:hAnsi="Arial" w:cs="Arial"/>
          <w:i/>
          <w:sz w:val="20"/>
          <w:szCs w:val="24"/>
          <w:lang w:eastAsia="es-MX"/>
        </w:rPr>
      </w:pPr>
      <w:r w:rsidRPr="002D443F">
        <w:rPr>
          <w:rFonts w:ascii="Arial" w:eastAsia="Times New Roman" w:hAnsi="Arial" w:cs="Arial"/>
          <w:i/>
          <w:color w:val="000000"/>
          <w:sz w:val="20"/>
          <w:szCs w:val="24"/>
        </w:rPr>
        <w:t>E</w:t>
      </w:r>
      <w:r w:rsidRPr="002D443F">
        <w:rPr>
          <w:rFonts w:ascii="Arial" w:eastAsia="Times New Roman" w:hAnsi="Arial" w:cs="Arial"/>
          <w:i/>
          <w:sz w:val="20"/>
          <w:szCs w:val="24"/>
          <w:lang w:eastAsia="es-MX"/>
        </w:rPr>
        <w:t>n la época prehispánica, el pueblo azteca exigía a las provincias conquistadas, el pago de tributos al Soberano (conocida a la fecha y con la unificación del país, como hacienda pública).</w:t>
      </w:r>
    </w:p>
    <w:p w:rsidR="003A3FFF" w:rsidRPr="002D443F" w:rsidRDefault="003A3FFF" w:rsidP="002D443F">
      <w:pPr>
        <w:tabs>
          <w:tab w:val="left" w:pos="2080"/>
        </w:tabs>
        <w:spacing w:after="0" w:line="360" w:lineRule="auto"/>
        <w:ind w:left="284"/>
        <w:jc w:val="both"/>
        <w:rPr>
          <w:rFonts w:ascii="Arial" w:eastAsia="Times New Roman" w:hAnsi="Arial" w:cs="Arial"/>
          <w:i/>
          <w:sz w:val="20"/>
          <w:szCs w:val="24"/>
          <w:lang w:eastAsia="es-MX"/>
        </w:rPr>
      </w:pPr>
    </w:p>
    <w:p w:rsidR="003A3FFF" w:rsidRPr="002D443F" w:rsidRDefault="003A3FFF" w:rsidP="002D443F">
      <w:pPr>
        <w:tabs>
          <w:tab w:val="left" w:pos="2080"/>
        </w:tabs>
        <w:spacing w:after="0" w:line="360" w:lineRule="auto"/>
        <w:ind w:left="284"/>
        <w:jc w:val="both"/>
        <w:rPr>
          <w:rFonts w:ascii="Arial" w:eastAsia="Times New Roman" w:hAnsi="Arial" w:cs="Arial"/>
          <w:i/>
          <w:sz w:val="20"/>
          <w:szCs w:val="24"/>
          <w:lang w:eastAsia="es-MX"/>
        </w:rPr>
      </w:pPr>
      <w:r w:rsidRPr="002D443F">
        <w:rPr>
          <w:rFonts w:ascii="Arial" w:eastAsia="Times New Roman" w:hAnsi="Arial" w:cs="Arial"/>
          <w:i/>
          <w:sz w:val="20"/>
          <w:szCs w:val="24"/>
          <w:lang w:eastAsia="es-MX"/>
        </w:rPr>
        <w:t xml:space="preserve">Dentro de la organización fiscal la máxima autoridad era el </w:t>
      </w:r>
      <w:proofErr w:type="spellStart"/>
      <w:r w:rsidRPr="002D443F">
        <w:rPr>
          <w:rFonts w:ascii="Arial" w:eastAsia="Times New Roman" w:hAnsi="Arial" w:cs="Arial"/>
          <w:i/>
          <w:sz w:val="20"/>
          <w:szCs w:val="24"/>
          <w:lang w:eastAsia="es-MX"/>
        </w:rPr>
        <w:t>Cihuacóatl</w:t>
      </w:r>
      <w:proofErr w:type="spellEnd"/>
      <w:r w:rsidRPr="002D443F">
        <w:rPr>
          <w:rFonts w:ascii="Arial" w:eastAsia="Times New Roman" w:hAnsi="Arial" w:cs="Arial"/>
          <w:i/>
          <w:sz w:val="20"/>
          <w:szCs w:val="24"/>
          <w:lang w:eastAsia="es-MX"/>
        </w:rPr>
        <w:t xml:space="preserve">, a cuyas órdenes se encontraba el </w:t>
      </w:r>
      <w:proofErr w:type="spellStart"/>
      <w:r w:rsidRPr="002D443F">
        <w:rPr>
          <w:rFonts w:ascii="Arial" w:eastAsia="Times New Roman" w:hAnsi="Arial" w:cs="Arial"/>
          <w:i/>
          <w:sz w:val="20"/>
          <w:szCs w:val="24"/>
          <w:lang w:eastAsia="es-MX"/>
        </w:rPr>
        <w:t>Calpixqui</w:t>
      </w:r>
      <w:proofErr w:type="spellEnd"/>
      <w:r w:rsidRPr="002D443F">
        <w:rPr>
          <w:rFonts w:ascii="Arial" w:eastAsia="Times New Roman" w:hAnsi="Arial" w:cs="Arial"/>
          <w:i/>
          <w:sz w:val="20"/>
          <w:szCs w:val="24"/>
          <w:lang w:eastAsia="es-MX"/>
        </w:rPr>
        <w:t xml:space="preserve"> mayor, responsable tanto de recoger lo de los Calpixque menores como de llevar las cuentas en los libros respectivos, lo cual era vigilado por un funcionario civil para su distribución y buen empleo, de tal forma que el Soberano no podía disponer a libre albedrío de los caudales del pueblo, los cuales estaban destinados al bienestar público.</w:t>
      </w: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La fiscalización de los recursos en México, obtuvo gran relevancia en el año de 1493 al crearse el "Tribunal Mayor de Cuentas" que revisaba las funciones de la hacienda real. Para 1524 la institución encargada de vigilar y controlar los gastos realizados en la expedición de Hernán Cortés fue el “Tribunal Mayor de Cuentas de la Nueva España”.</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highlight w:val="yellow"/>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A raíz y por decreto de la Constitución Política de 1824, se instauró el “Arreglo de la Administración de la Hacienda Pública”, que suprimió a los dos tribunales anteriores y con ello se manifestaron las bases para el surgimiento de la Contaduría Mayor de Hacienda, la cual dependía directamente de la Cámara de Diputados.</w:t>
      </w:r>
    </w:p>
    <w:p w:rsidR="003A3FFF" w:rsidRPr="00C817D1" w:rsidRDefault="003A3FFF" w:rsidP="003A3FFF">
      <w:pPr>
        <w:spacing w:after="0" w:line="360" w:lineRule="auto"/>
        <w:jc w:val="both"/>
        <w:rPr>
          <w:rFonts w:ascii="Arial" w:eastAsia="Times New Roman" w:hAnsi="Arial" w:cs="Arial"/>
          <w:color w:val="000000"/>
          <w:sz w:val="24"/>
          <w:szCs w:val="24"/>
          <w:highlight w:val="yellow"/>
          <w:lang w:eastAsia="es-MX"/>
        </w:rPr>
      </w:pPr>
    </w:p>
    <w:p w:rsidR="003A3FFF" w:rsidRPr="00C817D1" w:rsidRDefault="00D23866" w:rsidP="003A3FFF">
      <w:pPr>
        <w:spacing w:after="0" w:line="360" w:lineRule="auto"/>
        <w:jc w:val="both"/>
        <w:rPr>
          <w:rFonts w:ascii="Arial" w:eastAsia="Times New Roman" w:hAnsi="Arial" w:cs="Arial"/>
          <w:color w:val="000000"/>
          <w:sz w:val="24"/>
          <w:szCs w:val="24"/>
          <w:lang w:eastAsia="es-MX"/>
        </w:rPr>
      </w:pPr>
      <w:r w:rsidRPr="00C817D1">
        <w:rPr>
          <w:rFonts w:ascii="Arial" w:eastAsia="Times New Roman" w:hAnsi="Arial" w:cs="Arial"/>
          <w:color w:val="000000"/>
          <w:sz w:val="24"/>
          <w:szCs w:val="24"/>
          <w:lang w:eastAsia="es-MX"/>
        </w:rPr>
        <w:t>‘</w:t>
      </w:r>
      <w:r w:rsidR="003A3FFF" w:rsidRPr="00C817D1">
        <w:rPr>
          <w:rFonts w:ascii="Arial" w:eastAsia="Times New Roman" w:hAnsi="Arial" w:cs="Arial"/>
          <w:color w:val="000000"/>
          <w:sz w:val="24"/>
          <w:szCs w:val="24"/>
          <w:lang w:eastAsia="es-MX"/>
        </w:rPr>
        <w:t xml:space="preserve">Esquivel (2012, p.25) menciona que en los primeros años del México independiente se implementó el reglamento Provisional de Rentas, que pretendía controlar los ingresos y egresos del Gobierno Federal; posteriormente surgen los Departamentos tanto de Cuentas y Razón como de Rezago y Glosa, cuyas </w:t>
      </w:r>
      <w:r w:rsidR="003A3FFF" w:rsidRPr="00C817D1">
        <w:rPr>
          <w:rFonts w:ascii="Arial" w:eastAsia="Times New Roman" w:hAnsi="Arial" w:cs="Arial"/>
          <w:color w:val="000000"/>
          <w:sz w:val="24"/>
          <w:szCs w:val="24"/>
          <w:lang w:eastAsia="es-MX"/>
        </w:rPr>
        <w:lastRenderedPageBreak/>
        <w:t>funciones fueron más descriptivas y enfatizaban en el análisis y r</w:t>
      </w:r>
      <w:r w:rsidRPr="00C817D1">
        <w:rPr>
          <w:rFonts w:ascii="Arial" w:eastAsia="Times New Roman" w:hAnsi="Arial" w:cs="Arial"/>
          <w:color w:val="000000"/>
          <w:sz w:val="24"/>
          <w:szCs w:val="24"/>
          <w:lang w:eastAsia="es-MX"/>
        </w:rPr>
        <w:t>evisión de las cuentas públicas’</w:t>
      </w:r>
      <w:r w:rsidR="003A3FFF" w:rsidRPr="00C817D1">
        <w:rPr>
          <w:rFonts w:ascii="Arial" w:eastAsia="Times New Roman" w:hAnsi="Arial" w:cs="Arial"/>
          <w:color w:val="000000"/>
          <w:sz w:val="24"/>
          <w:szCs w:val="24"/>
          <w:lang w:eastAsia="es-MX"/>
        </w:rPr>
        <w:t>.</w:t>
      </w:r>
    </w:p>
    <w:p w:rsidR="003A3FFF" w:rsidRPr="00C817D1" w:rsidRDefault="003A3FFF" w:rsidP="003A3FFF">
      <w:pPr>
        <w:spacing w:after="0" w:line="360" w:lineRule="auto"/>
        <w:jc w:val="both"/>
        <w:rPr>
          <w:rFonts w:ascii="Arial" w:eastAsia="Times New Roman" w:hAnsi="Arial" w:cs="Arial"/>
          <w:color w:val="000000"/>
          <w:sz w:val="24"/>
          <w:szCs w:val="24"/>
          <w:lang w:eastAsia="es-MX"/>
        </w:rPr>
      </w:pPr>
    </w:p>
    <w:p w:rsidR="003A3FFF" w:rsidRPr="00C817D1" w:rsidRDefault="003A3FFF" w:rsidP="003A3FFF">
      <w:pPr>
        <w:spacing w:after="0" w:line="360" w:lineRule="auto"/>
        <w:jc w:val="both"/>
        <w:rPr>
          <w:rFonts w:ascii="Arial" w:eastAsia="Times New Roman" w:hAnsi="Arial" w:cs="Arial"/>
          <w:color w:val="000000"/>
          <w:sz w:val="24"/>
          <w:szCs w:val="24"/>
          <w:lang w:eastAsia="es-MX"/>
        </w:rPr>
      </w:pPr>
      <w:r w:rsidRPr="00C817D1">
        <w:rPr>
          <w:rFonts w:ascii="Arial" w:eastAsia="Times New Roman" w:hAnsi="Arial" w:cs="Arial"/>
          <w:color w:val="000000"/>
          <w:sz w:val="24"/>
          <w:szCs w:val="24"/>
          <w:lang w:eastAsia="es-MX"/>
        </w:rPr>
        <w:t>Asimismo, al inicio de la época pos revolucionaria, se estableció el Departamento de Contabilidad y Glosa, así como el de la Contraloría; posteriormente al consumarse la revolución e instaurarse la Constitución de 1917 se estableció la Contaduría de la Federación, la cual se encargaba de la contabilidad, presupuesto, manejo de los fondos públicos y de la inspección fiscal, la cual dependía de la Secretaría de Hacienda y Crédito Público</w:t>
      </w:r>
      <w:r w:rsidR="00AF564F" w:rsidRPr="00C817D1">
        <w:rPr>
          <w:rFonts w:ascii="Arial" w:eastAsia="Times New Roman" w:hAnsi="Arial" w:cs="Arial"/>
          <w:color w:val="000000"/>
          <w:sz w:val="24"/>
          <w:szCs w:val="24"/>
          <w:lang w:eastAsia="es-MX"/>
        </w:rPr>
        <w:t xml:space="preserve"> (SHCP)</w:t>
      </w:r>
      <w:r w:rsidRPr="00C817D1">
        <w:rPr>
          <w:rFonts w:ascii="Arial" w:eastAsia="Times New Roman" w:hAnsi="Arial" w:cs="Arial"/>
          <w:color w:val="000000"/>
          <w:sz w:val="24"/>
          <w:szCs w:val="24"/>
          <w:lang w:eastAsia="es-MX"/>
        </w:rPr>
        <w:t>.</w:t>
      </w:r>
    </w:p>
    <w:p w:rsidR="003A3FFF" w:rsidRPr="00C817D1" w:rsidRDefault="003A3FFF" w:rsidP="003A3FFF">
      <w:pPr>
        <w:spacing w:after="0" w:line="360" w:lineRule="auto"/>
        <w:jc w:val="both"/>
        <w:rPr>
          <w:rFonts w:ascii="Arial" w:eastAsia="Times New Roman" w:hAnsi="Arial" w:cs="Arial"/>
          <w:color w:val="000000"/>
          <w:sz w:val="24"/>
          <w:szCs w:val="24"/>
          <w:lang w:eastAsia="es-MX"/>
        </w:rPr>
      </w:pP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r w:rsidRPr="00C817D1">
        <w:rPr>
          <w:rFonts w:ascii="Arial" w:eastAsia="Times New Roman" w:hAnsi="Arial" w:cs="Arial"/>
          <w:color w:val="000000"/>
          <w:sz w:val="24"/>
          <w:szCs w:val="24"/>
          <w:lang w:val="es-ES" w:eastAsia="es-MX"/>
        </w:rPr>
        <w:t>En cuanto al siglo XIX, la Contaduría Mayor de Hacienda cumplía con las atribuciones conferidas, las cuales le fueron asignadas a la Auditoría Superior de la Federación (ASF) a finales del año 2000, destacando la revisión de la cuenta pública del Gobierno Federal y del Departamento del Distrito Federal.</w:t>
      </w: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r w:rsidRPr="00C817D1">
        <w:rPr>
          <w:rFonts w:ascii="Arial" w:eastAsia="Times New Roman" w:hAnsi="Arial" w:cs="Arial"/>
          <w:color w:val="000000"/>
          <w:sz w:val="24"/>
          <w:szCs w:val="24"/>
          <w:lang w:val="es-ES" w:eastAsia="es-MX"/>
        </w:rPr>
        <w:t>El ente fiscalizador antes referido, presenta a la Cámara de Diputados, el informe sobre la revisión de la cuenta pública (resultado de la gestión financiera, el cumplimiento de los objetivos y metas de los principales programas y subprogramas aprobados, análisis de subsidios, transferencias, apoyos para operación e inversión, erogaciones adicionales y otros conceptos similares derivados del análisis de las desviaciones presupuestales); que contendrá las irregularidades que se hayan detectado en los trabajos de fiscalización realizados.</w:t>
      </w: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p>
    <w:p w:rsidR="003A3FFF" w:rsidRPr="00C817D1" w:rsidRDefault="003A3FFF" w:rsidP="003A3FFF">
      <w:pPr>
        <w:spacing w:after="0" w:line="360" w:lineRule="auto"/>
        <w:jc w:val="both"/>
        <w:rPr>
          <w:rFonts w:ascii="Arial" w:eastAsia="Times New Roman" w:hAnsi="Arial" w:cs="Arial"/>
          <w:color w:val="000000"/>
          <w:sz w:val="24"/>
          <w:szCs w:val="24"/>
          <w:lang w:val="es-ES" w:eastAsia="es-MX"/>
        </w:rPr>
      </w:pPr>
      <w:r w:rsidRPr="00C817D1">
        <w:rPr>
          <w:rFonts w:ascii="Arial" w:eastAsia="Times New Roman" w:hAnsi="Arial" w:cs="Arial"/>
          <w:color w:val="000000"/>
          <w:sz w:val="24"/>
          <w:szCs w:val="24"/>
          <w:lang w:val="es-ES" w:eastAsia="es-MX"/>
        </w:rPr>
        <w:t>Es importante señalar que la ASF revisa los subsidios</w:t>
      </w:r>
      <w:r w:rsidRPr="00C817D1">
        <w:rPr>
          <w:rStyle w:val="Refdenotaalpie"/>
          <w:rFonts w:ascii="Arial" w:hAnsi="Arial" w:cs="Arial"/>
          <w:b/>
          <w:color w:val="000000"/>
          <w:sz w:val="24"/>
          <w:szCs w:val="24"/>
          <w:lang w:eastAsia="es-MX"/>
        </w:rPr>
        <w:footnoteReference w:id="3"/>
      </w:r>
      <w:r w:rsidRPr="00C817D1">
        <w:rPr>
          <w:rFonts w:ascii="Arial" w:eastAsia="Times New Roman" w:hAnsi="Arial" w:cs="Arial"/>
          <w:color w:val="000000"/>
          <w:sz w:val="24"/>
          <w:szCs w:val="24"/>
          <w:lang w:val="es-ES" w:eastAsia="es-MX"/>
        </w:rPr>
        <w:t xml:space="preserve"> concedidos por el Gobierno Federal a los Estados, Distrito Federal, Organismos de la Administración Pública Paraestatal, Municipios, Instituciones Privadas y Particulares, cualesquiera que sean los fines de su destino, con base en la legislación aplicable.</w:t>
      </w:r>
    </w:p>
    <w:p w:rsidR="00D23866" w:rsidRPr="00C817D1" w:rsidRDefault="00D23866" w:rsidP="003A3FFF">
      <w:pPr>
        <w:spacing w:after="0" w:line="360" w:lineRule="auto"/>
        <w:jc w:val="both"/>
        <w:rPr>
          <w:rFonts w:ascii="Arial" w:eastAsia="Times New Roman" w:hAnsi="Arial" w:cs="Arial"/>
          <w:color w:val="000000"/>
          <w:sz w:val="24"/>
          <w:szCs w:val="24"/>
          <w:lang w:val="es-ES" w:eastAsia="es-MX"/>
        </w:rPr>
      </w:pPr>
    </w:p>
    <w:p w:rsidR="003A3FFF" w:rsidRPr="00C817D1" w:rsidRDefault="00AF564F" w:rsidP="003A3FFF">
      <w:pPr>
        <w:spacing w:after="0" w:line="360" w:lineRule="auto"/>
        <w:jc w:val="both"/>
        <w:rPr>
          <w:rFonts w:ascii="Arial" w:eastAsia="Times New Roman" w:hAnsi="Arial" w:cs="Arial"/>
          <w:b/>
          <w:color w:val="000000"/>
          <w:sz w:val="24"/>
          <w:szCs w:val="24"/>
          <w:lang w:val="es-ES" w:eastAsia="es-MX"/>
        </w:rPr>
      </w:pPr>
      <w:r w:rsidRPr="00C817D1">
        <w:rPr>
          <w:rFonts w:ascii="Arial" w:eastAsia="Times New Roman" w:hAnsi="Arial" w:cs="Arial"/>
          <w:b/>
          <w:color w:val="000000"/>
          <w:sz w:val="24"/>
          <w:szCs w:val="24"/>
          <w:lang w:val="es-ES" w:eastAsia="es-MX"/>
        </w:rPr>
        <w:lastRenderedPageBreak/>
        <w:t>1.2</w:t>
      </w:r>
      <w:r w:rsidRPr="00C817D1">
        <w:rPr>
          <w:rFonts w:ascii="Arial" w:eastAsia="Times New Roman" w:hAnsi="Arial" w:cs="Arial"/>
          <w:b/>
          <w:color w:val="000000"/>
          <w:sz w:val="24"/>
          <w:szCs w:val="24"/>
          <w:lang w:val="es-ES" w:eastAsia="es-MX"/>
        </w:rPr>
        <w:tab/>
      </w:r>
      <w:r w:rsidR="003A3FFF" w:rsidRPr="00C817D1">
        <w:rPr>
          <w:rFonts w:ascii="Arial" w:eastAsia="Times New Roman" w:hAnsi="Arial" w:cs="Arial"/>
          <w:b/>
          <w:color w:val="000000"/>
          <w:sz w:val="24"/>
          <w:szCs w:val="24"/>
          <w:lang w:val="es-ES" w:eastAsia="es-MX"/>
        </w:rPr>
        <w:t xml:space="preserve">Marco histórico y </w:t>
      </w:r>
      <w:proofErr w:type="gramStart"/>
      <w:r w:rsidR="003A3FFF" w:rsidRPr="00C817D1">
        <w:rPr>
          <w:rFonts w:ascii="Arial" w:eastAsia="Times New Roman" w:hAnsi="Arial" w:cs="Arial"/>
          <w:b/>
          <w:color w:val="000000"/>
          <w:sz w:val="24"/>
          <w:szCs w:val="24"/>
          <w:lang w:val="es-ES" w:eastAsia="es-MX"/>
        </w:rPr>
        <w:t>antecedentes</w:t>
      </w:r>
      <w:proofErr w:type="gramEnd"/>
      <w:r w:rsidR="003A3FFF" w:rsidRPr="00C817D1">
        <w:rPr>
          <w:rFonts w:ascii="Arial" w:eastAsia="Times New Roman" w:hAnsi="Arial" w:cs="Arial"/>
          <w:b/>
          <w:color w:val="000000"/>
          <w:sz w:val="24"/>
          <w:szCs w:val="24"/>
          <w:lang w:val="es-ES" w:eastAsia="es-MX"/>
        </w:rPr>
        <w:t xml:space="preserve"> del Órgano Superior de Fiscalización del Estado de México (OSFEM)</w:t>
      </w:r>
      <w:r w:rsidRPr="00C817D1">
        <w:rPr>
          <w:rFonts w:ascii="Arial" w:eastAsia="Times New Roman" w:hAnsi="Arial" w:cs="Arial"/>
          <w:b/>
          <w:color w:val="000000"/>
          <w:sz w:val="24"/>
          <w:szCs w:val="24"/>
          <w:lang w:val="es-ES" w:eastAsia="es-MX"/>
        </w:rPr>
        <w:t>.</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En el Estado de México, los antecedentes históricos de la fiscalización dieron inicio en 1824 con la expedición de la Ley Orgánica Provisional, que otorgó dicha atribución al Poder Legislativo.</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Aun cuando se dieron las bases para la fiscalización de los recursos del estado, seguía siendo necesaria una institución fiscalizadora; es entonces cuando por primera ocasión se habló de una Contaduría en la Ley Orgánica Provisional, siendo considerada ésta como una oficina general de hacienda.</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 xml:space="preserve">Como fecha trascendental se tiene el 25 de septiembre de 1824, día en que el Gobernador del Estado de México, Melchor </w:t>
      </w:r>
      <w:proofErr w:type="spellStart"/>
      <w:r w:rsidRPr="00C817D1">
        <w:rPr>
          <w:rFonts w:ascii="Arial" w:eastAsia="Times New Roman" w:hAnsi="Arial" w:cs="Arial"/>
          <w:sz w:val="24"/>
          <w:szCs w:val="24"/>
          <w:lang w:eastAsia="es-MX"/>
        </w:rPr>
        <w:t>Múzquiz</w:t>
      </w:r>
      <w:proofErr w:type="spellEnd"/>
      <w:r w:rsidRPr="00C817D1">
        <w:rPr>
          <w:rFonts w:ascii="Arial" w:eastAsia="Times New Roman" w:hAnsi="Arial" w:cs="Arial"/>
          <w:sz w:val="24"/>
          <w:szCs w:val="24"/>
          <w:lang w:eastAsia="es-MX"/>
        </w:rPr>
        <w:t>, dictó la instrucción particular que ordena el artículo 70 de la Ley Orgánica Provisional, solicitando a la Comisión Especial de Hacienda se organicen y actualicen las oficinas de Cuenta y Tesorería del Estado</w:t>
      </w:r>
      <w:r w:rsidRPr="00C817D1">
        <w:rPr>
          <w:rStyle w:val="Refdenotaalpie"/>
          <w:rFonts w:ascii="Arial" w:hAnsi="Arial" w:cs="Arial"/>
          <w:b/>
          <w:sz w:val="24"/>
          <w:szCs w:val="24"/>
          <w:lang w:eastAsia="es-MX"/>
        </w:rPr>
        <w:footnoteReference w:id="4"/>
      </w:r>
      <w:r w:rsidRPr="00C817D1">
        <w:rPr>
          <w:rFonts w:ascii="Arial" w:eastAsia="Times New Roman" w:hAnsi="Arial" w:cs="Arial"/>
          <w:sz w:val="24"/>
          <w:szCs w:val="24"/>
          <w:lang w:eastAsia="es-MX"/>
        </w:rPr>
        <w:t>, que habrían de encargarse del manejo y fiscalización de las rentas que se le entregaban al mismo Gobernador.</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Con base en la anterior, el Congreso Constituyente del Estado de México, emitió dos decretos importantes sobre el arreglo de la Hacienda del Estado: “Decreto número 32 de fecha 16 de diciembre de 1824” y el “Decreto número 56 del 3 de octubre de 1825”. Este último sentó las bases generales de la denominada Contaduría General del Estado.</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Dicha Contaduría realizaría los registros de los caudales y gastos, así como, el examen y glosa de las cuentas estatales; instancia que se integró por cinco departamentos denominados: rentas unidas, pólizas y tomas de razón, ayuntamientos, comunes y archivo.</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lastRenderedPageBreak/>
        <w:t>Como resultados de lo anterior, tanto la Contaduría como la Tesorería formaron parte del Departamento de Hacienda dependiente de la Secretaría General de Gobierno.</w:t>
      </w: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p>
    <w:p w:rsidR="003A3FFF" w:rsidRPr="00C817D1" w:rsidRDefault="003A3FFF" w:rsidP="003A3FFF">
      <w:pPr>
        <w:tabs>
          <w:tab w:val="left" w:pos="2146"/>
          <w:tab w:val="left" w:pos="7239"/>
        </w:tabs>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Dentro de la Constitución de 1827, se continuó con la disposición para la existencia de la Contaduría General del Estado; asimismo, se estableció las atribuciones de intervenir en el registro y control de los ingresos y egresos de los caudales públicos de la Tesorería; así como, glosar las cuentas en todos sus ramos. Siendo en la Constitución de 1861 cuando se creó la Secretaría de Hacienda de la cual dependió la Contaduría General Gubernamental, instancia que continúo con las mismas atribuciones dispuestas en el mandato constitucional que le antecedió.</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Con la expedición de la Constitución de 1870 se crea la figura del Contador de Glosa, dependiente del Poder Legislativo; sin embargo, la contabilidad, los registros, la revisión y la glosa continuaron llevándose a cabo en la Contaduría General de Gobierno.</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Una vez promulgada la Constitución de 1917, se faculto de manera definitiva al poder Legislativo para glosar y fiscalizar las cuentas públicas del Estado de México. En 1929, durante el mandato de Don Filiberto Gómez, se expidió la primera Ley Orgánica para la Contaduría General de Glosa, siendo hasta 1972 y tras varias reformas que dieron paso a una nueva Ley Orgánica para la Contaduría General de Glosa del Poder Legislativo que estableció objetivos, organización y funciones tanto del Organismo de Glosa como del Contador General de Glosa; así como, las obligaciones, responsabilidades y finiquitos de los funcionarios públicos que intervenían en la hacienda pública estatal y municipal.</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 xml:space="preserve">La rendición de cuentas, y la fiscalización de manera directa e indirecta, es aludida en los documentos denominados “Memorias” o “Informes” (www.osfem.gob.mx, </w:t>
      </w:r>
      <w:r w:rsidRPr="00C817D1">
        <w:rPr>
          <w:rFonts w:ascii="Arial" w:eastAsia="Times New Roman" w:hAnsi="Arial" w:cs="Arial"/>
          <w:sz w:val="24"/>
          <w:szCs w:val="24"/>
          <w:lang w:eastAsia="es-MX"/>
        </w:rPr>
        <w:lastRenderedPageBreak/>
        <w:t>2017), que los gobernadores en turno rendían a la legislatura del estado. En ellos se daba cuenta del estado que guardaba la administración pública; en algunos casos, hacían referencia a la extinta Contaduría General de Glosa, antecedente inmediato de lo que hoy conocemos como Órgano Superior de Fiscalización del Estado de México (OSFEM).</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Se debe mencionar que dentro de la nueva ley se estableció un catálogo de cuentas para llevar la partida doble en los registros contables, sin dejar de tomar en cuenta que la base seguía siendo el control de los ingresos y gastos.</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Con los adelantos administrativos y técnicos propiciaron que en 1991 se abrogara la Ley de 1972, expidiéndose una nueva ley para la Contaduría, denominada Ley Orgánica para la Contaduría General de Glosa del Poder Legislativo del Estado de México; la cual propició la creación en el Poder Legislativo de un Organismo que se denominó “Comisión Inspectora de la Contaduría de Glosa”, asignándoles diversas atribuciones, entre las que destacan: recibir la cuenta pública y su envío a la Contaduría General de Glosa para revisión, así como la obligatoriedad de presentar a la Legislatura local el informe anual formulado, el cual incluirá las conductas que presuntamente requieran de proceder a su denuncia ante la autoridad competente, además de proponer el nombramiento y remoción del Contador General de Glosa.</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Para 1997 se establecieron en el Estado de México las bases del sistema de contabilidad y se formuló el Manual de Contabilidad que incluyó el catálogo de cuentas con su descripción y manejo (cargos y abonos), los estados financieros y otros conceptos de interés para los usuarios, posicionando a la Entidad en primer lugar, en comparación con las entidades federativas de la República Mexicana por la implementación del referido instrumento contable para el sector central; por disposición del Código Financiero del Estado de México y Municipios, a partir de 1999 la contabilidad debía estar armonizada.</w:t>
      </w: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lastRenderedPageBreak/>
        <w:t xml:space="preserve">El 29 de julio de 2004, los diputados integrantes de la LV Legislatura del Estado de México marcaron un nuevo horizonte en la fiscalización del Estado de México, al aprobar por unanimidad de votos la creación del </w:t>
      </w:r>
      <w:r w:rsidR="00AF564F" w:rsidRPr="00C817D1">
        <w:rPr>
          <w:rFonts w:ascii="Arial" w:eastAsia="Times New Roman" w:hAnsi="Arial" w:cs="Arial"/>
          <w:sz w:val="24"/>
          <w:szCs w:val="24"/>
          <w:lang w:eastAsia="es-MX"/>
        </w:rPr>
        <w:t>OSFEM</w:t>
      </w:r>
      <w:r w:rsidRPr="00C817D1">
        <w:rPr>
          <w:rFonts w:ascii="Arial" w:eastAsia="Times New Roman" w:hAnsi="Arial" w:cs="Arial"/>
          <w:sz w:val="24"/>
          <w:szCs w:val="24"/>
          <w:lang w:eastAsia="es-MX"/>
        </w:rPr>
        <w:t>.</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 xml:space="preserve">Dentro del Periódico Oficial (Gaceta del Gobierno del Estado), con fecha 26 de agosto de 2004, se dio a conocer la reforma Constitucional a fin de crear el </w:t>
      </w:r>
      <w:r w:rsidR="00AF564F" w:rsidRPr="00C817D1">
        <w:rPr>
          <w:rFonts w:ascii="Arial" w:eastAsia="Times New Roman" w:hAnsi="Arial" w:cs="Arial"/>
          <w:sz w:val="24"/>
          <w:szCs w:val="24"/>
          <w:lang w:eastAsia="es-MX"/>
        </w:rPr>
        <w:t>OSFEM</w:t>
      </w:r>
      <w:r w:rsidRPr="00C817D1">
        <w:rPr>
          <w:rFonts w:ascii="Arial" w:eastAsia="Times New Roman" w:hAnsi="Arial" w:cs="Arial"/>
          <w:sz w:val="24"/>
          <w:szCs w:val="24"/>
          <w:lang w:eastAsia="es-MX"/>
        </w:rPr>
        <w:t>, publicándose en el mismo medio la Ley que rige al citado Órgano; dicha reforma Constitucional causó efectos a partir del 27 de agosto del mismo año y por lo establecido en el artículo segundo transitorio, dicha ley entró en vigor el 28 de agosto de 2004. Por tanto la Contaduría General de Glosa desaparece para dar lugar al Órgano Superior de Fiscalización del Estado de México y por disposición del artículo séptimo transitorio de la citada ley el Contador General de Glosa, tomará el cargo como Auditor Superior.</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La reforma realizada marca un hecho importante en la fiscalización del Estado, ya que se le confiere mayores alcances, facultades y responsabilidades al nuevo Órgano lo cual le permiten fortalecer la fiscalización, transparencia y rendición de cuentas.</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Derivado de lo anterior y como parte de la nueva estructura orgánica del OSFEM fue creada la Auditoría Especial de Evaluación Programática (AEEP), la cual tienen como una de sus funciones el de generar indicadores y realizar evaluaciones sobre los recursos del Ramo General 33, los cuales forman parte del presupuesto de los programas gubernamentales.</w:t>
      </w:r>
    </w:p>
    <w:p w:rsidR="003A3FFF" w:rsidRPr="00C817D1" w:rsidRDefault="003A3FFF" w:rsidP="003A3FFF">
      <w:pPr>
        <w:spacing w:after="0" w:line="360" w:lineRule="auto"/>
        <w:jc w:val="both"/>
        <w:rPr>
          <w:rFonts w:ascii="Arial" w:eastAsia="Times New Roman" w:hAnsi="Arial" w:cs="Arial"/>
          <w:sz w:val="24"/>
          <w:szCs w:val="24"/>
          <w:lang w:eastAsia="es-MX"/>
        </w:rPr>
      </w:pPr>
    </w:p>
    <w:p w:rsidR="003A3FFF" w:rsidRPr="00C817D1" w:rsidRDefault="003A3FFF" w:rsidP="003A3FFF">
      <w:pPr>
        <w:spacing w:after="0" w:line="360" w:lineRule="auto"/>
        <w:jc w:val="both"/>
        <w:rPr>
          <w:rFonts w:ascii="Arial" w:eastAsia="Times New Roman" w:hAnsi="Arial" w:cs="Arial"/>
          <w:sz w:val="24"/>
          <w:szCs w:val="24"/>
          <w:lang w:eastAsia="es-MX"/>
        </w:rPr>
      </w:pPr>
      <w:r w:rsidRPr="00C817D1">
        <w:rPr>
          <w:rFonts w:ascii="Arial" w:eastAsia="Times New Roman" w:hAnsi="Arial" w:cs="Arial"/>
          <w:sz w:val="24"/>
          <w:szCs w:val="24"/>
          <w:lang w:eastAsia="es-MX"/>
        </w:rPr>
        <w:t xml:space="preserve">En </w:t>
      </w:r>
      <w:r w:rsidR="00A142C4" w:rsidRPr="00C817D1">
        <w:rPr>
          <w:rFonts w:ascii="Arial" w:eastAsia="Times New Roman" w:hAnsi="Arial" w:cs="Arial"/>
          <w:sz w:val="24"/>
          <w:szCs w:val="24"/>
          <w:lang w:eastAsia="es-MX"/>
        </w:rPr>
        <w:t>conclusión</w:t>
      </w:r>
      <w:r w:rsidRPr="00C817D1">
        <w:rPr>
          <w:rFonts w:ascii="Arial" w:eastAsia="Times New Roman" w:hAnsi="Arial" w:cs="Arial"/>
          <w:sz w:val="24"/>
          <w:szCs w:val="24"/>
          <w:lang w:eastAsia="es-MX"/>
        </w:rPr>
        <w:t xml:space="preserve">, la fiscalización de los recursos públicos, se ha realizado desde la época antigua y ha evolucionado con el paso del tiempo para mantener un mejor registro y manejo de los ingresos; lo anterior se refleja con la creación de organismos internacionales especializados, los cuales se encuentran plenamente </w:t>
      </w:r>
      <w:r w:rsidR="00D23866" w:rsidRPr="00C817D1">
        <w:rPr>
          <w:rFonts w:ascii="Arial" w:eastAsia="Times New Roman" w:hAnsi="Arial" w:cs="Arial"/>
          <w:sz w:val="24"/>
          <w:szCs w:val="24"/>
          <w:lang w:eastAsia="es-MX"/>
        </w:rPr>
        <w:t>establecidos</w:t>
      </w:r>
      <w:r w:rsidRPr="00C817D1">
        <w:rPr>
          <w:rFonts w:ascii="Arial" w:eastAsia="Times New Roman" w:hAnsi="Arial" w:cs="Arial"/>
          <w:sz w:val="24"/>
          <w:szCs w:val="24"/>
          <w:lang w:eastAsia="es-MX"/>
        </w:rPr>
        <w:t xml:space="preserve"> e implementados.</w:t>
      </w: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sz w:val="24"/>
          <w:szCs w:val="24"/>
          <w:lang w:eastAsia="es-MX"/>
        </w:rPr>
        <w:lastRenderedPageBreak/>
        <w:t xml:space="preserve">Sin embargo, </w:t>
      </w:r>
      <w:r w:rsidRPr="00C817D1">
        <w:rPr>
          <w:rFonts w:ascii="Arial" w:eastAsia="Times New Roman" w:hAnsi="Arial" w:cs="Arial"/>
          <w:color w:val="000000"/>
          <w:sz w:val="24"/>
          <w:szCs w:val="24"/>
        </w:rPr>
        <w:t>la fiscalización no representa una finalidad en sí mismo, sino una parte imprescindible de un mecanismo regulador que debe señalar, oportunamente, las desviaciones normativas y las infracciones de los principios de legalidad, rentabilidad, utilidad y racionalidad de las operaciones financieras públicas; de tal modo que puedan adoptarse las medidas correctivas convenientes en cada caso, determinarse la responsabilidad del órgano culpable, exigirse la indemnización correspondiente o adoptarse las determinaciones que impidan o, por lo menos, dificulten la repetición de tales infracciones en el futuro.</w:t>
      </w:r>
    </w:p>
    <w:p w:rsidR="003A3FFF" w:rsidRPr="00C817D1" w:rsidRDefault="003A3FFF" w:rsidP="003A3FFF">
      <w:pPr>
        <w:spacing w:after="0" w:line="360" w:lineRule="auto"/>
        <w:jc w:val="both"/>
        <w:rPr>
          <w:rFonts w:ascii="Arial" w:eastAsia="Times New Roman" w:hAnsi="Arial" w:cs="Arial"/>
          <w:color w:val="000000"/>
          <w:sz w:val="24"/>
          <w:szCs w:val="24"/>
        </w:rPr>
      </w:pPr>
    </w:p>
    <w:p w:rsidR="003A3FFF" w:rsidRPr="00C817D1" w:rsidRDefault="003A3FFF" w:rsidP="003A3FFF">
      <w:pPr>
        <w:spacing w:after="0" w:line="360" w:lineRule="auto"/>
        <w:jc w:val="both"/>
        <w:rPr>
          <w:rFonts w:ascii="Arial" w:eastAsia="Times New Roman" w:hAnsi="Arial" w:cs="Arial"/>
          <w:color w:val="000000"/>
          <w:sz w:val="24"/>
          <w:szCs w:val="24"/>
        </w:rPr>
      </w:pPr>
      <w:r w:rsidRPr="00C817D1">
        <w:rPr>
          <w:rFonts w:ascii="Arial" w:eastAsia="Times New Roman" w:hAnsi="Arial" w:cs="Arial"/>
          <w:color w:val="000000"/>
          <w:sz w:val="24"/>
          <w:szCs w:val="24"/>
        </w:rPr>
        <w:t>Una Entidad Fiscalizadora Superior, puede cumplir sus objetivos si goza de independencia funcional y organizativa para el cumplimiento de sus funciones; así mismo, debe ser regulada a través de leyes, con protección normativa garantizada por un Tribunal Supremo, como a la fecha es el OSFEM.</w:t>
      </w:r>
    </w:p>
    <w:p w:rsidR="00AF564F" w:rsidRPr="00C817D1" w:rsidRDefault="00AF564F" w:rsidP="00051DE3">
      <w:pPr>
        <w:spacing w:after="0" w:line="360" w:lineRule="auto"/>
        <w:jc w:val="both"/>
        <w:rPr>
          <w:rFonts w:ascii="Arial" w:hAnsi="Arial" w:cs="Arial"/>
          <w:sz w:val="24"/>
          <w:szCs w:val="24"/>
        </w:rPr>
      </w:pPr>
    </w:p>
    <w:p w:rsidR="00322F64" w:rsidRPr="00C817D1" w:rsidRDefault="00322F64" w:rsidP="00051DE3">
      <w:pPr>
        <w:spacing w:after="0" w:line="360" w:lineRule="auto"/>
        <w:jc w:val="both"/>
        <w:rPr>
          <w:rFonts w:ascii="Arial" w:hAnsi="Arial" w:cs="Arial"/>
          <w:sz w:val="24"/>
          <w:szCs w:val="24"/>
        </w:rPr>
      </w:pPr>
      <w:r w:rsidRPr="00C817D1">
        <w:rPr>
          <w:rFonts w:ascii="Arial" w:hAnsi="Arial" w:cs="Arial"/>
          <w:sz w:val="24"/>
          <w:szCs w:val="24"/>
        </w:rPr>
        <w:t>Por lo anterior, damos cuenta que tanto en los ámbitos internacional, federal y estatal; la fiscalización de los recursos públicos ha evolucionado a través del tiempo por lo que se observan instituciones públicas y privadas las cuales tienen como objetivo armonizar las diferentes evaluaciones utilizadas por las distintas Entidades Fiscalizadoras.</w:t>
      </w:r>
    </w:p>
    <w:p w:rsidR="00322F64" w:rsidRPr="00C817D1" w:rsidRDefault="00322F64" w:rsidP="00051DE3">
      <w:pPr>
        <w:spacing w:after="0" w:line="360" w:lineRule="auto"/>
        <w:jc w:val="both"/>
        <w:rPr>
          <w:rFonts w:ascii="Arial" w:hAnsi="Arial" w:cs="Arial"/>
          <w:sz w:val="24"/>
          <w:szCs w:val="24"/>
        </w:rPr>
      </w:pPr>
    </w:p>
    <w:p w:rsidR="00322F64" w:rsidRPr="00C817D1" w:rsidRDefault="00322F64" w:rsidP="00051DE3">
      <w:pPr>
        <w:spacing w:after="0" w:line="360" w:lineRule="auto"/>
        <w:jc w:val="both"/>
        <w:rPr>
          <w:rFonts w:ascii="Arial" w:hAnsi="Arial" w:cs="Arial"/>
          <w:sz w:val="24"/>
          <w:szCs w:val="24"/>
        </w:rPr>
      </w:pPr>
      <w:r w:rsidRPr="00C817D1">
        <w:rPr>
          <w:rFonts w:ascii="Arial" w:hAnsi="Arial" w:cs="Arial"/>
          <w:sz w:val="24"/>
          <w:szCs w:val="24"/>
        </w:rPr>
        <w:t>Así mismo, hemos denotado que el Órgano Fiscalizador del Estado ha ido evolucionando conforme</w:t>
      </w:r>
      <w:r w:rsidR="003C4EAB" w:rsidRPr="00C817D1">
        <w:rPr>
          <w:rFonts w:ascii="Arial" w:hAnsi="Arial" w:cs="Arial"/>
          <w:sz w:val="24"/>
          <w:szCs w:val="24"/>
        </w:rPr>
        <w:t xml:space="preserve"> a</w:t>
      </w:r>
      <w:r w:rsidRPr="00C817D1">
        <w:rPr>
          <w:rFonts w:ascii="Arial" w:hAnsi="Arial" w:cs="Arial"/>
          <w:sz w:val="24"/>
          <w:szCs w:val="24"/>
        </w:rPr>
        <w:t xml:space="preserve"> las necesidades de </w:t>
      </w:r>
      <w:r w:rsidR="003C4EAB" w:rsidRPr="00C817D1">
        <w:rPr>
          <w:rFonts w:ascii="Arial" w:hAnsi="Arial" w:cs="Arial"/>
          <w:sz w:val="24"/>
          <w:szCs w:val="24"/>
        </w:rPr>
        <w:t>fiscalización</w:t>
      </w:r>
      <w:r w:rsidR="005D5B33" w:rsidRPr="00C817D1">
        <w:rPr>
          <w:rFonts w:ascii="Arial" w:hAnsi="Arial" w:cs="Arial"/>
          <w:sz w:val="24"/>
          <w:szCs w:val="24"/>
        </w:rPr>
        <w:t>,</w:t>
      </w:r>
      <w:r w:rsidRPr="00C817D1">
        <w:rPr>
          <w:rFonts w:ascii="Arial" w:hAnsi="Arial" w:cs="Arial"/>
          <w:sz w:val="24"/>
          <w:szCs w:val="24"/>
        </w:rPr>
        <w:t xml:space="preserve"> tanto en el ámbito </w:t>
      </w:r>
      <w:r w:rsidR="003C4EAB" w:rsidRPr="00C817D1">
        <w:rPr>
          <w:rFonts w:ascii="Arial" w:hAnsi="Arial" w:cs="Arial"/>
          <w:sz w:val="24"/>
          <w:szCs w:val="24"/>
        </w:rPr>
        <w:t>n</w:t>
      </w:r>
      <w:r w:rsidRPr="00C817D1">
        <w:rPr>
          <w:rFonts w:ascii="Arial" w:hAnsi="Arial" w:cs="Arial"/>
          <w:sz w:val="24"/>
          <w:szCs w:val="24"/>
        </w:rPr>
        <w:t>acional como</w:t>
      </w:r>
      <w:r w:rsidR="005D5B33" w:rsidRPr="00C817D1">
        <w:rPr>
          <w:rFonts w:ascii="Arial" w:hAnsi="Arial" w:cs="Arial"/>
          <w:sz w:val="24"/>
          <w:szCs w:val="24"/>
        </w:rPr>
        <w:t xml:space="preserve"> en la </w:t>
      </w:r>
      <w:r w:rsidR="003C4EAB" w:rsidRPr="00C817D1">
        <w:rPr>
          <w:rFonts w:ascii="Arial" w:hAnsi="Arial" w:cs="Arial"/>
          <w:sz w:val="24"/>
          <w:szCs w:val="24"/>
        </w:rPr>
        <w:t>e</w:t>
      </w:r>
      <w:r w:rsidR="005D5B33" w:rsidRPr="00C817D1">
        <w:rPr>
          <w:rFonts w:ascii="Arial" w:hAnsi="Arial" w:cs="Arial"/>
          <w:sz w:val="24"/>
          <w:szCs w:val="24"/>
        </w:rPr>
        <w:t xml:space="preserve">ntidad </w:t>
      </w:r>
      <w:r w:rsidR="003C4EAB" w:rsidRPr="00C817D1">
        <w:rPr>
          <w:rFonts w:ascii="Arial" w:hAnsi="Arial" w:cs="Arial"/>
          <w:sz w:val="24"/>
          <w:szCs w:val="24"/>
        </w:rPr>
        <w:t>m</w:t>
      </w:r>
      <w:r w:rsidR="005D5B33" w:rsidRPr="00C817D1">
        <w:rPr>
          <w:rFonts w:ascii="Arial" w:hAnsi="Arial" w:cs="Arial"/>
          <w:sz w:val="24"/>
          <w:szCs w:val="24"/>
        </w:rPr>
        <w:t>exiquense.</w:t>
      </w:r>
    </w:p>
    <w:p w:rsidR="00AF564F" w:rsidRPr="00C817D1" w:rsidRDefault="00AF564F" w:rsidP="00051DE3">
      <w:pPr>
        <w:spacing w:after="0" w:line="360" w:lineRule="auto"/>
        <w:jc w:val="both"/>
        <w:rPr>
          <w:rFonts w:ascii="Arial" w:hAnsi="Arial" w:cs="Arial"/>
          <w:sz w:val="24"/>
          <w:szCs w:val="24"/>
        </w:rPr>
      </w:pPr>
    </w:p>
    <w:p w:rsidR="0040654A" w:rsidRPr="00C817D1" w:rsidRDefault="0040654A" w:rsidP="00051DE3">
      <w:pPr>
        <w:spacing w:after="0" w:line="360" w:lineRule="auto"/>
        <w:jc w:val="both"/>
        <w:rPr>
          <w:rFonts w:ascii="Arial" w:hAnsi="Arial" w:cs="Arial"/>
          <w:sz w:val="24"/>
          <w:szCs w:val="24"/>
        </w:rPr>
      </w:pPr>
    </w:p>
    <w:p w:rsidR="0040654A" w:rsidRPr="00C817D1" w:rsidRDefault="0040654A" w:rsidP="00051DE3">
      <w:pPr>
        <w:spacing w:after="0" w:line="360" w:lineRule="auto"/>
        <w:jc w:val="both"/>
        <w:rPr>
          <w:rFonts w:ascii="Arial" w:hAnsi="Arial" w:cs="Arial"/>
          <w:sz w:val="24"/>
          <w:szCs w:val="24"/>
        </w:rPr>
      </w:pPr>
    </w:p>
    <w:p w:rsidR="0040654A" w:rsidRPr="00C817D1" w:rsidRDefault="0040654A" w:rsidP="0040654A">
      <w:pPr>
        <w:spacing w:after="0" w:line="360" w:lineRule="auto"/>
        <w:jc w:val="both"/>
        <w:rPr>
          <w:rFonts w:ascii="Arial" w:hAnsi="Arial" w:cs="Arial"/>
          <w:sz w:val="24"/>
          <w:szCs w:val="24"/>
          <w:highlight w:val="yellow"/>
        </w:rPr>
      </w:pPr>
    </w:p>
    <w:p w:rsidR="0040654A" w:rsidRPr="00C817D1" w:rsidRDefault="0040654A" w:rsidP="0040654A">
      <w:pPr>
        <w:spacing w:after="0" w:line="360" w:lineRule="auto"/>
        <w:jc w:val="both"/>
        <w:rPr>
          <w:rFonts w:ascii="Arial" w:hAnsi="Arial" w:cs="Arial"/>
          <w:sz w:val="24"/>
          <w:szCs w:val="24"/>
          <w:highlight w:val="yellow"/>
        </w:rPr>
      </w:pPr>
    </w:p>
    <w:p w:rsidR="0040654A" w:rsidRPr="00C817D1" w:rsidRDefault="0040654A" w:rsidP="00051DE3">
      <w:pPr>
        <w:spacing w:after="0" w:line="360" w:lineRule="auto"/>
        <w:jc w:val="both"/>
        <w:rPr>
          <w:rFonts w:ascii="Arial" w:hAnsi="Arial" w:cs="Arial"/>
          <w:sz w:val="24"/>
          <w:szCs w:val="24"/>
        </w:rPr>
      </w:pPr>
    </w:p>
    <w:p w:rsidR="00AF564F" w:rsidRPr="00C817D1" w:rsidRDefault="00AF564F" w:rsidP="00051DE3">
      <w:pPr>
        <w:spacing w:after="0" w:line="360" w:lineRule="auto"/>
        <w:jc w:val="both"/>
        <w:rPr>
          <w:rFonts w:ascii="Arial" w:hAnsi="Arial" w:cs="Arial"/>
          <w:sz w:val="24"/>
          <w:szCs w:val="24"/>
        </w:rPr>
      </w:pPr>
    </w:p>
    <w:p w:rsidR="008B6661" w:rsidRDefault="008B6661" w:rsidP="00051DE3">
      <w:pPr>
        <w:spacing w:after="0" w:line="360" w:lineRule="auto"/>
        <w:jc w:val="both"/>
        <w:rPr>
          <w:rFonts w:ascii="Arial" w:hAnsi="Arial" w:cs="Arial"/>
          <w:sz w:val="24"/>
          <w:szCs w:val="24"/>
        </w:rPr>
      </w:pPr>
    </w:p>
    <w:p w:rsidR="005774FB" w:rsidRDefault="005774FB" w:rsidP="00051DE3">
      <w:pPr>
        <w:spacing w:after="0" w:line="360" w:lineRule="auto"/>
        <w:jc w:val="both"/>
        <w:rPr>
          <w:rFonts w:ascii="Arial" w:hAnsi="Arial" w:cs="Arial"/>
          <w:sz w:val="24"/>
          <w:szCs w:val="24"/>
        </w:rPr>
      </w:pPr>
    </w:p>
    <w:p w:rsidR="005774FB" w:rsidRDefault="005774FB" w:rsidP="00051DE3">
      <w:pPr>
        <w:spacing w:after="0" w:line="360" w:lineRule="auto"/>
        <w:jc w:val="both"/>
        <w:rPr>
          <w:rFonts w:ascii="Arial" w:hAnsi="Arial" w:cs="Arial"/>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5774FB" w:rsidRDefault="005774FB" w:rsidP="00AF564F">
      <w:pPr>
        <w:spacing w:after="0" w:line="360" w:lineRule="auto"/>
        <w:jc w:val="both"/>
        <w:rPr>
          <w:rFonts w:ascii="Arial" w:eastAsia="Times New Roman" w:hAnsi="Arial" w:cs="Arial"/>
          <w:b/>
          <w:color w:val="000000"/>
          <w:sz w:val="24"/>
          <w:szCs w:val="24"/>
        </w:rPr>
      </w:pPr>
    </w:p>
    <w:p w:rsidR="00C817D1" w:rsidRDefault="00C817D1" w:rsidP="00AF564F">
      <w:pPr>
        <w:spacing w:after="0" w:line="360" w:lineRule="auto"/>
        <w:jc w:val="both"/>
        <w:rPr>
          <w:rFonts w:ascii="Arial" w:eastAsia="Times New Roman" w:hAnsi="Arial" w:cs="Arial"/>
          <w:b/>
          <w:color w:val="000000"/>
          <w:sz w:val="24"/>
          <w:szCs w:val="24"/>
        </w:rPr>
      </w:pPr>
    </w:p>
    <w:p w:rsidR="00C817D1" w:rsidRDefault="00C817D1" w:rsidP="00AF564F">
      <w:pPr>
        <w:spacing w:after="0" w:line="360" w:lineRule="auto"/>
        <w:jc w:val="both"/>
        <w:rPr>
          <w:rFonts w:ascii="Arial" w:eastAsia="Times New Roman" w:hAnsi="Arial" w:cs="Arial"/>
          <w:b/>
          <w:color w:val="000000"/>
          <w:sz w:val="24"/>
          <w:szCs w:val="24"/>
        </w:rPr>
      </w:pPr>
    </w:p>
    <w:p w:rsidR="002A2DA7" w:rsidRDefault="002A2DA7" w:rsidP="00AF564F">
      <w:pPr>
        <w:spacing w:after="0" w:line="360" w:lineRule="auto"/>
        <w:jc w:val="both"/>
        <w:rPr>
          <w:rFonts w:ascii="Arial" w:eastAsia="Times New Roman" w:hAnsi="Arial" w:cs="Arial"/>
          <w:b/>
          <w:color w:val="000000"/>
          <w:sz w:val="24"/>
          <w:szCs w:val="24"/>
        </w:rPr>
      </w:pPr>
    </w:p>
    <w:p w:rsidR="005774FB" w:rsidRPr="005774FB" w:rsidRDefault="00B16C0B" w:rsidP="005774FB">
      <w:pPr>
        <w:pStyle w:val="Default"/>
        <w:spacing w:after="120"/>
        <w:jc w:val="right"/>
        <w:rPr>
          <w:rFonts w:eastAsia="Times New Roman"/>
          <w:color w:val="auto"/>
          <w:sz w:val="96"/>
          <w:szCs w:val="96"/>
        </w:rPr>
      </w:pPr>
      <w:r w:rsidRPr="005774FB">
        <w:rPr>
          <w:rFonts w:eastAsia="Times New Roman"/>
          <w:color w:val="auto"/>
          <w:sz w:val="96"/>
          <w:szCs w:val="96"/>
        </w:rPr>
        <w:t>CAPÍTULO II:</w:t>
      </w:r>
    </w:p>
    <w:p w:rsidR="00782CFD" w:rsidRDefault="00782CFD" w:rsidP="005774FB">
      <w:pPr>
        <w:pStyle w:val="Default"/>
        <w:jc w:val="right"/>
        <w:rPr>
          <w:rFonts w:eastAsia="Times New Roman"/>
          <w:color w:val="auto"/>
          <w:sz w:val="48"/>
          <w:szCs w:val="48"/>
        </w:rPr>
      </w:pPr>
      <w:r w:rsidRPr="005774FB">
        <w:rPr>
          <w:rFonts w:eastAsia="Times New Roman"/>
          <w:color w:val="auto"/>
          <w:sz w:val="48"/>
          <w:szCs w:val="48"/>
        </w:rPr>
        <w:t>ESTRUCTURA ORGÁNICA</w:t>
      </w:r>
    </w:p>
    <w:p w:rsidR="00AF564F" w:rsidRPr="005774FB" w:rsidRDefault="00782CFD" w:rsidP="005774FB">
      <w:pPr>
        <w:pStyle w:val="Default"/>
        <w:jc w:val="right"/>
        <w:rPr>
          <w:rFonts w:eastAsia="Times New Roman"/>
          <w:color w:val="auto"/>
          <w:sz w:val="48"/>
          <w:szCs w:val="48"/>
        </w:rPr>
      </w:pPr>
      <w:r w:rsidRPr="005774FB">
        <w:rPr>
          <w:rFonts w:eastAsia="Times New Roman"/>
          <w:color w:val="auto"/>
          <w:sz w:val="48"/>
          <w:szCs w:val="48"/>
        </w:rPr>
        <w:t>DEL OSFEM</w:t>
      </w:r>
    </w:p>
    <w:p w:rsidR="00AF564F" w:rsidRPr="00C817D1" w:rsidRDefault="00AF564F" w:rsidP="00AF564F">
      <w:pPr>
        <w:spacing w:after="0" w:line="360" w:lineRule="auto"/>
        <w:jc w:val="both"/>
        <w:rPr>
          <w:rFonts w:ascii="Arial" w:hAnsi="Arial" w:cs="Arial"/>
          <w:sz w:val="24"/>
          <w:szCs w:val="24"/>
        </w:rPr>
      </w:pPr>
    </w:p>
    <w:p w:rsidR="005774FB" w:rsidRPr="00C817D1" w:rsidRDefault="005774FB" w:rsidP="00AF564F">
      <w:pPr>
        <w:spacing w:after="0" w:line="360" w:lineRule="auto"/>
        <w:jc w:val="both"/>
        <w:rPr>
          <w:rFonts w:ascii="Arial" w:hAnsi="Arial" w:cs="Arial"/>
          <w:sz w:val="24"/>
          <w:szCs w:val="24"/>
        </w:rPr>
      </w:pPr>
    </w:p>
    <w:p w:rsidR="005774FB" w:rsidRPr="00C817D1" w:rsidRDefault="005774FB" w:rsidP="00AF564F">
      <w:pPr>
        <w:spacing w:after="0" w:line="360" w:lineRule="auto"/>
        <w:jc w:val="both"/>
        <w:rPr>
          <w:rFonts w:ascii="Arial" w:hAnsi="Arial" w:cs="Arial"/>
          <w:sz w:val="24"/>
          <w:szCs w:val="24"/>
        </w:rPr>
      </w:pPr>
    </w:p>
    <w:p w:rsidR="005774FB" w:rsidRPr="00C817D1" w:rsidRDefault="005774FB" w:rsidP="00AF564F">
      <w:pPr>
        <w:spacing w:after="0" w:line="360" w:lineRule="auto"/>
        <w:jc w:val="both"/>
        <w:rPr>
          <w:rFonts w:ascii="Arial" w:hAnsi="Arial" w:cs="Arial"/>
          <w:sz w:val="24"/>
          <w:szCs w:val="24"/>
        </w:rPr>
      </w:pPr>
    </w:p>
    <w:p w:rsidR="005774FB" w:rsidRPr="00C817D1" w:rsidRDefault="005774FB" w:rsidP="00AF564F">
      <w:pPr>
        <w:spacing w:after="0" w:line="360" w:lineRule="auto"/>
        <w:jc w:val="both"/>
        <w:rPr>
          <w:rFonts w:ascii="Arial" w:hAnsi="Arial" w:cs="Arial"/>
          <w:sz w:val="24"/>
          <w:szCs w:val="24"/>
        </w:rPr>
      </w:pPr>
    </w:p>
    <w:p w:rsidR="00EE2D79" w:rsidRPr="00C817D1" w:rsidRDefault="004F1A3F" w:rsidP="00EE2D79">
      <w:pPr>
        <w:spacing w:after="0" w:line="360" w:lineRule="auto"/>
        <w:jc w:val="both"/>
        <w:rPr>
          <w:rFonts w:ascii="Arial" w:hAnsi="Arial" w:cs="Arial"/>
          <w:sz w:val="24"/>
          <w:szCs w:val="24"/>
        </w:rPr>
      </w:pPr>
      <w:r w:rsidRPr="00C817D1">
        <w:rPr>
          <w:rFonts w:ascii="Arial" w:hAnsi="Arial" w:cs="Arial"/>
          <w:sz w:val="24"/>
          <w:szCs w:val="24"/>
        </w:rPr>
        <w:lastRenderedPageBreak/>
        <w:t xml:space="preserve">Dentro del capítulo se da a conocer </w:t>
      </w:r>
      <w:r w:rsidR="00605509" w:rsidRPr="00C817D1">
        <w:rPr>
          <w:rFonts w:ascii="Arial" w:hAnsi="Arial" w:cs="Arial"/>
          <w:sz w:val="24"/>
          <w:szCs w:val="24"/>
        </w:rPr>
        <w:t xml:space="preserve">al Órgano Fiscalizador del Estado Mexiquense, el cual </w:t>
      </w:r>
      <w:r w:rsidR="00EE2D79" w:rsidRPr="00C817D1">
        <w:rPr>
          <w:rFonts w:ascii="Arial" w:hAnsi="Arial" w:cs="Arial"/>
          <w:sz w:val="24"/>
          <w:szCs w:val="24"/>
        </w:rPr>
        <w:t xml:space="preserve">se da a la tarea de fortalecer los mecanismos de planeación, programación y presupuestación </w:t>
      </w:r>
      <w:r w:rsidR="000F49D3" w:rsidRPr="00C817D1">
        <w:rPr>
          <w:rFonts w:ascii="Arial" w:hAnsi="Arial" w:cs="Arial"/>
          <w:sz w:val="24"/>
          <w:szCs w:val="24"/>
        </w:rPr>
        <w:t xml:space="preserve">de la administración pública estatal, </w:t>
      </w:r>
      <w:r w:rsidR="00EE2D79" w:rsidRPr="00C817D1">
        <w:rPr>
          <w:rFonts w:ascii="Arial" w:hAnsi="Arial" w:cs="Arial"/>
          <w:sz w:val="24"/>
          <w:szCs w:val="24"/>
        </w:rPr>
        <w:t>mediante la coordinación y ejecución de procesos de evaluación que permitan mejorar la eficiencia y eficacia en el cumplimiento de objetivos</w:t>
      </w:r>
      <w:r w:rsidR="000F49D3" w:rsidRPr="00C817D1">
        <w:rPr>
          <w:rFonts w:ascii="Arial" w:hAnsi="Arial" w:cs="Arial"/>
          <w:sz w:val="24"/>
          <w:szCs w:val="24"/>
        </w:rPr>
        <w:t xml:space="preserve"> </w:t>
      </w:r>
      <w:r w:rsidR="00EE2D79" w:rsidRPr="00C817D1">
        <w:rPr>
          <w:rFonts w:ascii="Arial" w:hAnsi="Arial" w:cs="Arial"/>
          <w:sz w:val="24"/>
          <w:szCs w:val="24"/>
        </w:rPr>
        <w:t>y</w:t>
      </w:r>
      <w:r w:rsidR="000F49D3" w:rsidRPr="00C817D1">
        <w:rPr>
          <w:rFonts w:ascii="Arial" w:hAnsi="Arial" w:cs="Arial"/>
          <w:sz w:val="24"/>
          <w:szCs w:val="24"/>
        </w:rPr>
        <w:t xml:space="preserve"> el </w:t>
      </w:r>
      <w:r w:rsidR="00EE2D79" w:rsidRPr="00C817D1">
        <w:rPr>
          <w:rFonts w:ascii="Arial" w:hAnsi="Arial" w:cs="Arial"/>
          <w:sz w:val="24"/>
          <w:szCs w:val="24"/>
        </w:rPr>
        <w:t>logro</w:t>
      </w:r>
      <w:r w:rsidR="000F49D3" w:rsidRPr="00C817D1">
        <w:rPr>
          <w:rFonts w:ascii="Arial" w:hAnsi="Arial" w:cs="Arial"/>
          <w:sz w:val="24"/>
          <w:szCs w:val="24"/>
        </w:rPr>
        <w:t xml:space="preserve"> </w:t>
      </w:r>
      <w:r w:rsidR="00EE2D79" w:rsidRPr="00C817D1">
        <w:rPr>
          <w:rFonts w:ascii="Arial" w:hAnsi="Arial" w:cs="Arial"/>
          <w:sz w:val="24"/>
          <w:szCs w:val="24"/>
        </w:rPr>
        <w:t>de</w:t>
      </w:r>
      <w:r w:rsidR="000F49D3" w:rsidRPr="00C817D1">
        <w:rPr>
          <w:rFonts w:ascii="Arial" w:hAnsi="Arial" w:cs="Arial"/>
          <w:sz w:val="24"/>
          <w:szCs w:val="24"/>
        </w:rPr>
        <w:t xml:space="preserve"> </w:t>
      </w:r>
      <w:r w:rsidR="00EE2D79" w:rsidRPr="00C817D1">
        <w:rPr>
          <w:rFonts w:ascii="Arial" w:hAnsi="Arial" w:cs="Arial"/>
          <w:sz w:val="24"/>
          <w:szCs w:val="24"/>
        </w:rPr>
        <w:t>resultados</w:t>
      </w:r>
      <w:r w:rsidR="000F49D3" w:rsidRPr="00C817D1">
        <w:rPr>
          <w:rFonts w:ascii="Arial" w:hAnsi="Arial" w:cs="Arial"/>
          <w:sz w:val="24"/>
          <w:szCs w:val="24"/>
        </w:rPr>
        <w:t xml:space="preserve"> </w:t>
      </w:r>
      <w:r w:rsidR="00EE2D79" w:rsidRPr="00C817D1">
        <w:rPr>
          <w:rFonts w:ascii="Arial" w:hAnsi="Arial" w:cs="Arial"/>
          <w:sz w:val="24"/>
          <w:szCs w:val="24"/>
        </w:rPr>
        <w:t>de</w:t>
      </w:r>
      <w:r w:rsidR="000F49D3" w:rsidRPr="00C817D1">
        <w:rPr>
          <w:rFonts w:ascii="Arial" w:hAnsi="Arial" w:cs="Arial"/>
          <w:sz w:val="24"/>
          <w:szCs w:val="24"/>
        </w:rPr>
        <w:t xml:space="preserve"> </w:t>
      </w:r>
      <w:r w:rsidR="00EE2D79" w:rsidRPr="00C817D1">
        <w:rPr>
          <w:rFonts w:ascii="Arial" w:hAnsi="Arial" w:cs="Arial"/>
          <w:sz w:val="24"/>
          <w:szCs w:val="24"/>
        </w:rPr>
        <w:t>los</w:t>
      </w:r>
      <w:r w:rsidR="000F49D3" w:rsidRPr="00C817D1">
        <w:rPr>
          <w:rFonts w:ascii="Arial" w:hAnsi="Arial" w:cs="Arial"/>
          <w:sz w:val="24"/>
          <w:szCs w:val="24"/>
        </w:rPr>
        <w:t xml:space="preserve"> </w:t>
      </w:r>
      <w:r w:rsidR="00EE2D79" w:rsidRPr="00C817D1">
        <w:rPr>
          <w:rFonts w:ascii="Arial" w:hAnsi="Arial" w:cs="Arial"/>
          <w:sz w:val="24"/>
          <w:szCs w:val="24"/>
        </w:rPr>
        <w:t>programas</w:t>
      </w:r>
      <w:r w:rsidR="000F49D3" w:rsidRPr="00C817D1">
        <w:rPr>
          <w:rFonts w:ascii="Arial" w:hAnsi="Arial" w:cs="Arial"/>
          <w:sz w:val="24"/>
          <w:szCs w:val="24"/>
        </w:rPr>
        <w:t xml:space="preserve"> gubernamentales; así mismo, identifica las d</w:t>
      </w:r>
      <w:r w:rsidR="00EE2D79" w:rsidRPr="00C817D1">
        <w:rPr>
          <w:rFonts w:ascii="Arial" w:hAnsi="Arial" w:cs="Arial"/>
          <w:sz w:val="24"/>
          <w:szCs w:val="24"/>
        </w:rPr>
        <w:t>esviaciones</w:t>
      </w:r>
      <w:r w:rsidR="000F49D3" w:rsidRPr="00C817D1">
        <w:rPr>
          <w:rFonts w:ascii="Arial" w:hAnsi="Arial" w:cs="Arial"/>
          <w:sz w:val="24"/>
          <w:szCs w:val="24"/>
        </w:rPr>
        <w:t xml:space="preserve"> y </w:t>
      </w:r>
      <w:r w:rsidR="00EE2D79" w:rsidRPr="00C817D1">
        <w:rPr>
          <w:rFonts w:ascii="Arial" w:hAnsi="Arial" w:cs="Arial"/>
          <w:sz w:val="24"/>
          <w:szCs w:val="24"/>
        </w:rPr>
        <w:t>coadyuva</w:t>
      </w:r>
      <w:r w:rsidR="000F49D3" w:rsidRPr="00C817D1">
        <w:rPr>
          <w:rFonts w:ascii="Arial" w:hAnsi="Arial" w:cs="Arial"/>
          <w:sz w:val="24"/>
          <w:szCs w:val="24"/>
        </w:rPr>
        <w:t xml:space="preserve"> </w:t>
      </w:r>
      <w:r w:rsidR="00EE2D79" w:rsidRPr="00C817D1">
        <w:rPr>
          <w:rFonts w:ascii="Arial" w:hAnsi="Arial" w:cs="Arial"/>
          <w:sz w:val="24"/>
          <w:szCs w:val="24"/>
        </w:rPr>
        <w:t>a</w:t>
      </w:r>
      <w:r w:rsidR="000F49D3" w:rsidRPr="00C817D1">
        <w:rPr>
          <w:rFonts w:ascii="Arial" w:hAnsi="Arial" w:cs="Arial"/>
          <w:sz w:val="24"/>
          <w:szCs w:val="24"/>
        </w:rPr>
        <w:t xml:space="preserve"> </w:t>
      </w:r>
      <w:r w:rsidR="00EE2D79" w:rsidRPr="00C817D1">
        <w:rPr>
          <w:rFonts w:ascii="Arial" w:hAnsi="Arial" w:cs="Arial"/>
          <w:sz w:val="24"/>
          <w:szCs w:val="24"/>
        </w:rPr>
        <w:t>la</w:t>
      </w:r>
      <w:r w:rsidR="000F49D3" w:rsidRPr="00C817D1">
        <w:rPr>
          <w:rFonts w:ascii="Arial" w:hAnsi="Arial" w:cs="Arial"/>
          <w:sz w:val="24"/>
          <w:szCs w:val="24"/>
        </w:rPr>
        <w:t xml:space="preserve"> </w:t>
      </w:r>
      <w:r w:rsidR="00EE2D79" w:rsidRPr="00C817D1">
        <w:rPr>
          <w:rFonts w:ascii="Arial" w:hAnsi="Arial" w:cs="Arial"/>
          <w:sz w:val="24"/>
          <w:szCs w:val="24"/>
        </w:rPr>
        <w:t>toma</w:t>
      </w:r>
      <w:r w:rsidR="000F49D3" w:rsidRPr="00C817D1">
        <w:rPr>
          <w:rFonts w:ascii="Arial" w:hAnsi="Arial" w:cs="Arial"/>
          <w:sz w:val="24"/>
          <w:szCs w:val="24"/>
        </w:rPr>
        <w:t xml:space="preserve"> </w:t>
      </w:r>
      <w:r w:rsidR="00EE2D79" w:rsidRPr="00C817D1">
        <w:rPr>
          <w:rFonts w:ascii="Arial" w:hAnsi="Arial" w:cs="Arial"/>
          <w:sz w:val="24"/>
          <w:szCs w:val="24"/>
        </w:rPr>
        <w:t>de</w:t>
      </w:r>
      <w:r w:rsidR="000F49D3" w:rsidRPr="00C817D1">
        <w:rPr>
          <w:rFonts w:ascii="Arial" w:hAnsi="Arial" w:cs="Arial"/>
          <w:sz w:val="24"/>
          <w:szCs w:val="24"/>
        </w:rPr>
        <w:t xml:space="preserve"> </w:t>
      </w:r>
      <w:r w:rsidR="00EE2D79" w:rsidRPr="00C817D1">
        <w:rPr>
          <w:rFonts w:ascii="Arial" w:hAnsi="Arial" w:cs="Arial"/>
          <w:sz w:val="24"/>
          <w:szCs w:val="24"/>
        </w:rPr>
        <w:t>decisiones</w:t>
      </w:r>
      <w:r w:rsidR="000F49D3" w:rsidRPr="00C817D1">
        <w:rPr>
          <w:rFonts w:ascii="Arial" w:hAnsi="Arial" w:cs="Arial"/>
          <w:sz w:val="24"/>
          <w:szCs w:val="24"/>
        </w:rPr>
        <w:t xml:space="preserve"> </w:t>
      </w:r>
      <w:r w:rsidR="00EE2D79" w:rsidRPr="00C817D1">
        <w:rPr>
          <w:rFonts w:ascii="Arial" w:hAnsi="Arial" w:cs="Arial"/>
          <w:sz w:val="24"/>
          <w:szCs w:val="24"/>
        </w:rPr>
        <w:t>y</w:t>
      </w:r>
      <w:r w:rsidR="000F49D3" w:rsidRPr="00C817D1">
        <w:rPr>
          <w:rFonts w:ascii="Arial" w:hAnsi="Arial" w:cs="Arial"/>
          <w:sz w:val="24"/>
          <w:szCs w:val="24"/>
        </w:rPr>
        <w:t xml:space="preserve"> </w:t>
      </w:r>
      <w:r w:rsidR="00EE2D79" w:rsidRPr="00C817D1">
        <w:rPr>
          <w:rFonts w:ascii="Arial" w:hAnsi="Arial" w:cs="Arial"/>
          <w:sz w:val="24"/>
          <w:szCs w:val="24"/>
        </w:rPr>
        <w:t>a</w:t>
      </w:r>
      <w:r w:rsidR="000F49D3" w:rsidRPr="00C817D1">
        <w:rPr>
          <w:rFonts w:ascii="Arial" w:hAnsi="Arial" w:cs="Arial"/>
          <w:sz w:val="24"/>
          <w:szCs w:val="24"/>
        </w:rPr>
        <w:t xml:space="preserve"> </w:t>
      </w:r>
      <w:r w:rsidR="00EE2D79" w:rsidRPr="00C817D1">
        <w:rPr>
          <w:rFonts w:ascii="Arial" w:hAnsi="Arial" w:cs="Arial"/>
          <w:sz w:val="24"/>
          <w:szCs w:val="24"/>
        </w:rPr>
        <w:t>la</w:t>
      </w:r>
      <w:r w:rsidR="000F49D3" w:rsidRPr="00C817D1">
        <w:rPr>
          <w:rFonts w:ascii="Arial" w:hAnsi="Arial" w:cs="Arial"/>
          <w:sz w:val="24"/>
          <w:szCs w:val="24"/>
        </w:rPr>
        <w:t xml:space="preserve"> </w:t>
      </w:r>
      <w:r w:rsidR="00EE2D79" w:rsidRPr="00C817D1">
        <w:rPr>
          <w:rFonts w:ascii="Arial" w:hAnsi="Arial" w:cs="Arial"/>
          <w:sz w:val="24"/>
          <w:szCs w:val="24"/>
        </w:rPr>
        <w:t>consolidación</w:t>
      </w:r>
      <w:r w:rsidR="000F49D3" w:rsidRPr="00C817D1">
        <w:rPr>
          <w:rFonts w:ascii="Arial" w:hAnsi="Arial" w:cs="Arial"/>
          <w:sz w:val="24"/>
          <w:szCs w:val="24"/>
        </w:rPr>
        <w:t xml:space="preserve"> </w:t>
      </w:r>
      <w:r w:rsidR="00EE2D79" w:rsidRPr="00C817D1">
        <w:rPr>
          <w:rFonts w:ascii="Arial" w:hAnsi="Arial" w:cs="Arial"/>
          <w:sz w:val="24"/>
          <w:szCs w:val="24"/>
        </w:rPr>
        <w:t>de</w:t>
      </w:r>
      <w:r w:rsidR="000F49D3" w:rsidRPr="00C817D1">
        <w:rPr>
          <w:rFonts w:ascii="Arial" w:hAnsi="Arial" w:cs="Arial"/>
          <w:sz w:val="24"/>
          <w:szCs w:val="24"/>
        </w:rPr>
        <w:t xml:space="preserve"> </w:t>
      </w:r>
      <w:r w:rsidR="00EE2D79" w:rsidRPr="00C817D1">
        <w:rPr>
          <w:rFonts w:ascii="Arial" w:hAnsi="Arial" w:cs="Arial"/>
          <w:sz w:val="24"/>
          <w:szCs w:val="24"/>
        </w:rPr>
        <w:t>una</w:t>
      </w:r>
      <w:r w:rsidR="000F49D3" w:rsidRPr="00C817D1">
        <w:rPr>
          <w:rFonts w:ascii="Arial" w:hAnsi="Arial" w:cs="Arial"/>
          <w:sz w:val="24"/>
          <w:szCs w:val="24"/>
        </w:rPr>
        <w:t xml:space="preserve"> </w:t>
      </w:r>
      <w:r w:rsidR="00EE2D79" w:rsidRPr="00C817D1">
        <w:rPr>
          <w:rFonts w:ascii="Arial" w:hAnsi="Arial" w:cs="Arial"/>
          <w:sz w:val="24"/>
          <w:szCs w:val="24"/>
        </w:rPr>
        <w:t>cultura</w:t>
      </w:r>
      <w:r w:rsidR="000F49D3" w:rsidRPr="00C817D1">
        <w:rPr>
          <w:rFonts w:ascii="Arial" w:hAnsi="Arial" w:cs="Arial"/>
          <w:sz w:val="24"/>
          <w:szCs w:val="24"/>
        </w:rPr>
        <w:t xml:space="preserve"> </w:t>
      </w:r>
      <w:r w:rsidR="00EE2D79" w:rsidRPr="00C817D1">
        <w:rPr>
          <w:rFonts w:ascii="Arial" w:hAnsi="Arial" w:cs="Arial"/>
          <w:sz w:val="24"/>
          <w:szCs w:val="24"/>
        </w:rPr>
        <w:t>de</w:t>
      </w:r>
      <w:r w:rsidR="000F49D3" w:rsidRPr="00C817D1">
        <w:rPr>
          <w:rFonts w:ascii="Arial" w:hAnsi="Arial" w:cs="Arial"/>
          <w:sz w:val="24"/>
          <w:szCs w:val="24"/>
        </w:rPr>
        <w:t xml:space="preserve"> </w:t>
      </w:r>
      <w:r w:rsidR="00EE2D79" w:rsidRPr="00C817D1">
        <w:rPr>
          <w:rFonts w:ascii="Arial" w:hAnsi="Arial" w:cs="Arial"/>
          <w:sz w:val="24"/>
          <w:szCs w:val="24"/>
        </w:rPr>
        <w:t>transparencia</w:t>
      </w:r>
      <w:r w:rsidR="000F49D3" w:rsidRPr="00C817D1">
        <w:rPr>
          <w:rFonts w:ascii="Arial" w:hAnsi="Arial" w:cs="Arial"/>
          <w:sz w:val="24"/>
          <w:szCs w:val="24"/>
        </w:rPr>
        <w:t xml:space="preserve"> </w:t>
      </w:r>
      <w:r w:rsidR="00EE2D79" w:rsidRPr="00C817D1">
        <w:rPr>
          <w:rFonts w:ascii="Arial" w:hAnsi="Arial" w:cs="Arial"/>
          <w:sz w:val="24"/>
          <w:szCs w:val="24"/>
        </w:rPr>
        <w:t>y</w:t>
      </w:r>
      <w:r w:rsidR="000F49D3" w:rsidRPr="00C817D1">
        <w:rPr>
          <w:rFonts w:ascii="Arial" w:hAnsi="Arial" w:cs="Arial"/>
          <w:sz w:val="24"/>
          <w:szCs w:val="24"/>
        </w:rPr>
        <w:t xml:space="preserve"> </w:t>
      </w:r>
      <w:r w:rsidR="00EE2D79" w:rsidRPr="00C817D1">
        <w:rPr>
          <w:rFonts w:ascii="Arial" w:hAnsi="Arial" w:cs="Arial"/>
          <w:sz w:val="24"/>
          <w:szCs w:val="24"/>
        </w:rPr>
        <w:t>rendición de cuentas.</w:t>
      </w:r>
    </w:p>
    <w:p w:rsidR="00C034D2" w:rsidRPr="00C817D1" w:rsidRDefault="00C034D2" w:rsidP="00EE2D79">
      <w:pPr>
        <w:spacing w:after="0" w:line="360" w:lineRule="auto"/>
        <w:jc w:val="both"/>
        <w:rPr>
          <w:rFonts w:ascii="Arial" w:hAnsi="Arial" w:cs="Arial"/>
          <w:sz w:val="24"/>
          <w:szCs w:val="24"/>
        </w:rPr>
      </w:pPr>
    </w:p>
    <w:p w:rsidR="008B6661" w:rsidRPr="00C817D1" w:rsidRDefault="000F49D3" w:rsidP="008B6661">
      <w:pPr>
        <w:spacing w:after="0" w:line="360" w:lineRule="auto"/>
        <w:jc w:val="both"/>
        <w:rPr>
          <w:rFonts w:ascii="Arial" w:hAnsi="Arial" w:cs="Arial"/>
          <w:sz w:val="24"/>
          <w:szCs w:val="24"/>
        </w:rPr>
      </w:pPr>
      <w:r w:rsidRPr="00C817D1">
        <w:rPr>
          <w:rFonts w:ascii="Arial" w:hAnsi="Arial" w:cs="Arial"/>
          <w:sz w:val="24"/>
          <w:szCs w:val="24"/>
        </w:rPr>
        <w:t>Dichas actividades únicamente las puede realizar</w:t>
      </w:r>
      <w:r w:rsidR="00F44B70" w:rsidRPr="00C817D1">
        <w:rPr>
          <w:rFonts w:ascii="Arial" w:hAnsi="Arial" w:cs="Arial"/>
          <w:sz w:val="24"/>
          <w:szCs w:val="24"/>
        </w:rPr>
        <w:t xml:space="preserve"> </w:t>
      </w:r>
      <w:r w:rsidR="00C034D2" w:rsidRPr="00C817D1">
        <w:rPr>
          <w:rFonts w:ascii="Arial" w:hAnsi="Arial" w:cs="Arial"/>
          <w:sz w:val="24"/>
          <w:szCs w:val="24"/>
        </w:rPr>
        <w:t xml:space="preserve">al </w:t>
      </w:r>
      <w:r w:rsidR="00F44B70" w:rsidRPr="00C817D1">
        <w:rPr>
          <w:rFonts w:ascii="Arial" w:hAnsi="Arial" w:cs="Arial"/>
          <w:sz w:val="24"/>
          <w:szCs w:val="24"/>
        </w:rPr>
        <w:t>disponer</w:t>
      </w:r>
      <w:r w:rsidRPr="00C817D1">
        <w:rPr>
          <w:rFonts w:ascii="Arial" w:hAnsi="Arial" w:cs="Arial"/>
          <w:sz w:val="24"/>
          <w:szCs w:val="24"/>
        </w:rPr>
        <w:t xml:space="preserve"> </w:t>
      </w:r>
      <w:r w:rsidR="00C034D2" w:rsidRPr="00C817D1">
        <w:rPr>
          <w:rFonts w:ascii="Arial" w:hAnsi="Arial" w:cs="Arial"/>
          <w:sz w:val="24"/>
          <w:szCs w:val="24"/>
        </w:rPr>
        <w:t xml:space="preserve">de la </w:t>
      </w:r>
      <w:r w:rsidR="004F1A3F" w:rsidRPr="00C817D1">
        <w:rPr>
          <w:rFonts w:ascii="Arial" w:hAnsi="Arial" w:cs="Arial"/>
          <w:sz w:val="24"/>
          <w:szCs w:val="24"/>
        </w:rPr>
        <w:t xml:space="preserve">legislación o normatividad que </w:t>
      </w:r>
      <w:r w:rsidR="00C034D2" w:rsidRPr="00C817D1">
        <w:rPr>
          <w:rFonts w:ascii="Arial" w:hAnsi="Arial" w:cs="Arial"/>
          <w:sz w:val="24"/>
          <w:szCs w:val="24"/>
        </w:rPr>
        <w:t>establece</w:t>
      </w:r>
      <w:r w:rsidR="008B6661" w:rsidRPr="00C817D1">
        <w:rPr>
          <w:rFonts w:ascii="Arial" w:hAnsi="Arial" w:cs="Arial"/>
          <w:sz w:val="24"/>
          <w:szCs w:val="24"/>
        </w:rPr>
        <w:t>n</w:t>
      </w:r>
      <w:r w:rsidR="004F1A3F" w:rsidRPr="00C817D1">
        <w:rPr>
          <w:rFonts w:ascii="Arial" w:hAnsi="Arial" w:cs="Arial"/>
          <w:sz w:val="24"/>
          <w:szCs w:val="24"/>
        </w:rPr>
        <w:t xml:space="preserve"> </w:t>
      </w:r>
      <w:r w:rsidR="00C034D2" w:rsidRPr="00C817D1">
        <w:rPr>
          <w:rFonts w:ascii="Arial" w:hAnsi="Arial" w:cs="Arial"/>
          <w:sz w:val="24"/>
          <w:szCs w:val="24"/>
        </w:rPr>
        <w:t xml:space="preserve">su competencia, ya que </w:t>
      </w:r>
      <w:r w:rsidR="008B6661" w:rsidRPr="00C817D1">
        <w:rPr>
          <w:rFonts w:ascii="Arial" w:hAnsi="Arial" w:cs="Arial"/>
          <w:sz w:val="24"/>
          <w:szCs w:val="24"/>
        </w:rPr>
        <w:t>la operación exitosa de toda organización pública o privada requiere que se dirija y controle en forma sistemática, contando con instrumentos técnicos administrativos que definan y acoten sobre bases normativas el esquema orgánico-funcional con el que habrá de operar.</w:t>
      </w:r>
    </w:p>
    <w:p w:rsidR="008B6661" w:rsidRPr="00C817D1" w:rsidRDefault="008B6661" w:rsidP="004F1A3F">
      <w:pPr>
        <w:spacing w:after="0" w:line="360" w:lineRule="auto"/>
        <w:jc w:val="both"/>
        <w:rPr>
          <w:rFonts w:ascii="Arial" w:hAnsi="Arial" w:cs="Arial"/>
          <w:sz w:val="24"/>
          <w:szCs w:val="24"/>
        </w:rPr>
      </w:pPr>
    </w:p>
    <w:p w:rsidR="008B6661" w:rsidRPr="00C817D1" w:rsidRDefault="008B6661" w:rsidP="004F1A3F">
      <w:pPr>
        <w:spacing w:after="0" w:line="360" w:lineRule="auto"/>
        <w:jc w:val="both"/>
        <w:rPr>
          <w:rFonts w:ascii="Arial" w:hAnsi="Arial" w:cs="Arial"/>
          <w:sz w:val="24"/>
          <w:szCs w:val="24"/>
        </w:rPr>
      </w:pPr>
      <w:r w:rsidRPr="00C817D1">
        <w:rPr>
          <w:rFonts w:ascii="Arial" w:hAnsi="Arial" w:cs="Arial"/>
          <w:sz w:val="24"/>
          <w:szCs w:val="24"/>
        </w:rPr>
        <w:t>Aunado a lo anterior, debemos mencionar que dentro de este aparatado se enuncia la normativa que sustenta la fiscalización de los recursos públicos transferidos por la Federación al Estado, a través del instrumento denominado Ramo General 33.</w:t>
      </w:r>
    </w:p>
    <w:p w:rsidR="004F1A3F" w:rsidRPr="00C817D1" w:rsidRDefault="004F1A3F"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5774FB" w:rsidRPr="00C817D1" w:rsidRDefault="005774FB" w:rsidP="00AF564F">
      <w:pPr>
        <w:spacing w:after="0" w:line="360" w:lineRule="auto"/>
        <w:jc w:val="both"/>
        <w:rPr>
          <w:rFonts w:ascii="Arial" w:eastAsia="Times New Roman" w:hAnsi="Arial" w:cs="Arial"/>
          <w:b/>
          <w:color w:val="000000"/>
          <w:sz w:val="24"/>
          <w:szCs w:val="24"/>
        </w:rPr>
      </w:pPr>
    </w:p>
    <w:p w:rsidR="00AF564F" w:rsidRPr="00C817D1" w:rsidRDefault="00AF564F" w:rsidP="00AF564F">
      <w:pPr>
        <w:spacing w:after="0" w:line="360" w:lineRule="auto"/>
        <w:jc w:val="both"/>
        <w:rPr>
          <w:rFonts w:ascii="Arial" w:eastAsia="Times New Roman" w:hAnsi="Arial" w:cs="Arial"/>
          <w:b/>
          <w:color w:val="000000"/>
          <w:sz w:val="24"/>
          <w:szCs w:val="24"/>
        </w:rPr>
      </w:pPr>
      <w:r w:rsidRPr="00C817D1">
        <w:rPr>
          <w:rFonts w:ascii="Arial" w:eastAsia="Times New Roman" w:hAnsi="Arial" w:cs="Arial"/>
          <w:b/>
          <w:color w:val="000000"/>
          <w:sz w:val="24"/>
          <w:szCs w:val="24"/>
        </w:rPr>
        <w:lastRenderedPageBreak/>
        <w:t>2.1</w:t>
      </w:r>
      <w:r w:rsidRPr="00C817D1">
        <w:rPr>
          <w:rFonts w:ascii="Arial" w:eastAsia="Times New Roman" w:hAnsi="Arial" w:cs="Arial"/>
          <w:b/>
          <w:color w:val="000000"/>
          <w:sz w:val="24"/>
          <w:szCs w:val="24"/>
        </w:rPr>
        <w:tab/>
        <w:t>Órgano Superior de Fiscalización del Estado de México (OSFEM)</w:t>
      </w:r>
    </w:p>
    <w:p w:rsidR="00AF564F" w:rsidRPr="006D064C" w:rsidRDefault="00AF564F" w:rsidP="00AF564F">
      <w:pPr>
        <w:spacing w:after="0" w:line="360" w:lineRule="auto"/>
        <w:jc w:val="both"/>
        <w:rPr>
          <w:rFonts w:ascii="Arial" w:eastAsia="Times New Roman" w:hAnsi="Arial" w:cs="Arial"/>
          <w:b/>
          <w:color w:val="000000"/>
          <w:sz w:val="24"/>
          <w:szCs w:val="24"/>
        </w:rPr>
      </w:pPr>
    </w:p>
    <w:p w:rsidR="00AF564F" w:rsidRPr="006D064C" w:rsidRDefault="00AF564F" w:rsidP="00AF564F">
      <w:pPr>
        <w:pStyle w:val="Default"/>
        <w:spacing w:line="360" w:lineRule="auto"/>
        <w:jc w:val="both"/>
        <w:rPr>
          <w:rFonts w:eastAsia="Times New Roman"/>
        </w:rPr>
      </w:pPr>
      <w:r w:rsidRPr="006D064C">
        <w:rPr>
          <w:rFonts w:eastAsia="Times New Roman"/>
        </w:rPr>
        <w:t xml:space="preserve">El </w:t>
      </w:r>
      <w:r w:rsidR="007824D2" w:rsidRPr="006D064C">
        <w:rPr>
          <w:rFonts w:eastAsia="Times New Roman"/>
        </w:rPr>
        <w:t>OSFEM</w:t>
      </w:r>
      <w:r w:rsidRPr="006D064C">
        <w:rPr>
          <w:rFonts w:eastAsia="Times New Roman"/>
        </w:rPr>
        <w:t>, es la</w:t>
      </w:r>
      <w:r w:rsidRPr="006D064C">
        <w:t xml:space="preserve">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w:t>
      </w:r>
      <w:r w:rsidR="006F69D8" w:rsidRPr="006D064C">
        <w:rPr>
          <w:rStyle w:val="Refdenotaalpie"/>
          <w:rFonts w:eastAsia="Times New Roman"/>
          <w:b/>
        </w:rPr>
        <w:footnoteReference w:id="5"/>
      </w:r>
      <w:r w:rsidRPr="006D064C">
        <w:t xml:space="preserve"> del Estado de México.</w:t>
      </w:r>
      <w:r w:rsidR="006D064C">
        <w:t xml:space="preserve"> </w:t>
      </w:r>
      <w:r w:rsidRPr="006D064C">
        <w:t>El cual g</w:t>
      </w:r>
      <w:r w:rsidRPr="006D064C">
        <w:rPr>
          <w:rFonts w:eastAsia="Times New Roman"/>
        </w:rPr>
        <w:t>arantiza el honesto y eficaz manejo de los recursos, mediante la fiscalización, auditoría, revisión, sustanciación, resolución y sanción de los actos y cuentas relativos a la aplicación de los fondos públicos del Estado y sus Municipios, así como los fondos público federales ministrados al amparo de la Ley</w:t>
      </w:r>
      <w:r w:rsidR="006F69D8" w:rsidRPr="006D064C">
        <w:rPr>
          <w:rStyle w:val="Refdenotaalpie"/>
          <w:rFonts w:eastAsia="Times New Roman"/>
          <w:b/>
        </w:rPr>
        <w:footnoteReference w:id="6"/>
      </w:r>
      <w:r w:rsidRPr="006D064C">
        <w:rPr>
          <w:rFonts w:eastAsia="Times New Roman"/>
        </w:rPr>
        <w:t>.</w:t>
      </w:r>
    </w:p>
    <w:p w:rsidR="00AF564F" w:rsidRPr="006D064C" w:rsidRDefault="00AF564F" w:rsidP="00AF564F">
      <w:pPr>
        <w:pStyle w:val="Default"/>
        <w:spacing w:line="360" w:lineRule="auto"/>
        <w:jc w:val="both"/>
        <w:rPr>
          <w:rFonts w:eastAsia="Times New Roman"/>
        </w:rPr>
      </w:pPr>
    </w:p>
    <w:p w:rsidR="00AF564F" w:rsidRPr="006D064C" w:rsidRDefault="00AF564F" w:rsidP="00AF564F">
      <w:pPr>
        <w:spacing w:after="0" w:line="360" w:lineRule="auto"/>
        <w:jc w:val="both"/>
        <w:rPr>
          <w:rFonts w:ascii="Arial" w:eastAsia="Times New Roman" w:hAnsi="Arial" w:cs="Arial"/>
          <w:color w:val="000000"/>
          <w:sz w:val="24"/>
          <w:szCs w:val="24"/>
        </w:rPr>
      </w:pPr>
      <w:r w:rsidRPr="006D064C">
        <w:rPr>
          <w:rFonts w:ascii="Arial" w:eastAsia="Times New Roman" w:hAnsi="Arial" w:cs="Arial"/>
          <w:color w:val="000000"/>
          <w:sz w:val="24"/>
          <w:szCs w:val="24"/>
        </w:rPr>
        <w:t xml:space="preserve">En </w:t>
      </w:r>
      <w:r w:rsidR="00605509" w:rsidRPr="006D064C">
        <w:rPr>
          <w:rFonts w:ascii="Arial" w:eastAsia="Times New Roman" w:hAnsi="Arial" w:cs="Arial"/>
          <w:color w:val="000000"/>
          <w:sz w:val="24"/>
          <w:szCs w:val="24"/>
        </w:rPr>
        <w:t>su organigrama</w:t>
      </w:r>
      <w:r w:rsidRPr="006D064C">
        <w:rPr>
          <w:rFonts w:ascii="Arial" w:eastAsia="Times New Roman" w:hAnsi="Arial" w:cs="Arial"/>
          <w:color w:val="000000"/>
          <w:sz w:val="24"/>
          <w:szCs w:val="24"/>
        </w:rPr>
        <w:t xml:space="preserve"> se observar que el OSFEM cuenta con siete áreas administrativas, las cuales llevan a cabo las actividades necesarias para regular su organización, funcionamiento y atribuciones; asimismo tiene el apoyo de dos auditorías especiales y la unidad de asuntos jurídicos, áreas que tienen como tarea llevar a cabo la revisión, fiscalización y seguimiento en la aplicación de los recursos públicos Estatales, Municipales y Federales, ministrados al Estado y ejecutados por las Entidades Fiscalizables.</w:t>
      </w:r>
      <w:r w:rsidR="006D064C">
        <w:rPr>
          <w:rFonts w:ascii="Arial" w:eastAsia="Times New Roman" w:hAnsi="Arial" w:cs="Arial"/>
          <w:color w:val="000000"/>
          <w:sz w:val="24"/>
          <w:szCs w:val="24"/>
        </w:rPr>
        <w:t xml:space="preserve"> </w:t>
      </w:r>
    </w:p>
    <w:p w:rsidR="00AF564F" w:rsidRPr="006D064C" w:rsidRDefault="00AF564F" w:rsidP="00AF564F">
      <w:pPr>
        <w:spacing w:after="0" w:line="360" w:lineRule="auto"/>
        <w:jc w:val="both"/>
        <w:rPr>
          <w:rFonts w:ascii="Arial" w:eastAsia="Times New Roman" w:hAnsi="Arial" w:cs="Arial"/>
          <w:color w:val="000000"/>
          <w:sz w:val="24"/>
          <w:szCs w:val="24"/>
        </w:rPr>
      </w:pPr>
    </w:p>
    <w:p w:rsidR="00AF564F" w:rsidRPr="006D064C" w:rsidRDefault="00AF564F" w:rsidP="006D064C">
      <w:pPr>
        <w:spacing w:after="0" w:line="360" w:lineRule="auto"/>
        <w:jc w:val="both"/>
        <w:rPr>
          <w:rFonts w:ascii="Arial" w:hAnsi="Arial" w:cs="Arial"/>
          <w:sz w:val="24"/>
          <w:szCs w:val="24"/>
        </w:rPr>
      </w:pPr>
      <w:r w:rsidRPr="006D064C">
        <w:rPr>
          <w:rFonts w:ascii="Arial" w:eastAsia="Times New Roman" w:hAnsi="Arial" w:cs="Arial"/>
          <w:color w:val="000000"/>
          <w:sz w:val="24"/>
          <w:szCs w:val="24"/>
        </w:rPr>
        <w:t>Adicionalmente, lleva a cabo la evaluación y vigilancia por parte de la Legislatura; así mismo, promueve las responsabilidades que sean procedentes ante el Tribunal Estatal de Justicia Administrativa y la Fiscalía Especializada en Combate a la Corrupción y todas aquéllas que las leyes aplicables le confieran.</w:t>
      </w:r>
      <w:r w:rsidR="006D064C">
        <w:rPr>
          <w:rFonts w:ascii="Arial" w:eastAsia="Times New Roman" w:hAnsi="Arial" w:cs="Arial"/>
          <w:color w:val="000000"/>
          <w:sz w:val="24"/>
          <w:szCs w:val="24"/>
        </w:rPr>
        <w:t xml:space="preserve"> </w:t>
      </w:r>
      <w:r w:rsidRPr="006D064C">
        <w:rPr>
          <w:rFonts w:ascii="Arial" w:hAnsi="Arial" w:cs="Arial"/>
          <w:sz w:val="24"/>
          <w:szCs w:val="24"/>
        </w:rPr>
        <w:t>A continuación se muestra el organigrama del OSFEM, resaltando las áreas que están inmersas en la fiscalización del Ramo 33 y que es objeto de éste estudio.</w:t>
      </w:r>
    </w:p>
    <w:p w:rsidR="00AF564F" w:rsidRPr="0004584B" w:rsidRDefault="00AF564F" w:rsidP="00AF564F">
      <w:pPr>
        <w:spacing w:after="0" w:line="360" w:lineRule="auto"/>
        <w:jc w:val="center"/>
        <w:rPr>
          <w:rFonts w:ascii="Arial" w:eastAsia="Times New Roman" w:hAnsi="Arial" w:cs="Arial"/>
          <w:b/>
          <w:color w:val="000000"/>
          <w:sz w:val="24"/>
          <w:szCs w:val="24"/>
        </w:rPr>
      </w:pPr>
      <w:r w:rsidRPr="00CD2382">
        <w:rPr>
          <w:noProof/>
          <w:lang w:eastAsia="es-MX"/>
        </w:rPr>
        <w:lastRenderedPageBreak/>
        <w:drawing>
          <wp:inline distT="0" distB="0" distL="0" distR="0" wp14:anchorId="1B4B332E" wp14:editId="2EF73EA8">
            <wp:extent cx="5612130" cy="763227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632275"/>
                    </a:xfrm>
                    <a:prstGeom prst="rect">
                      <a:avLst/>
                    </a:prstGeom>
                    <a:noFill/>
                    <a:ln>
                      <a:noFill/>
                    </a:ln>
                  </pic:spPr>
                </pic:pic>
              </a:graphicData>
            </a:graphic>
          </wp:inline>
        </w:drawing>
      </w:r>
    </w:p>
    <w:tbl>
      <w:tblPr>
        <w:tblStyle w:val="Tablaconcuadrcula"/>
        <w:tblW w:w="726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6495"/>
      </w:tblGrid>
      <w:tr w:rsidR="005D5B33" w:rsidRPr="00110392" w:rsidTr="005D5B33">
        <w:trPr>
          <w:trHeight w:val="206"/>
        </w:trPr>
        <w:tc>
          <w:tcPr>
            <w:tcW w:w="770" w:type="dxa"/>
          </w:tcPr>
          <w:p w:rsidR="005D5B33" w:rsidRPr="00110392" w:rsidRDefault="005D5B33" w:rsidP="009C68DE">
            <w:pPr>
              <w:spacing w:line="240" w:lineRule="auto"/>
              <w:ind w:left="-96" w:right="-250" w:hanging="14"/>
              <w:rPr>
                <w:rFonts w:ascii="Arial" w:hAnsi="Arial" w:cs="Arial"/>
                <w:b/>
                <w:sz w:val="16"/>
                <w:szCs w:val="16"/>
                <w:lang w:val="es-MX"/>
              </w:rPr>
            </w:pPr>
            <w:r w:rsidRPr="00110392">
              <w:rPr>
                <w:rFonts w:ascii="Arial" w:hAnsi="Arial" w:cs="Arial"/>
                <w:b/>
                <w:sz w:val="16"/>
                <w:szCs w:val="16"/>
                <w:lang w:val="es-MX"/>
              </w:rPr>
              <w:t>FUENTE:</w:t>
            </w:r>
          </w:p>
        </w:tc>
        <w:tc>
          <w:tcPr>
            <w:tcW w:w="6495" w:type="dxa"/>
          </w:tcPr>
          <w:p w:rsidR="005D5B33" w:rsidRPr="00110392" w:rsidRDefault="005D5B33" w:rsidP="005D5B33">
            <w:pPr>
              <w:spacing w:line="240" w:lineRule="auto"/>
              <w:ind w:left="-96" w:right="-94"/>
              <w:rPr>
                <w:rFonts w:ascii="Arial" w:hAnsi="Arial" w:cs="Arial"/>
                <w:sz w:val="16"/>
                <w:szCs w:val="16"/>
                <w:lang w:val="es-MX"/>
              </w:rPr>
            </w:pPr>
            <w:r w:rsidRPr="00110392">
              <w:rPr>
                <w:rFonts w:ascii="Arial" w:hAnsi="Arial" w:cs="Arial"/>
                <w:sz w:val="16"/>
                <w:szCs w:val="16"/>
                <w:lang w:val="es-MX"/>
              </w:rPr>
              <w:t>Elaboración del OSFEM.</w:t>
            </w:r>
          </w:p>
        </w:tc>
      </w:tr>
    </w:tbl>
    <w:p w:rsidR="00AF564F" w:rsidRPr="006D064C" w:rsidRDefault="00AF564F" w:rsidP="00DC230B">
      <w:pPr>
        <w:spacing w:after="0" w:line="360" w:lineRule="auto"/>
        <w:jc w:val="both"/>
        <w:rPr>
          <w:rFonts w:ascii="Arial" w:hAnsi="Arial" w:cs="Arial"/>
          <w:b/>
          <w:sz w:val="24"/>
          <w:szCs w:val="24"/>
        </w:rPr>
      </w:pPr>
      <w:r w:rsidRPr="006D064C">
        <w:rPr>
          <w:rFonts w:ascii="Arial" w:eastAsia="Times New Roman" w:hAnsi="Arial" w:cs="Arial"/>
          <w:b/>
          <w:color w:val="000000"/>
          <w:sz w:val="24"/>
          <w:szCs w:val="24"/>
        </w:rPr>
        <w:lastRenderedPageBreak/>
        <w:t xml:space="preserve">2.2 </w:t>
      </w:r>
      <w:r w:rsidRPr="006D064C">
        <w:rPr>
          <w:rFonts w:ascii="Arial" w:eastAsia="Times New Roman" w:hAnsi="Arial" w:cs="Arial"/>
          <w:b/>
          <w:color w:val="000000"/>
          <w:sz w:val="24"/>
          <w:szCs w:val="24"/>
        </w:rPr>
        <w:tab/>
      </w:r>
      <w:r w:rsidRPr="006D064C">
        <w:rPr>
          <w:rFonts w:ascii="Arial" w:hAnsi="Arial" w:cs="Arial"/>
          <w:b/>
          <w:sz w:val="24"/>
          <w:szCs w:val="24"/>
        </w:rPr>
        <w:t>Base Jurídica que faculta al OSFEM.</w:t>
      </w:r>
    </w:p>
    <w:p w:rsidR="00AF564F" w:rsidRPr="006D064C" w:rsidRDefault="00AF564F" w:rsidP="00DC230B">
      <w:pPr>
        <w:spacing w:after="0" w:line="360" w:lineRule="auto"/>
        <w:jc w:val="both"/>
        <w:rPr>
          <w:rFonts w:ascii="Arial" w:hAnsi="Arial" w:cs="Arial"/>
          <w:sz w:val="24"/>
          <w:szCs w:val="24"/>
        </w:rPr>
      </w:pPr>
    </w:p>
    <w:p w:rsidR="00AF564F" w:rsidRPr="006D064C" w:rsidRDefault="00AF564F" w:rsidP="00DC230B">
      <w:pPr>
        <w:spacing w:after="0" w:line="360" w:lineRule="auto"/>
        <w:jc w:val="both"/>
        <w:rPr>
          <w:rFonts w:ascii="Arial" w:hAnsi="Arial" w:cs="Arial"/>
          <w:sz w:val="24"/>
          <w:szCs w:val="24"/>
        </w:rPr>
      </w:pPr>
      <w:r w:rsidRPr="006D064C">
        <w:rPr>
          <w:rFonts w:ascii="Arial" w:hAnsi="Arial" w:cs="Arial"/>
          <w:sz w:val="24"/>
          <w:szCs w:val="24"/>
        </w:rPr>
        <w:t>Como su título lo refiere, en este apartado se presenta la principal legislación que facultad y da atribuciones al OSFEM</w:t>
      </w:r>
      <w:r w:rsidR="00DC230B" w:rsidRPr="006D064C">
        <w:rPr>
          <w:rFonts w:ascii="Arial" w:hAnsi="Arial" w:cs="Arial"/>
          <w:sz w:val="24"/>
          <w:szCs w:val="24"/>
        </w:rPr>
        <w:t xml:space="preserve"> (</w:t>
      </w:r>
      <w:r w:rsidR="00707340">
        <w:rPr>
          <w:rFonts w:ascii="Arial" w:hAnsi="Arial" w:cs="Arial"/>
          <w:sz w:val="24"/>
          <w:szCs w:val="24"/>
        </w:rPr>
        <w:t>Tablas 5</w:t>
      </w:r>
      <w:r w:rsidR="00DC230B" w:rsidRPr="006D064C">
        <w:rPr>
          <w:rFonts w:ascii="Arial" w:hAnsi="Arial" w:cs="Arial"/>
          <w:sz w:val="24"/>
          <w:szCs w:val="24"/>
        </w:rPr>
        <w:t xml:space="preserve"> y </w:t>
      </w:r>
      <w:r w:rsidR="00707340">
        <w:rPr>
          <w:rFonts w:ascii="Arial" w:hAnsi="Arial" w:cs="Arial"/>
          <w:sz w:val="24"/>
          <w:szCs w:val="24"/>
        </w:rPr>
        <w:t>6</w:t>
      </w:r>
      <w:r w:rsidR="00DC230B" w:rsidRPr="006D064C">
        <w:rPr>
          <w:rFonts w:ascii="Arial" w:hAnsi="Arial" w:cs="Arial"/>
          <w:sz w:val="24"/>
          <w:szCs w:val="24"/>
        </w:rPr>
        <w:t>)</w:t>
      </w:r>
      <w:r w:rsidRPr="006D064C">
        <w:rPr>
          <w:rFonts w:ascii="Arial" w:hAnsi="Arial" w:cs="Arial"/>
          <w:sz w:val="24"/>
          <w:szCs w:val="24"/>
        </w:rPr>
        <w:t>, dependencia del Poder Legislativo dotado de autonomía técnica y de gestión, el cual tiene como función principal llevar a cabo la revisión de las cuentas y actos relativos a la aplicación de los fondos públicos del Estado y Municipios, así como de los fondos públicos federales.</w:t>
      </w:r>
    </w:p>
    <w:p w:rsidR="00AF564F" w:rsidRPr="006D064C" w:rsidRDefault="00AF564F" w:rsidP="00DC230B">
      <w:pPr>
        <w:spacing w:after="0" w:line="360" w:lineRule="auto"/>
        <w:jc w:val="both"/>
        <w:rPr>
          <w:rFonts w:ascii="Arial" w:hAnsi="Arial" w:cs="Arial"/>
          <w:sz w:val="24"/>
          <w:szCs w:val="24"/>
        </w:rPr>
      </w:pPr>
    </w:p>
    <w:p w:rsidR="00707340" w:rsidRPr="006C585D" w:rsidRDefault="00707340" w:rsidP="0050647C">
      <w:pPr>
        <w:spacing w:after="0" w:line="240" w:lineRule="auto"/>
        <w:jc w:val="center"/>
        <w:rPr>
          <w:rFonts w:ascii="Arial" w:hAnsi="Arial" w:cs="Arial"/>
          <w:b/>
          <w:sz w:val="24"/>
          <w:szCs w:val="24"/>
        </w:rPr>
      </w:pPr>
      <w:bookmarkStart w:id="4" w:name="_Toc510526012"/>
      <w:r w:rsidRPr="006C585D">
        <w:rPr>
          <w:rFonts w:ascii="Arial" w:hAnsi="Arial" w:cs="Arial"/>
          <w:b/>
          <w:sz w:val="24"/>
          <w:szCs w:val="24"/>
        </w:rPr>
        <w:t xml:space="preserve">Tabla </w:t>
      </w:r>
      <w:r w:rsidRPr="006C585D">
        <w:rPr>
          <w:rFonts w:ascii="Arial" w:hAnsi="Arial" w:cs="Arial"/>
          <w:b/>
          <w:sz w:val="24"/>
          <w:szCs w:val="24"/>
        </w:rPr>
        <w:fldChar w:fldCharType="begin"/>
      </w:r>
      <w:r w:rsidRPr="006C585D">
        <w:rPr>
          <w:rFonts w:ascii="Arial" w:hAnsi="Arial" w:cs="Arial"/>
          <w:b/>
          <w:sz w:val="24"/>
          <w:szCs w:val="24"/>
        </w:rPr>
        <w:instrText xml:space="preserve"> SEQ Tabla \* ARABIC </w:instrText>
      </w:r>
      <w:r w:rsidRPr="006C585D">
        <w:rPr>
          <w:rFonts w:ascii="Arial" w:hAnsi="Arial" w:cs="Arial"/>
          <w:b/>
          <w:sz w:val="24"/>
          <w:szCs w:val="24"/>
        </w:rPr>
        <w:fldChar w:fldCharType="separate"/>
      </w:r>
      <w:r w:rsidR="004D25BA">
        <w:rPr>
          <w:rFonts w:ascii="Arial" w:hAnsi="Arial" w:cs="Arial"/>
          <w:b/>
          <w:noProof/>
          <w:sz w:val="24"/>
          <w:szCs w:val="24"/>
        </w:rPr>
        <w:t>5</w:t>
      </w:r>
      <w:bookmarkEnd w:id="4"/>
      <w:r w:rsidRPr="006C585D">
        <w:rPr>
          <w:rFonts w:ascii="Arial" w:hAnsi="Arial" w:cs="Arial"/>
          <w:b/>
          <w:sz w:val="24"/>
          <w:szCs w:val="24"/>
        </w:rPr>
        <w:fldChar w:fldCharType="end"/>
      </w:r>
    </w:p>
    <w:tbl>
      <w:tblPr>
        <w:tblW w:w="8644" w:type="dxa"/>
        <w:tblCellMar>
          <w:left w:w="10" w:type="dxa"/>
          <w:right w:w="10" w:type="dxa"/>
        </w:tblCellMar>
        <w:tblLook w:val="0000" w:firstRow="0" w:lastRow="0" w:firstColumn="0" w:lastColumn="0" w:noHBand="0" w:noVBand="0"/>
      </w:tblPr>
      <w:tblGrid>
        <w:gridCol w:w="1809"/>
        <w:gridCol w:w="6835"/>
      </w:tblGrid>
      <w:tr w:rsidR="00875FB4" w:rsidRPr="00782CFD" w:rsidTr="009803E6">
        <w:trPr>
          <w:trHeight w:val="1640"/>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FB4" w:rsidRPr="00782CFD" w:rsidRDefault="00875FB4" w:rsidP="00DC230B">
            <w:pPr>
              <w:spacing w:after="0" w:line="360" w:lineRule="auto"/>
              <w:jc w:val="center"/>
              <w:rPr>
                <w:rFonts w:ascii="Arial" w:hAnsi="Arial" w:cs="Arial"/>
                <w:b/>
                <w:i/>
                <w:sz w:val="24"/>
                <w:szCs w:val="24"/>
              </w:rPr>
            </w:pPr>
            <w:r w:rsidRPr="00782CFD">
              <w:rPr>
                <w:rFonts w:ascii="Arial" w:hAnsi="Arial" w:cs="Arial"/>
                <w:b/>
                <w:i/>
                <w:sz w:val="24"/>
                <w:szCs w:val="24"/>
              </w:rPr>
              <w:t>Constitución Política del Estado Libre y Soberano de México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Titulo Cuarto: Del Poder Público del Estado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Capitulo Segundo: Del Poder Legislativo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Sección Segunda: De las Facultades y Obligaciones de la Legislatura</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b/>
                <w:i/>
                <w:sz w:val="24"/>
                <w:szCs w:val="24"/>
              </w:rPr>
            </w:pPr>
            <w:r w:rsidRPr="00782CFD">
              <w:rPr>
                <w:rFonts w:ascii="Arial" w:hAnsi="Arial" w:cs="Arial"/>
                <w:b/>
                <w:i/>
                <w:sz w:val="24"/>
                <w:szCs w:val="24"/>
              </w:rPr>
              <w:t>Artículo 61</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i/>
                <w:sz w:val="24"/>
                <w:szCs w:val="24"/>
              </w:rPr>
            </w:pPr>
            <w:r w:rsidRPr="00782CFD">
              <w:rPr>
                <w:rFonts w:ascii="Arial" w:hAnsi="Arial" w:cs="Arial"/>
                <w:i/>
                <w:sz w:val="24"/>
                <w:szCs w:val="24"/>
              </w:rPr>
              <w:t>Son facultades y obligaciones de la Legislatura:</w:t>
            </w:r>
          </w:p>
          <w:p w:rsidR="00875FB4" w:rsidRPr="00782CFD" w:rsidRDefault="00875FB4" w:rsidP="00DC230B">
            <w:pPr>
              <w:spacing w:after="0" w:line="360" w:lineRule="auto"/>
              <w:ind w:left="798" w:hanging="798"/>
              <w:jc w:val="both"/>
              <w:rPr>
                <w:rFonts w:ascii="Arial" w:hAnsi="Arial" w:cs="Arial"/>
                <w:i/>
                <w:sz w:val="24"/>
                <w:szCs w:val="24"/>
              </w:rPr>
            </w:pPr>
            <w:r w:rsidRPr="00782CFD">
              <w:rPr>
                <w:rFonts w:ascii="Arial" w:hAnsi="Arial" w:cs="Arial"/>
                <w:i/>
                <w:sz w:val="24"/>
                <w:szCs w:val="24"/>
              </w:rPr>
              <w:t>XXXIII.</w:t>
            </w:r>
            <w:r w:rsidRPr="00782CFD">
              <w:rPr>
                <w:rFonts w:ascii="Arial" w:hAnsi="Arial" w:cs="Arial"/>
                <w:i/>
                <w:sz w:val="24"/>
                <w:szCs w:val="24"/>
              </w:rPr>
              <w:tab/>
              <w:t>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rsidR="00875FB4" w:rsidRPr="00782CFD" w:rsidRDefault="00875FB4" w:rsidP="00DC230B">
            <w:pPr>
              <w:spacing w:after="0" w:line="360" w:lineRule="auto"/>
              <w:ind w:left="798" w:hanging="798"/>
              <w:jc w:val="both"/>
              <w:rPr>
                <w:rFonts w:ascii="Arial" w:hAnsi="Arial" w:cs="Arial"/>
                <w:i/>
                <w:sz w:val="24"/>
                <w:szCs w:val="24"/>
              </w:rPr>
            </w:pPr>
            <w:r w:rsidRPr="00782CFD">
              <w:rPr>
                <w:rFonts w:ascii="Arial" w:hAnsi="Arial" w:cs="Arial"/>
                <w:i/>
                <w:sz w:val="24"/>
                <w:szCs w:val="24"/>
              </w:rPr>
              <w:t>XXXV.</w:t>
            </w:r>
            <w:r w:rsidRPr="00782CFD">
              <w:rPr>
                <w:rFonts w:ascii="Arial" w:hAnsi="Arial" w:cs="Arial"/>
                <w:i/>
                <w:sz w:val="24"/>
                <w:szCs w:val="24"/>
              </w:rPr>
              <w:tab/>
              <w:t xml:space="preserve">Determinar por conducto del Órgano Superior de Fiscalización, los daños y perjuicios que afecten a la hacienda pública del Estado y de los Municipios, incluyendo a los Poderes Públicos, organismos autónomos, organismos auxiliares, fideicomisos </w:t>
            </w:r>
            <w:r w:rsidRPr="00782CFD">
              <w:rPr>
                <w:rFonts w:ascii="Arial" w:hAnsi="Arial" w:cs="Arial"/>
                <w:i/>
                <w:sz w:val="24"/>
                <w:szCs w:val="24"/>
              </w:rPr>
              <w:lastRenderedPageBreak/>
              <w:t xml:space="preserve">públicos o privados y demás entes públicos que manejen recursos del Estado y Municipios; asimismo, promover las responsabilidades que sean procedentes ante el Tribunal de Justicia Administrativa del Estado de México, la Fiscalía Especializada en Combate a la Corrupción y demás autoridades competentes, para el </w:t>
            </w:r>
            <w:proofErr w:type="spellStart"/>
            <w:r w:rsidRPr="00782CFD">
              <w:rPr>
                <w:rFonts w:ascii="Arial" w:hAnsi="Arial" w:cs="Arial"/>
                <w:i/>
                <w:sz w:val="24"/>
                <w:szCs w:val="24"/>
              </w:rPr>
              <w:t>fincamiento</w:t>
            </w:r>
            <w:proofErr w:type="spellEnd"/>
            <w:r w:rsidRPr="00782CFD">
              <w:rPr>
                <w:rFonts w:ascii="Arial" w:hAnsi="Arial" w:cs="Arial"/>
                <w:i/>
                <w:sz w:val="24"/>
                <w:szCs w:val="24"/>
              </w:rPr>
              <w:t xml:space="preserve"> de responsabilidades resarcitorias y la imposición de sanciones que correspondan a las y los servidores públicos estatales, municipales y a los particulares.</w:t>
            </w:r>
          </w:p>
        </w:tc>
      </w:tr>
    </w:tbl>
    <w:p w:rsidR="00985171" w:rsidRPr="006D064C" w:rsidRDefault="00985171" w:rsidP="00DC230B">
      <w:pPr>
        <w:spacing w:after="0" w:line="360" w:lineRule="auto"/>
        <w:rPr>
          <w:rFonts w:ascii="Arial" w:hAnsi="Arial" w:cs="Arial"/>
          <w:sz w:val="24"/>
          <w:szCs w:val="24"/>
        </w:rPr>
      </w:pPr>
    </w:p>
    <w:p w:rsidR="00707340" w:rsidRPr="006C585D" w:rsidRDefault="00707340" w:rsidP="0050647C">
      <w:pPr>
        <w:spacing w:after="0" w:line="240" w:lineRule="auto"/>
        <w:jc w:val="center"/>
        <w:rPr>
          <w:rFonts w:ascii="Arial" w:hAnsi="Arial" w:cs="Arial"/>
          <w:b/>
          <w:sz w:val="24"/>
          <w:szCs w:val="24"/>
        </w:rPr>
      </w:pPr>
      <w:bookmarkStart w:id="5" w:name="_Toc510526013"/>
      <w:r w:rsidRPr="006C585D">
        <w:rPr>
          <w:rFonts w:ascii="Arial" w:hAnsi="Arial" w:cs="Arial"/>
          <w:b/>
          <w:sz w:val="24"/>
          <w:szCs w:val="24"/>
        </w:rPr>
        <w:t xml:space="preserve">Tabla </w:t>
      </w:r>
      <w:r w:rsidRPr="006C585D">
        <w:rPr>
          <w:rFonts w:ascii="Arial" w:hAnsi="Arial" w:cs="Arial"/>
          <w:b/>
          <w:sz w:val="24"/>
          <w:szCs w:val="24"/>
        </w:rPr>
        <w:fldChar w:fldCharType="begin"/>
      </w:r>
      <w:r w:rsidRPr="006C585D">
        <w:rPr>
          <w:rFonts w:ascii="Arial" w:hAnsi="Arial" w:cs="Arial"/>
          <w:b/>
          <w:sz w:val="24"/>
          <w:szCs w:val="24"/>
        </w:rPr>
        <w:instrText xml:space="preserve"> SEQ Tabla \* ARABIC </w:instrText>
      </w:r>
      <w:r w:rsidRPr="006C585D">
        <w:rPr>
          <w:rFonts w:ascii="Arial" w:hAnsi="Arial" w:cs="Arial"/>
          <w:b/>
          <w:sz w:val="24"/>
          <w:szCs w:val="24"/>
        </w:rPr>
        <w:fldChar w:fldCharType="separate"/>
      </w:r>
      <w:r w:rsidR="004D25BA">
        <w:rPr>
          <w:rFonts w:ascii="Arial" w:hAnsi="Arial" w:cs="Arial"/>
          <w:b/>
          <w:noProof/>
          <w:sz w:val="24"/>
          <w:szCs w:val="24"/>
        </w:rPr>
        <w:t>6</w:t>
      </w:r>
      <w:bookmarkEnd w:id="5"/>
      <w:r w:rsidRPr="006C585D">
        <w:rPr>
          <w:rFonts w:ascii="Arial" w:hAnsi="Arial" w:cs="Arial"/>
          <w:b/>
          <w:sz w:val="24"/>
          <w:szCs w:val="24"/>
        </w:rPr>
        <w:fldChar w:fldCharType="end"/>
      </w:r>
    </w:p>
    <w:tbl>
      <w:tblPr>
        <w:tblW w:w="8644" w:type="dxa"/>
        <w:tblCellMar>
          <w:left w:w="10" w:type="dxa"/>
          <w:right w:w="10" w:type="dxa"/>
        </w:tblCellMar>
        <w:tblLook w:val="0000" w:firstRow="0" w:lastRow="0" w:firstColumn="0" w:lastColumn="0" w:noHBand="0" w:noVBand="0"/>
      </w:tblPr>
      <w:tblGrid>
        <w:gridCol w:w="1809"/>
        <w:gridCol w:w="6835"/>
      </w:tblGrid>
      <w:tr w:rsidR="00875FB4" w:rsidRPr="00782CFD" w:rsidTr="009803E6">
        <w:trPr>
          <w:trHeight w:val="1622"/>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FB4" w:rsidRPr="00782CFD" w:rsidRDefault="00875FB4" w:rsidP="00DC230B">
            <w:pPr>
              <w:spacing w:after="0" w:line="360" w:lineRule="auto"/>
              <w:jc w:val="center"/>
              <w:rPr>
                <w:rFonts w:ascii="Arial" w:hAnsi="Arial" w:cs="Arial"/>
                <w:b/>
                <w:i/>
                <w:sz w:val="24"/>
                <w:szCs w:val="24"/>
              </w:rPr>
            </w:pPr>
            <w:r w:rsidRPr="00782CFD">
              <w:rPr>
                <w:rFonts w:ascii="Arial" w:hAnsi="Arial" w:cs="Arial"/>
                <w:b/>
                <w:i/>
                <w:sz w:val="24"/>
                <w:szCs w:val="24"/>
              </w:rPr>
              <w:t>Ley de Fiscalización Superior del Estado de México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Titulo Primero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Capítulo Único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Disposiciones generales</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b/>
                <w:i/>
                <w:sz w:val="24"/>
                <w:szCs w:val="24"/>
              </w:rPr>
            </w:pPr>
            <w:r w:rsidRPr="00782CFD">
              <w:rPr>
                <w:rFonts w:ascii="Arial" w:hAnsi="Arial" w:cs="Arial"/>
                <w:b/>
                <w:i/>
                <w:sz w:val="24"/>
                <w:szCs w:val="24"/>
              </w:rPr>
              <w:t>Artículo 4</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i/>
                <w:sz w:val="24"/>
                <w:szCs w:val="24"/>
              </w:rPr>
            </w:pPr>
            <w:r w:rsidRPr="00782CFD">
              <w:rPr>
                <w:rFonts w:ascii="Arial" w:hAnsi="Arial" w:cs="Arial"/>
                <w:i/>
                <w:sz w:val="24"/>
                <w:szCs w:val="24"/>
              </w:rPr>
              <w:t>Son sujetos de fiscalización:</w:t>
            </w:r>
          </w:p>
          <w:p w:rsidR="00875FB4" w:rsidRPr="00782CFD" w:rsidRDefault="00875FB4" w:rsidP="00DC230B">
            <w:pPr>
              <w:spacing w:after="0" w:line="360" w:lineRule="auto"/>
              <w:ind w:left="448" w:hanging="448"/>
              <w:jc w:val="both"/>
              <w:rPr>
                <w:rFonts w:ascii="Arial" w:hAnsi="Arial" w:cs="Arial"/>
                <w:i/>
                <w:sz w:val="24"/>
                <w:szCs w:val="24"/>
              </w:rPr>
            </w:pPr>
            <w:r w:rsidRPr="00782CFD">
              <w:rPr>
                <w:rFonts w:ascii="Arial" w:hAnsi="Arial" w:cs="Arial"/>
                <w:i/>
                <w:sz w:val="24"/>
                <w:szCs w:val="24"/>
              </w:rPr>
              <w:t>I.</w:t>
            </w:r>
            <w:r w:rsidRPr="00782CFD">
              <w:rPr>
                <w:rFonts w:ascii="Arial" w:hAnsi="Arial" w:cs="Arial"/>
                <w:i/>
                <w:sz w:val="24"/>
                <w:szCs w:val="24"/>
              </w:rPr>
              <w:tab/>
              <w:t>Los Poderes Públicos del Estado.</w:t>
            </w:r>
          </w:p>
          <w:p w:rsidR="00875FB4" w:rsidRPr="00782CFD" w:rsidRDefault="00875FB4" w:rsidP="00DC230B">
            <w:pPr>
              <w:spacing w:after="0" w:line="360" w:lineRule="auto"/>
              <w:ind w:left="448" w:hanging="448"/>
              <w:jc w:val="both"/>
              <w:rPr>
                <w:rFonts w:ascii="Arial" w:hAnsi="Arial" w:cs="Arial"/>
                <w:i/>
                <w:sz w:val="24"/>
                <w:szCs w:val="24"/>
              </w:rPr>
            </w:pPr>
            <w:r w:rsidRPr="00782CFD">
              <w:rPr>
                <w:rFonts w:ascii="Arial" w:hAnsi="Arial" w:cs="Arial"/>
                <w:i/>
                <w:sz w:val="24"/>
                <w:szCs w:val="24"/>
              </w:rPr>
              <w:t>IV.</w:t>
            </w:r>
            <w:r w:rsidRPr="00782CFD">
              <w:rPr>
                <w:rFonts w:ascii="Arial" w:hAnsi="Arial" w:cs="Arial"/>
                <w:i/>
                <w:sz w:val="24"/>
                <w:szCs w:val="24"/>
              </w:rPr>
              <w:tab/>
              <w:t>Los organismos auxiliares.</w:t>
            </w:r>
          </w:p>
          <w:p w:rsidR="00875FB4" w:rsidRPr="00782CFD" w:rsidRDefault="00875FB4" w:rsidP="00DC230B">
            <w:pPr>
              <w:spacing w:after="0" w:line="360" w:lineRule="auto"/>
              <w:ind w:left="462" w:hanging="462"/>
              <w:jc w:val="both"/>
              <w:rPr>
                <w:rFonts w:ascii="Arial" w:hAnsi="Arial" w:cs="Arial"/>
                <w:i/>
                <w:sz w:val="24"/>
                <w:szCs w:val="24"/>
              </w:rPr>
            </w:pPr>
            <w:r w:rsidRPr="00782CFD">
              <w:rPr>
                <w:rFonts w:ascii="Arial" w:hAnsi="Arial" w:cs="Arial"/>
                <w:i/>
                <w:sz w:val="24"/>
                <w:szCs w:val="24"/>
              </w:rPr>
              <w:t>V.</w:t>
            </w:r>
            <w:r w:rsidRPr="00782CFD">
              <w:rPr>
                <w:rFonts w:ascii="Arial" w:hAnsi="Arial" w:cs="Arial"/>
                <w:i/>
                <w:sz w:val="24"/>
                <w:szCs w:val="24"/>
              </w:rPr>
              <w:tab/>
              <w:t>Los fideicomisos públicos o privados que manejen recursos del Estado y Municipios, o en su caso de la federación.</w:t>
            </w:r>
          </w:p>
          <w:p w:rsidR="00875FB4" w:rsidRPr="00782CFD" w:rsidRDefault="00875FB4" w:rsidP="00DC230B">
            <w:pPr>
              <w:spacing w:after="0" w:line="360" w:lineRule="auto"/>
              <w:ind w:left="448" w:hanging="448"/>
              <w:jc w:val="both"/>
              <w:rPr>
                <w:rFonts w:ascii="Arial" w:hAnsi="Arial" w:cs="Arial"/>
                <w:i/>
                <w:sz w:val="24"/>
                <w:szCs w:val="24"/>
              </w:rPr>
            </w:pPr>
            <w:r w:rsidRPr="00782CFD">
              <w:rPr>
                <w:rFonts w:ascii="Arial" w:hAnsi="Arial" w:cs="Arial"/>
                <w:i/>
                <w:sz w:val="24"/>
                <w:szCs w:val="24"/>
              </w:rPr>
              <w:t>VI.</w:t>
            </w:r>
            <w:r w:rsidRPr="00782CFD">
              <w:rPr>
                <w:rFonts w:ascii="Arial" w:hAnsi="Arial" w:cs="Arial"/>
                <w:i/>
                <w:sz w:val="24"/>
                <w:szCs w:val="24"/>
              </w:rPr>
              <w:tab/>
              <w:t>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b/>
                <w:i/>
                <w:sz w:val="24"/>
                <w:szCs w:val="24"/>
              </w:rPr>
            </w:pPr>
            <w:r w:rsidRPr="00782CFD">
              <w:rPr>
                <w:rFonts w:ascii="Arial" w:hAnsi="Arial" w:cs="Arial"/>
                <w:b/>
                <w:i/>
                <w:sz w:val="24"/>
                <w:szCs w:val="24"/>
              </w:rPr>
              <w:t>Artículo 5</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autoSpaceDE w:val="0"/>
              <w:spacing w:after="0" w:line="360" w:lineRule="auto"/>
              <w:jc w:val="both"/>
              <w:rPr>
                <w:rFonts w:ascii="Arial" w:hAnsi="Arial" w:cs="Arial"/>
                <w:i/>
                <w:sz w:val="24"/>
                <w:szCs w:val="24"/>
              </w:rPr>
            </w:pPr>
            <w:r w:rsidRPr="00782CFD">
              <w:rPr>
                <w:rFonts w:ascii="Arial" w:hAnsi="Arial" w:cs="Arial"/>
                <w:i/>
                <w:sz w:val="24"/>
                <w:szCs w:val="24"/>
              </w:rPr>
              <w:t xml:space="preserve">La fiscalización superior se podrá realizar de manera contemporánea a la ejecución de actos de gobierno y la </w:t>
            </w:r>
            <w:r w:rsidRPr="00782CFD">
              <w:rPr>
                <w:rFonts w:ascii="Arial" w:hAnsi="Arial" w:cs="Arial"/>
                <w:i/>
                <w:sz w:val="24"/>
                <w:szCs w:val="24"/>
              </w:rPr>
              <w:lastRenderedPageBreak/>
              <w:t>aplicación de recursos públicos en los casos que corresponda, así como de manera posterior al término de cada ejercicio fiscal y a la presentación de las cuentas públicas, de manera externa, independiente y autónoma de cualquier forma de control y evaluación internos de las entidades fiscalizables y de conformidad con lo establecido en la presente Ley.</w:t>
            </w:r>
          </w:p>
        </w:tc>
      </w:tr>
      <w:tr w:rsidR="00875FB4" w:rsidRPr="00782CFD" w:rsidTr="009803E6">
        <w:trPr>
          <w:trHeight w:val="1614"/>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lastRenderedPageBreak/>
              <w:t>Titulo Segundo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Del Órgano Superior de Fiscalización</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Capítulo Primero</w:t>
            </w:r>
          </w:p>
          <w:p w:rsidR="00875FB4" w:rsidRPr="00782CFD" w:rsidRDefault="00875FB4" w:rsidP="00DC230B">
            <w:pPr>
              <w:spacing w:after="0" w:line="360" w:lineRule="auto"/>
              <w:jc w:val="center"/>
              <w:rPr>
                <w:rFonts w:ascii="Arial" w:hAnsi="Arial" w:cs="Arial"/>
                <w:i/>
                <w:sz w:val="24"/>
                <w:szCs w:val="24"/>
              </w:rPr>
            </w:pPr>
            <w:r w:rsidRPr="00782CFD">
              <w:rPr>
                <w:rFonts w:ascii="Arial" w:hAnsi="Arial" w:cs="Arial"/>
                <w:i/>
                <w:sz w:val="24"/>
                <w:szCs w:val="24"/>
              </w:rPr>
              <w:t>De las Atribuciones</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b/>
                <w:i/>
                <w:sz w:val="24"/>
                <w:szCs w:val="24"/>
              </w:rPr>
            </w:pPr>
            <w:r w:rsidRPr="00782CFD">
              <w:rPr>
                <w:rFonts w:ascii="Arial" w:hAnsi="Arial" w:cs="Arial"/>
                <w:b/>
                <w:i/>
                <w:sz w:val="24"/>
                <w:szCs w:val="24"/>
              </w:rPr>
              <w:t>Artículo 8</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DC230B">
            <w:pPr>
              <w:spacing w:after="0" w:line="360" w:lineRule="auto"/>
              <w:jc w:val="both"/>
              <w:rPr>
                <w:rFonts w:ascii="Arial" w:hAnsi="Arial" w:cs="Arial"/>
                <w:i/>
                <w:sz w:val="24"/>
                <w:szCs w:val="24"/>
              </w:rPr>
            </w:pPr>
            <w:r w:rsidRPr="00782CFD">
              <w:rPr>
                <w:rFonts w:ascii="Arial" w:hAnsi="Arial" w:cs="Arial"/>
                <w:i/>
                <w:sz w:val="24"/>
                <w:szCs w:val="24"/>
              </w:rPr>
              <w:t>El Órgano Superior tendrá las siguientes atribuciones:</w:t>
            </w:r>
          </w:p>
          <w:p w:rsidR="00875FB4" w:rsidRPr="00782CFD" w:rsidRDefault="00875FB4" w:rsidP="00DC230B">
            <w:pPr>
              <w:spacing w:after="0" w:line="360" w:lineRule="auto"/>
              <w:jc w:val="both"/>
              <w:rPr>
                <w:rFonts w:ascii="Arial" w:hAnsi="Arial" w:cs="Arial"/>
                <w:i/>
                <w:sz w:val="24"/>
                <w:szCs w:val="24"/>
              </w:rPr>
            </w:pPr>
          </w:p>
          <w:p w:rsidR="00875FB4" w:rsidRPr="00782CFD" w:rsidRDefault="00875FB4" w:rsidP="00DC230B">
            <w:pPr>
              <w:autoSpaceDE w:val="0"/>
              <w:spacing w:after="0" w:line="360" w:lineRule="auto"/>
              <w:ind w:left="672" w:hanging="662"/>
              <w:jc w:val="both"/>
              <w:rPr>
                <w:rFonts w:ascii="Arial" w:hAnsi="Arial" w:cs="Arial"/>
                <w:i/>
                <w:sz w:val="24"/>
                <w:szCs w:val="24"/>
              </w:rPr>
            </w:pPr>
            <w:r w:rsidRPr="00782CFD">
              <w:rPr>
                <w:rFonts w:ascii="Arial" w:hAnsi="Arial" w:cs="Arial"/>
                <w:i/>
                <w:sz w:val="24"/>
                <w:szCs w:val="24"/>
              </w:rPr>
              <w:t xml:space="preserve">I. </w:t>
            </w:r>
            <w:r w:rsidRPr="00782CFD">
              <w:rPr>
                <w:rFonts w:ascii="Arial" w:hAnsi="Arial" w:cs="Arial"/>
                <w:i/>
                <w:sz w:val="24"/>
                <w:szCs w:val="24"/>
              </w:rPr>
              <w:tab/>
              <w:t>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w:t>
            </w:r>
          </w:p>
          <w:p w:rsidR="00875FB4" w:rsidRPr="00782CFD" w:rsidRDefault="00875FB4" w:rsidP="00DC230B">
            <w:pPr>
              <w:autoSpaceDE w:val="0"/>
              <w:spacing w:after="0" w:line="360" w:lineRule="auto"/>
              <w:ind w:left="686" w:hanging="662"/>
              <w:jc w:val="both"/>
              <w:rPr>
                <w:rFonts w:ascii="Arial" w:hAnsi="Arial" w:cs="Arial"/>
                <w:i/>
                <w:sz w:val="24"/>
                <w:szCs w:val="24"/>
              </w:rPr>
            </w:pPr>
            <w:r w:rsidRPr="00782CFD">
              <w:rPr>
                <w:rFonts w:ascii="Arial" w:hAnsi="Arial" w:cs="Arial"/>
                <w:i/>
                <w:sz w:val="24"/>
                <w:szCs w:val="24"/>
              </w:rPr>
              <w:t>II.</w:t>
            </w:r>
            <w:r w:rsidRPr="00782CFD">
              <w:rPr>
                <w:rFonts w:ascii="Arial" w:hAnsi="Arial" w:cs="Arial"/>
                <w:i/>
                <w:sz w:val="24"/>
                <w:szCs w:val="24"/>
              </w:rPr>
              <w:tab/>
              <w:t>Fiscalizar, en todo momento, el ejercicio, la custodia y aplicación de los recursos estatales y municipales así como los recursos federales en términos de los convenios correspondientes.</w:t>
            </w:r>
          </w:p>
          <w:p w:rsidR="00875FB4" w:rsidRPr="00782CFD" w:rsidRDefault="00875FB4" w:rsidP="00DC230B">
            <w:pPr>
              <w:autoSpaceDE w:val="0"/>
              <w:spacing w:after="0" w:line="360" w:lineRule="auto"/>
              <w:ind w:left="658" w:hanging="662"/>
              <w:jc w:val="both"/>
              <w:rPr>
                <w:rFonts w:ascii="Arial" w:hAnsi="Arial" w:cs="Arial"/>
                <w:i/>
                <w:sz w:val="24"/>
                <w:szCs w:val="24"/>
              </w:rPr>
            </w:pPr>
            <w:r w:rsidRPr="00782CFD">
              <w:rPr>
                <w:rFonts w:ascii="Arial" w:hAnsi="Arial" w:cs="Arial"/>
                <w:i/>
                <w:sz w:val="24"/>
                <w:szCs w:val="24"/>
              </w:rPr>
              <w:t>XIX.</w:t>
            </w:r>
            <w:r w:rsidRPr="00782CFD">
              <w:rPr>
                <w:rFonts w:ascii="Arial" w:hAnsi="Arial" w:cs="Arial"/>
                <w:i/>
                <w:sz w:val="24"/>
                <w:szCs w:val="24"/>
              </w:rPr>
              <w:tab/>
              <w:t>Requerir a las entidades fiscalizables la información y documentos necesarios para los actos de fiscalización, así como solicitar a otras autoridades el auxilio o colaboración para el cumplimiento de sus atribuciones.</w:t>
            </w:r>
          </w:p>
          <w:p w:rsidR="00875FB4" w:rsidRPr="00782CFD" w:rsidRDefault="00875FB4" w:rsidP="00DC230B">
            <w:pPr>
              <w:autoSpaceDE w:val="0"/>
              <w:spacing w:after="0" w:line="360" w:lineRule="auto"/>
              <w:ind w:left="658" w:hanging="658"/>
              <w:jc w:val="both"/>
              <w:rPr>
                <w:rFonts w:ascii="Arial" w:hAnsi="Arial" w:cs="Arial"/>
                <w:i/>
                <w:sz w:val="24"/>
                <w:szCs w:val="24"/>
              </w:rPr>
            </w:pPr>
            <w:r w:rsidRPr="00782CFD">
              <w:rPr>
                <w:rFonts w:ascii="Arial" w:hAnsi="Arial" w:cs="Arial"/>
                <w:i/>
                <w:sz w:val="24"/>
                <w:szCs w:val="24"/>
              </w:rPr>
              <w:t>XXIX.</w:t>
            </w:r>
            <w:r w:rsidRPr="00782CFD">
              <w:rPr>
                <w:rFonts w:ascii="Arial" w:hAnsi="Arial" w:cs="Arial"/>
                <w:i/>
                <w:sz w:val="24"/>
                <w:szCs w:val="24"/>
              </w:rPr>
              <w:tab/>
              <w:t>Implementar los sistemas de información necesarios para el cumplimiento de sus atribuciones.</w:t>
            </w:r>
          </w:p>
        </w:tc>
      </w:tr>
    </w:tbl>
    <w:p w:rsidR="00875FB4" w:rsidRPr="006D064C" w:rsidRDefault="00875FB4" w:rsidP="00DC230B">
      <w:pPr>
        <w:spacing w:after="0" w:line="360" w:lineRule="auto"/>
        <w:jc w:val="both"/>
        <w:rPr>
          <w:rFonts w:ascii="Arial" w:hAnsi="Arial" w:cs="Arial"/>
          <w:sz w:val="24"/>
          <w:szCs w:val="24"/>
        </w:rPr>
      </w:pPr>
    </w:p>
    <w:p w:rsidR="00AF564F" w:rsidRPr="00583542" w:rsidRDefault="00AF564F" w:rsidP="00583542">
      <w:pPr>
        <w:spacing w:after="0" w:line="360" w:lineRule="auto"/>
        <w:rPr>
          <w:rFonts w:ascii="Arial" w:eastAsia="Times New Roman" w:hAnsi="Arial" w:cs="Arial"/>
          <w:b/>
          <w:sz w:val="24"/>
          <w:szCs w:val="24"/>
        </w:rPr>
      </w:pPr>
      <w:r w:rsidRPr="00583542">
        <w:rPr>
          <w:rFonts w:ascii="Arial" w:eastAsia="Times New Roman" w:hAnsi="Arial" w:cs="Arial"/>
          <w:b/>
          <w:color w:val="000000"/>
          <w:sz w:val="24"/>
          <w:szCs w:val="24"/>
          <w:lang w:val="es-ES_tradnl"/>
        </w:rPr>
        <w:lastRenderedPageBreak/>
        <w:t>2.3</w:t>
      </w:r>
      <w:r w:rsidRPr="00583542">
        <w:rPr>
          <w:rFonts w:ascii="Arial" w:eastAsia="Times New Roman" w:hAnsi="Arial" w:cs="Arial"/>
          <w:b/>
          <w:color w:val="000000"/>
          <w:sz w:val="24"/>
          <w:szCs w:val="24"/>
          <w:lang w:val="es-ES_tradnl"/>
        </w:rPr>
        <w:tab/>
        <w:t>Atribuciones del Auditor Superior.</w:t>
      </w:r>
    </w:p>
    <w:p w:rsidR="00AF564F" w:rsidRPr="00583542" w:rsidRDefault="00AF564F" w:rsidP="00583542">
      <w:pPr>
        <w:autoSpaceDE w:val="0"/>
        <w:autoSpaceDN w:val="0"/>
        <w:adjustRightInd w:val="0"/>
        <w:spacing w:after="0" w:line="360" w:lineRule="auto"/>
        <w:jc w:val="both"/>
        <w:rPr>
          <w:rFonts w:ascii="Arial" w:hAnsi="Arial" w:cs="Arial"/>
          <w:sz w:val="24"/>
          <w:szCs w:val="24"/>
        </w:rPr>
      </w:pP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r w:rsidRPr="00583542">
        <w:rPr>
          <w:rFonts w:ascii="Arial" w:hAnsi="Arial" w:cs="Arial"/>
          <w:bCs/>
          <w:sz w:val="24"/>
          <w:szCs w:val="24"/>
        </w:rPr>
        <w:t>Con base al último y penúltimo párrafo de la fracción XXXII del artículo 61 de la Constitución Política del Estado Libre y Soberano de México, el Auditor Superior de Fiscalización del Estado será designado y removido con el voto de las dos terceras partes de los miembros presentes de la Legislatura, a propuesta de la Junta de Coordinación Política.</w:t>
      </w: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r w:rsidRPr="00583542">
        <w:rPr>
          <w:rFonts w:ascii="Arial" w:hAnsi="Arial" w:cs="Arial"/>
          <w:bCs/>
          <w:sz w:val="24"/>
          <w:szCs w:val="24"/>
        </w:rPr>
        <w:t>Así mismo, la duración del Auditor Superior de Fiscalización del Estado en su encargo será por ocho años y podrá ser nombrado nuevamente una sola vez, con el voto de las dos terceras partes de los miembros presentes de la Legislatura, y deberá contar con experiencia de cinco años en materia de control, auditoría financiera y de responsabilidades.</w:t>
      </w: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r w:rsidRPr="00583542">
        <w:rPr>
          <w:rFonts w:ascii="Arial" w:hAnsi="Arial" w:cs="Arial"/>
          <w:bCs/>
          <w:sz w:val="24"/>
          <w:szCs w:val="24"/>
        </w:rPr>
        <w:t>A continuación se muestra la normatividad que faculta al Auditor Superior</w:t>
      </w:r>
      <w:r w:rsidR="00583542" w:rsidRPr="00583542">
        <w:rPr>
          <w:rFonts w:ascii="Arial" w:hAnsi="Arial" w:cs="Arial"/>
          <w:bCs/>
          <w:sz w:val="24"/>
          <w:szCs w:val="24"/>
        </w:rPr>
        <w:t xml:space="preserve"> (</w:t>
      </w:r>
      <w:r w:rsidR="00707340">
        <w:rPr>
          <w:rFonts w:ascii="Arial" w:hAnsi="Arial" w:cs="Arial"/>
          <w:bCs/>
          <w:sz w:val="24"/>
          <w:szCs w:val="24"/>
        </w:rPr>
        <w:t>Tabla 7</w:t>
      </w:r>
      <w:r w:rsidR="00583542" w:rsidRPr="00583542">
        <w:rPr>
          <w:rFonts w:ascii="Arial" w:hAnsi="Arial" w:cs="Arial"/>
          <w:bCs/>
          <w:sz w:val="24"/>
          <w:szCs w:val="24"/>
        </w:rPr>
        <w:t>)</w:t>
      </w:r>
      <w:r w:rsidRPr="00583542">
        <w:rPr>
          <w:rFonts w:ascii="Arial" w:hAnsi="Arial" w:cs="Arial"/>
          <w:bCs/>
          <w:sz w:val="24"/>
          <w:szCs w:val="24"/>
        </w:rPr>
        <w:t>, para llevar a cabo las acciones conducentes a la fiscalización de recursos públicos.</w:t>
      </w:r>
    </w:p>
    <w:p w:rsidR="00AF564F" w:rsidRPr="00583542" w:rsidRDefault="00AF564F" w:rsidP="00583542">
      <w:pPr>
        <w:autoSpaceDE w:val="0"/>
        <w:autoSpaceDN w:val="0"/>
        <w:adjustRightInd w:val="0"/>
        <w:spacing w:after="0" w:line="360" w:lineRule="auto"/>
        <w:jc w:val="both"/>
        <w:rPr>
          <w:rFonts w:ascii="Arial" w:hAnsi="Arial" w:cs="Arial"/>
          <w:bCs/>
          <w:sz w:val="24"/>
          <w:szCs w:val="24"/>
        </w:rPr>
      </w:pPr>
    </w:p>
    <w:p w:rsidR="00707340" w:rsidRPr="00707340" w:rsidRDefault="00707340" w:rsidP="0050647C">
      <w:pPr>
        <w:pStyle w:val="Epgrafe"/>
        <w:keepNext/>
        <w:spacing w:after="0"/>
        <w:jc w:val="center"/>
        <w:rPr>
          <w:rFonts w:ascii="Arial" w:hAnsi="Arial" w:cs="Arial"/>
          <w:color w:val="auto"/>
          <w:sz w:val="24"/>
          <w:szCs w:val="24"/>
        </w:rPr>
      </w:pPr>
      <w:bookmarkStart w:id="6" w:name="_Toc510526014"/>
      <w:r w:rsidRPr="00707340">
        <w:rPr>
          <w:rFonts w:ascii="Arial" w:hAnsi="Arial" w:cs="Arial"/>
          <w:color w:val="auto"/>
          <w:sz w:val="24"/>
          <w:szCs w:val="24"/>
        </w:rPr>
        <w:t xml:space="preserve">Tabla </w:t>
      </w:r>
      <w:r w:rsidRPr="00707340">
        <w:rPr>
          <w:rFonts w:ascii="Arial" w:hAnsi="Arial" w:cs="Arial"/>
          <w:color w:val="auto"/>
          <w:sz w:val="24"/>
          <w:szCs w:val="24"/>
        </w:rPr>
        <w:fldChar w:fldCharType="begin"/>
      </w:r>
      <w:r w:rsidRPr="00707340">
        <w:rPr>
          <w:rFonts w:ascii="Arial" w:hAnsi="Arial" w:cs="Arial"/>
          <w:color w:val="auto"/>
          <w:sz w:val="24"/>
          <w:szCs w:val="24"/>
        </w:rPr>
        <w:instrText xml:space="preserve"> SEQ Tabla \* ARABIC </w:instrText>
      </w:r>
      <w:r w:rsidRPr="00707340">
        <w:rPr>
          <w:rFonts w:ascii="Arial" w:hAnsi="Arial" w:cs="Arial"/>
          <w:color w:val="auto"/>
          <w:sz w:val="24"/>
          <w:szCs w:val="24"/>
        </w:rPr>
        <w:fldChar w:fldCharType="separate"/>
      </w:r>
      <w:r w:rsidR="004D25BA">
        <w:rPr>
          <w:rFonts w:ascii="Arial" w:hAnsi="Arial" w:cs="Arial"/>
          <w:noProof/>
          <w:color w:val="auto"/>
          <w:sz w:val="24"/>
          <w:szCs w:val="24"/>
        </w:rPr>
        <w:t>7</w:t>
      </w:r>
      <w:bookmarkEnd w:id="6"/>
      <w:r w:rsidRPr="00707340">
        <w:rPr>
          <w:rFonts w:ascii="Arial" w:hAnsi="Arial" w:cs="Arial"/>
          <w:color w:val="auto"/>
          <w:sz w:val="24"/>
          <w:szCs w:val="24"/>
        </w:rPr>
        <w:fldChar w:fldCharType="end"/>
      </w:r>
    </w:p>
    <w:tbl>
      <w:tblPr>
        <w:tblW w:w="8644" w:type="dxa"/>
        <w:tblCellMar>
          <w:left w:w="10" w:type="dxa"/>
          <w:right w:w="10" w:type="dxa"/>
        </w:tblCellMar>
        <w:tblLook w:val="0000" w:firstRow="0" w:lastRow="0" w:firstColumn="0" w:lastColumn="0" w:noHBand="0" w:noVBand="0"/>
      </w:tblPr>
      <w:tblGrid>
        <w:gridCol w:w="1809"/>
        <w:gridCol w:w="6835"/>
      </w:tblGrid>
      <w:tr w:rsidR="00875FB4" w:rsidRPr="00782CFD" w:rsidTr="009803E6">
        <w:trPr>
          <w:trHeight w:val="1636"/>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FB4" w:rsidRPr="00782CFD" w:rsidRDefault="00875FB4" w:rsidP="00583542">
            <w:pPr>
              <w:autoSpaceDE w:val="0"/>
              <w:spacing w:after="0" w:line="360" w:lineRule="auto"/>
              <w:jc w:val="center"/>
              <w:rPr>
                <w:rFonts w:ascii="Arial" w:hAnsi="Arial" w:cs="Arial"/>
                <w:b/>
                <w:i/>
                <w:sz w:val="24"/>
                <w:szCs w:val="24"/>
              </w:rPr>
            </w:pPr>
            <w:r w:rsidRPr="00782CFD">
              <w:rPr>
                <w:rFonts w:ascii="Arial" w:hAnsi="Arial" w:cs="Arial"/>
                <w:b/>
                <w:i/>
                <w:sz w:val="24"/>
                <w:szCs w:val="24"/>
              </w:rPr>
              <w:t>Ley de Fiscalización Superior del Estado de México</w:t>
            </w:r>
          </w:p>
          <w:p w:rsidR="00875FB4" w:rsidRPr="00782CFD" w:rsidRDefault="00875FB4" w:rsidP="00583542">
            <w:pPr>
              <w:autoSpaceDE w:val="0"/>
              <w:autoSpaceDN w:val="0"/>
              <w:adjustRightInd w:val="0"/>
              <w:spacing w:after="0" w:line="360" w:lineRule="auto"/>
              <w:jc w:val="center"/>
              <w:rPr>
                <w:rFonts w:ascii="Arial" w:hAnsi="Arial" w:cs="Arial"/>
                <w:bCs/>
                <w:i/>
                <w:sz w:val="24"/>
                <w:szCs w:val="24"/>
              </w:rPr>
            </w:pPr>
            <w:r w:rsidRPr="00782CFD">
              <w:rPr>
                <w:rFonts w:ascii="Arial" w:hAnsi="Arial" w:cs="Arial"/>
                <w:bCs/>
                <w:i/>
                <w:sz w:val="24"/>
                <w:szCs w:val="24"/>
              </w:rPr>
              <w:t>Titulo Primero</w:t>
            </w:r>
          </w:p>
          <w:p w:rsidR="00875FB4" w:rsidRPr="00782CFD" w:rsidRDefault="00875FB4" w:rsidP="00583542">
            <w:pPr>
              <w:autoSpaceDE w:val="0"/>
              <w:autoSpaceDN w:val="0"/>
              <w:adjustRightInd w:val="0"/>
              <w:spacing w:after="0" w:line="360" w:lineRule="auto"/>
              <w:jc w:val="center"/>
              <w:rPr>
                <w:rFonts w:ascii="Arial" w:hAnsi="Arial" w:cs="Arial"/>
                <w:bCs/>
                <w:i/>
                <w:sz w:val="24"/>
                <w:szCs w:val="24"/>
              </w:rPr>
            </w:pPr>
            <w:r w:rsidRPr="00782CFD">
              <w:rPr>
                <w:rFonts w:ascii="Arial" w:hAnsi="Arial" w:cs="Arial"/>
                <w:bCs/>
                <w:i/>
                <w:sz w:val="24"/>
                <w:szCs w:val="24"/>
              </w:rPr>
              <w:t>Capitulo Único</w:t>
            </w:r>
          </w:p>
          <w:p w:rsidR="00875FB4" w:rsidRPr="00782CFD" w:rsidRDefault="00875FB4" w:rsidP="00583542">
            <w:pPr>
              <w:autoSpaceDE w:val="0"/>
              <w:adjustRightInd w:val="0"/>
              <w:spacing w:after="0" w:line="360" w:lineRule="auto"/>
              <w:jc w:val="center"/>
              <w:rPr>
                <w:rFonts w:ascii="Arial" w:hAnsi="Arial" w:cs="Arial"/>
                <w:bCs/>
                <w:i/>
                <w:sz w:val="24"/>
                <w:szCs w:val="24"/>
              </w:rPr>
            </w:pPr>
            <w:r w:rsidRPr="00782CFD">
              <w:rPr>
                <w:rFonts w:ascii="Arial" w:hAnsi="Arial" w:cs="Arial"/>
                <w:bCs/>
                <w:i/>
                <w:sz w:val="24"/>
                <w:szCs w:val="24"/>
              </w:rPr>
              <w:t>Disposiciones Generales</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spacing w:after="0" w:line="360" w:lineRule="auto"/>
              <w:jc w:val="both"/>
              <w:rPr>
                <w:rFonts w:ascii="Arial" w:hAnsi="Arial" w:cs="Arial"/>
                <w:b/>
                <w:i/>
                <w:sz w:val="24"/>
                <w:szCs w:val="24"/>
              </w:rPr>
            </w:pPr>
            <w:r w:rsidRPr="00782CFD">
              <w:rPr>
                <w:rFonts w:ascii="Arial" w:hAnsi="Arial" w:cs="Arial"/>
                <w:b/>
                <w:i/>
                <w:sz w:val="24"/>
                <w:szCs w:val="24"/>
              </w:rPr>
              <w:t>Artículo 2</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Para los efectos de la presente Ley, se entenderá por:</w:t>
            </w:r>
          </w:p>
          <w:p w:rsidR="00875FB4" w:rsidRPr="00782CFD" w:rsidRDefault="00875FB4" w:rsidP="00583542">
            <w:pPr>
              <w:autoSpaceDE w:val="0"/>
              <w:spacing w:after="0" w:line="360" w:lineRule="auto"/>
              <w:ind w:left="518" w:hanging="518"/>
              <w:jc w:val="both"/>
              <w:rPr>
                <w:rFonts w:ascii="Arial" w:hAnsi="Arial" w:cs="Arial"/>
                <w:i/>
                <w:sz w:val="24"/>
                <w:szCs w:val="24"/>
              </w:rPr>
            </w:pPr>
            <w:r w:rsidRPr="00782CFD">
              <w:rPr>
                <w:rFonts w:ascii="Arial" w:hAnsi="Arial" w:cs="Arial"/>
                <w:i/>
                <w:sz w:val="24"/>
                <w:szCs w:val="24"/>
              </w:rPr>
              <w:t>IV.</w:t>
            </w:r>
            <w:r w:rsidRPr="00782CFD">
              <w:rPr>
                <w:rFonts w:ascii="Arial" w:hAnsi="Arial" w:cs="Arial"/>
                <w:i/>
                <w:sz w:val="24"/>
                <w:szCs w:val="24"/>
              </w:rPr>
              <w:tab/>
              <w:t>Comisión: A la Comisión de Vigilancia de la Legislatura del Estado.</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spacing w:after="0" w:line="360" w:lineRule="auto"/>
              <w:jc w:val="both"/>
              <w:rPr>
                <w:rFonts w:ascii="Arial" w:hAnsi="Arial" w:cs="Arial"/>
                <w:b/>
                <w:i/>
                <w:sz w:val="24"/>
                <w:szCs w:val="24"/>
              </w:rPr>
            </w:pPr>
            <w:r w:rsidRPr="00782CFD">
              <w:rPr>
                <w:rFonts w:ascii="Arial" w:hAnsi="Arial" w:cs="Arial"/>
                <w:b/>
                <w:i/>
                <w:sz w:val="24"/>
                <w:szCs w:val="24"/>
              </w:rPr>
              <w:t>Artículo 3</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La revisión y fiscalización de las cuentas públicas, es facultad de la Legislatura.</w:t>
            </w:r>
          </w:p>
          <w:p w:rsidR="00875FB4" w:rsidRPr="00782CFD" w:rsidRDefault="00875FB4" w:rsidP="00583542">
            <w:pPr>
              <w:autoSpaceDE w:val="0"/>
              <w:spacing w:after="0" w:line="360" w:lineRule="auto"/>
              <w:jc w:val="both"/>
              <w:rPr>
                <w:rFonts w:ascii="Arial" w:hAnsi="Arial" w:cs="Arial"/>
                <w:bCs/>
                <w:i/>
                <w:sz w:val="24"/>
                <w:szCs w:val="24"/>
              </w:rPr>
            </w:pPr>
          </w:p>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 xml:space="preserve">Para efectos de la fiscalización, se auxiliará del Órgano </w:t>
            </w:r>
            <w:r w:rsidRPr="00782CFD">
              <w:rPr>
                <w:rFonts w:ascii="Arial" w:hAnsi="Arial" w:cs="Arial"/>
                <w:bCs/>
                <w:i/>
                <w:sz w:val="24"/>
                <w:szCs w:val="24"/>
              </w:rPr>
              <w:lastRenderedPageBreak/>
              <w:t>Superior, dotado de autonomía técnica y de gestión en el ejercicio de sus atribuciones y para decidir sobre su organización interna, funcionamiento y resoluciones, en los términos que disponga la legislación aplicable.</w:t>
            </w:r>
          </w:p>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El Órgano Superior para su operación contará con un presupuesto que será no menor del 14 por ciento del presupuesto aprobado a la Legislatura.</w:t>
            </w:r>
          </w:p>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El Órgano Superior será vigilado y supervisado por una Comisión de la Legislatura, en los términos de la presente Ley.</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spacing w:after="0" w:line="360" w:lineRule="auto"/>
              <w:jc w:val="both"/>
              <w:rPr>
                <w:rFonts w:ascii="Arial" w:hAnsi="Arial" w:cs="Arial"/>
                <w:b/>
                <w:i/>
                <w:sz w:val="24"/>
                <w:szCs w:val="24"/>
              </w:rPr>
            </w:pPr>
            <w:r w:rsidRPr="00782CFD">
              <w:rPr>
                <w:rFonts w:ascii="Arial" w:hAnsi="Arial" w:cs="Arial"/>
                <w:b/>
                <w:i/>
                <w:sz w:val="24"/>
                <w:szCs w:val="24"/>
              </w:rPr>
              <w:lastRenderedPageBreak/>
              <w:t>Artículo 5</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autoSpaceDE w:val="0"/>
              <w:spacing w:after="0" w:line="360" w:lineRule="auto"/>
              <w:jc w:val="both"/>
              <w:rPr>
                <w:rFonts w:ascii="Arial" w:hAnsi="Arial" w:cs="Arial"/>
                <w:bCs/>
                <w:i/>
                <w:sz w:val="24"/>
                <w:szCs w:val="24"/>
              </w:rPr>
            </w:pPr>
            <w:r w:rsidRPr="00782CFD">
              <w:rPr>
                <w:rFonts w:ascii="Arial" w:hAnsi="Arial" w:cs="Arial"/>
                <w:bCs/>
                <w:i/>
                <w:sz w:val="24"/>
                <w:szCs w:val="24"/>
              </w:rPr>
              <w:t>La fiscalización superior se podrá realizar de manera contemporánea a la ejecución de actos de gobierno y la aplicación de recursos públicos en los casos que corresponda, así como de manera posterior al término de cada ejercicio fiscal y a la presentación de las cuentas públicas, de manera externa, independiente y autónoma de cualquier forma de control y evaluación internos de las entidades fiscalizables y de conformidad con lo establecido en la presente Ley.</w:t>
            </w:r>
          </w:p>
        </w:tc>
      </w:tr>
      <w:tr w:rsidR="00875FB4"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spacing w:after="0" w:line="360" w:lineRule="auto"/>
              <w:jc w:val="both"/>
              <w:rPr>
                <w:rFonts w:ascii="Arial" w:hAnsi="Arial" w:cs="Arial"/>
                <w:b/>
                <w:i/>
                <w:sz w:val="24"/>
                <w:szCs w:val="24"/>
              </w:rPr>
            </w:pPr>
            <w:r w:rsidRPr="00782CFD">
              <w:rPr>
                <w:rFonts w:ascii="Arial" w:hAnsi="Arial" w:cs="Arial"/>
                <w:b/>
                <w:i/>
                <w:sz w:val="24"/>
                <w:szCs w:val="24"/>
              </w:rPr>
              <w:t>Artículo 13</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5FB4" w:rsidRPr="00782CFD" w:rsidRDefault="00875FB4" w:rsidP="00583542">
            <w:pPr>
              <w:autoSpaceDE w:val="0"/>
              <w:spacing w:after="0" w:line="360" w:lineRule="auto"/>
              <w:jc w:val="both"/>
              <w:rPr>
                <w:rFonts w:ascii="Arial" w:hAnsi="Arial" w:cs="Arial"/>
                <w:i/>
                <w:sz w:val="24"/>
                <w:szCs w:val="24"/>
              </w:rPr>
            </w:pPr>
            <w:r w:rsidRPr="00782CFD">
              <w:rPr>
                <w:rFonts w:ascii="Arial" w:hAnsi="Arial" w:cs="Arial"/>
                <w:i/>
                <w:sz w:val="24"/>
                <w:szCs w:val="24"/>
              </w:rPr>
              <w:t>El Auditor Superior tendrá las siguientes atribuciones:</w:t>
            </w:r>
          </w:p>
          <w:p w:rsidR="00875FB4" w:rsidRPr="00782CFD" w:rsidRDefault="00875FB4" w:rsidP="00583542">
            <w:pPr>
              <w:autoSpaceDE w:val="0"/>
              <w:spacing w:after="0" w:line="360" w:lineRule="auto"/>
              <w:ind w:left="709" w:hanging="720"/>
              <w:jc w:val="both"/>
              <w:rPr>
                <w:rFonts w:ascii="Arial" w:hAnsi="Arial" w:cs="Arial"/>
                <w:i/>
                <w:sz w:val="24"/>
                <w:szCs w:val="24"/>
              </w:rPr>
            </w:pPr>
            <w:r w:rsidRPr="00782CFD">
              <w:rPr>
                <w:rFonts w:ascii="Arial" w:hAnsi="Arial" w:cs="Arial"/>
                <w:i/>
                <w:sz w:val="24"/>
                <w:szCs w:val="24"/>
              </w:rPr>
              <w:t xml:space="preserve">I. </w:t>
            </w:r>
            <w:r w:rsidRPr="00782CFD">
              <w:rPr>
                <w:rFonts w:ascii="Arial" w:hAnsi="Arial" w:cs="Arial"/>
                <w:i/>
                <w:sz w:val="24"/>
                <w:szCs w:val="24"/>
              </w:rPr>
              <w:tab/>
              <w:t>Representar legalmente al Órgano Superior ante toda clase de autoridades y personas, tanto físicas como jurídicas colectivas, e intervenir en toda clase de juicios y recursos en que éste sea parte.</w:t>
            </w:r>
          </w:p>
          <w:p w:rsidR="00875FB4" w:rsidRPr="00782CFD" w:rsidRDefault="00875FB4" w:rsidP="00583542">
            <w:pPr>
              <w:autoSpaceDE w:val="0"/>
              <w:spacing w:after="0" w:line="360" w:lineRule="auto"/>
              <w:ind w:left="709" w:hanging="709"/>
              <w:jc w:val="both"/>
              <w:rPr>
                <w:rFonts w:ascii="Arial" w:hAnsi="Arial" w:cs="Arial"/>
                <w:i/>
                <w:sz w:val="24"/>
                <w:szCs w:val="24"/>
              </w:rPr>
            </w:pPr>
            <w:r w:rsidRPr="00782CFD">
              <w:rPr>
                <w:rFonts w:ascii="Arial" w:hAnsi="Arial" w:cs="Arial"/>
                <w:i/>
                <w:sz w:val="24"/>
                <w:szCs w:val="24"/>
              </w:rPr>
              <w:t>III.</w:t>
            </w:r>
            <w:r w:rsidRPr="00782CFD">
              <w:rPr>
                <w:rFonts w:ascii="Arial" w:hAnsi="Arial" w:cs="Arial"/>
                <w:i/>
                <w:sz w:val="24"/>
                <w:szCs w:val="24"/>
              </w:rPr>
              <w:tab/>
              <w:t>Emitir y entregar a la Legislatura, por conducto de la Comisión, los informes relativos a la revisión de las cuentas públicas, en los plazos y términos previstos por la Ley. Así mismo, deberá publicitar dicho documento de manera inmediatamente posterior a la entrega que realice a la Comisión.</w:t>
            </w:r>
          </w:p>
          <w:p w:rsidR="00875FB4" w:rsidRPr="00782CFD" w:rsidRDefault="00875FB4" w:rsidP="00583542">
            <w:pPr>
              <w:autoSpaceDE w:val="0"/>
              <w:spacing w:after="0" w:line="360" w:lineRule="auto"/>
              <w:ind w:left="709" w:hanging="720"/>
              <w:jc w:val="both"/>
              <w:rPr>
                <w:rFonts w:ascii="Arial" w:hAnsi="Arial" w:cs="Arial"/>
                <w:i/>
                <w:sz w:val="24"/>
                <w:szCs w:val="24"/>
              </w:rPr>
            </w:pPr>
            <w:r w:rsidRPr="00782CFD">
              <w:rPr>
                <w:rFonts w:ascii="Arial" w:hAnsi="Arial" w:cs="Arial"/>
                <w:i/>
                <w:sz w:val="24"/>
                <w:szCs w:val="24"/>
              </w:rPr>
              <w:lastRenderedPageBreak/>
              <w:t>IV.</w:t>
            </w:r>
            <w:r w:rsidRPr="00782CFD">
              <w:rPr>
                <w:rFonts w:ascii="Arial" w:hAnsi="Arial" w:cs="Arial"/>
                <w:i/>
                <w:sz w:val="24"/>
                <w:szCs w:val="24"/>
              </w:rPr>
              <w:tab/>
              <w:t>Formular los pliegos de observaciones y recomendaciones necesarias a las entidades fiscalizables, así como verificar su debida cumplimentación.</w:t>
            </w:r>
          </w:p>
          <w:p w:rsidR="00875FB4" w:rsidRPr="00782CFD" w:rsidRDefault="00875FB4" w:rsidP="00583542">
            <w:pPr>
              <w:autoSpaceDE w:val="0"/>
              <w:spacing w:after="0" w:line="360" w:lineRule="auto"/>
              <w:ind w:left="709" w:hanging="720"/>
              <w:jc w:val="both"/>
              <w:rPr>
                <w:rFonts w:ascii="Arial" w:hAnsi="Arial" w:cs="Arial"/>
                <w:i/>
                <w:sz w:val="24"/>
                <w:szCs w:val="24"/>
              </w:rPr>
            </w:pPr>
            <w:r w:rsidRPr="00782CFD">
              <w:rPr>
                <w:rFonts w:ascii="Arial" w:hAnsi="Arial" w:cs="Arial"/>
                <w:i/>
                <w:sz w:val="24"/>
                <w:szCs w:val="24"/>
              </w:rPr>
              <w:t>IX.</w:t>
            </w:r>
            <w:r w:rsidRPr="00782CFD">
              <w:rPr>
                <w:rFonts w:ascii="Arial" w:hAnsi="Arial" w:cs="Arial"/>
                <w:i/>
                <w:sz w:val="24"/>
                <w:szCs w:val="24"/>
              </w:rPr>
              <w:tab/>
              <w:t xml:space="preserve">Promover el </w:t>
            </w:r>
            <w:proofErr w:type="spellStart"/>
            <w:r w:rsidRPr="00782CFD">
              <w:rPr>
                <w:rFonts w:ascii="Arial" w:hAnsi="Arial" w:cs="Arial"/>
                <w:i/>
                <w:sz w:val="24"/>
                <w:szCs w:val="24"/>
              </w:rPr>
              <w:t>fincamiento</w:t>
            </w:r>
            <w:proofErr w:type="spellEnd"/>
            <w:r w:rsidRPr="00782CFD">
              <w:rPr>
                <w:rFonts w:ascii="Arial" w:hAnsi="Arial" w:cs="Arial"/>
                <w:i/>
                <w:sz w:val="24"/>
                <w:szCs w:val="24"/>
              </w:rPr>
              <w:t xml:space="preserve"> e imposición de las demás responsabilidades y sanciones a que hubiere lugar ante las instancias competentes.</w:t>
            </w:r>
          </w:p>
          <w:p w:rsidR="00875FB4" w:rsidRPr="00782CFD" w:rsidRDefault="00875FB4" w:rsidP="00583542">
            <w:pPr>
              <w:autoSpaceDE w:val="0"/>
              <w:spacing w:after="0" w:line="360" w:lineRule="auto"/>
              <w:ind w:left="-11"/>
              <w:jc w:val="both"/>
              <w:rPr>
                <w:rFonts w:ascii="Arial" w:hAnsi="Arial" w:cs="Arial"/>
                <w:i/>
                <w:sz w:val="24"/>
                <w:szCs w:val="24"/>
              </w:rPr>
            </w:pPr>
            <w:r w:rsidRPr="00782CFD">
              <w:rPr>
                <w:rFonts w:ascii="Arial" w:hAnsi="Arial" w:cs="Arial"/>
                <w:i/>
                <w:sz w:val="24"/>
                <w:szCs w:val="24"/>
              </w:rPr>
              <w:t xml:space="preserve">XI. </w:t>
            </w:r>
            <w:r w:rsidRPr="00782CFD">
              <w:rPr>
                <w:rFonts w:ascii="Arial" w:hAnsi="Arial" w:cs="Arial"/>
                <w:i/>
                <w:sz w:val="24"/>
                <w:szCs w:val="24"/>
              </w:rPr>
              <w:tab/>
              <w:t>Expedir el Reglamento Interior del Órgano Superior.</w:t>
            </w:r>
          </w:p>
          <w:p w:rsidR="00875FB4" w:rsidRPr="00782CFD" w:rsidRDefault="00875FB4" w:rsidP="00583542">
            <w:pPr>
              <w:autoSpaceDE w:val="0"/>
              <w:spacing w:after="0" w:line="360" w:lineRule="auto"/>
              <w:ind w:left="711" w:hanging="722"/>
              <w:jc w:val="both"/>
              <w:rPr>
                <w:rFonts w:ascii="Arial" w:hAnsi="Arial" w:cs="Arial"/>
                <w:i/>
                <w:sz w:val="24"/>
                <w:szCs w:val="24"/>
              </w:rPr>
            </w:pPr>
            <w:r w:rsidRPr="00782CFD">
              <w:rPr>
                <w:rFonts w:ascii="Arial" w:hAnsi="Arial" w:cs="Arial"/>
                <w:i/>
                <w:sz w:val="24"/>
                <w:szCs w:val="24"/>
              </w:rPr>
              <w:t>XII.</w:t>
            </w:r>
            <w:r w:rsidRPr="00782CFD">
              <w:rPr>
                <w:rFonts w:ascii="Arial" w:hAnsi="Arial" w:cs="Arial"/>
                <w:i/>
                <w:sz w:val="24"/>
                <w:szCs w:val="24"/>
              </w:rPr>
              <w:tab/>
              <w:t>Expedir los manuales de organización y de procedimientos que se requieran.</w:t>
            </w:r>
          </w:p>
          <w:p w:rsidR="00875FB4" w:rsidRPr="00782CFD" w:rsidRDefault="00875FB4" w:rsidP="00583542">
            <w:pPr>
              <w:autoSpaceDE w:val="0"/>
              <w:spacing w:after="0" w:line="360" w:lineRule="auto"/>
              <w:ind w:left="697" w:hanging="708"/>
              <w:jc w:val="both"/>
              <w:rPr>
                <w:rFonts w:ascii="Arial" w:hAnsi="Arial" w:cs="Arial"/>
                <w:i/>
                <w:sz w:val="24"/>
                <w:szCs w:val="24"/>
              </w:rPr>
            </w:pPr>
            <w:r w:rsidRPr="00782CFD">
              <w:rPr>
                <w:rFonts w:ascii="Arial" w:hAnsi="Arial" w:cs="Arial"/>
                <w:i/>
                <w:sz w:val="24"/>
                <w:szCs w:val="24"/>
              </w:rPr>
              <w:t>XXIII.</w:t>
            </w:r>
            <w:r w:rsidRPr="00782CFD">
              <w:rPr>
                <w:rFonts w:ascii="Arial" w:hAnsi="Arial" w:cs="Arial"/>
                <w:i/>
                <w:sz w:val="24"/>
                <w:szCs w:val="24"/>
              </w:rPr>
              <w:tab/>
              <w:t>Rendir un informe anual de gestión a la Legislatura por conducto de la Comisión.</w:t>
            </w:r>
          </w:p>
          <w:p w:rsidR="00875FB4" w:rsidRPr="00782CFD" w:rsidRDefault="00875FB4" w:rsidP="00583542">
            <w:pPr>
              <w:autoSpaceDE w:val="0"/>
              <w:spacing w:after="0" w:line="360" w:lineRule="auto"/>
              <w:ind w:left="697" w:hanging="708"/>
              <w:jc w:val="both"/>
              <w:rPr>
                <w:rFonts w:ascii="Arial" w:hAnsi="Arial" w:cs="Arial"/>
                <w:i/>
                <w:sz w:val="24"/>
                <w:szCs w:val="24"/>
              </w:rPr>
            </w:pPr>
            <w:r w:rsidRPr="00782CFD">
              <w:rPr>
                <w:rFonts w:ascii="Arial" w:hAnsi="Arial" w:cs="Arial"/>
                <w:i/>
                <w:sz w:val="24"/>
                <w:szCs w:val="24"/>
              </w:rPr>
              <w:t>XXV.</w:t>
            </w:r>
            <w:r w:rsidRPr="00782CFD">
              <w:rPr>
                <w:rFonts w:ascii="Arial" w:hAnsi="Arial" w:cs="Arial"/>
                <w:i/>
                <w:sz w:val="24"/>
                <w:szCs w:val="24"/>
              </w:rPr>
              <w:tab/>
              <w:t>Las demás que señalen las disposiciones legales aplicables y el Reglamento.</w:t>
            </w:r>
          </w:p>
        </w:tc>
      </w:tr>
    </w:tbl>
    <w:p w:rsidR="00981540" w:rsidRPr="00583542" w:rsidRDefault="00981540"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583542" w:rsidRPr="00583542" w:rsidRDefault="00583542" w:rsidP="00583542">
      <w:pPr>
        <w:autoSpaceDE w:val="0"/>
        <w:autoSpaceDN w:val="0"/>
        <w:adjustRightInd w:val="0"/>
        <w:spacing w:after="0" w:line="360" w:lineRule="auto"/>
        <w:ind w:left="-11"/>
        <w:jc w:val="both"/>
        <w:rPr>
          <w:rFonts w:ascii="Arial" w:hAnsi="Arial" w:cs="Arial"/>
          <w:sz w:val="24"/>
          <w:szCs w:val="24"/>
        </w:rPr>
      </w:pPr>
    </w:p>
    <w:p w:rsidR="00875FB4" w:rsidRPr="00583542" w:rsidRDefault="00875FB4" w:rsidP="00583542">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583542">
      <w:pPr>
        <w:spacing w:after="0" w:line="360" w:lineRule="auto"/>
        <w:rPr>
          <w:rFonts w:ascii="Arial" w:eastAsia="Times New Roman" w:hAnsi="Arial" w:cs="Arial"/>
          <w:b/>
          <w:sz w:val="24"/>
          <w:szCs w:val="24"/>
        </w:rPr>
      </w:pPr>
      <w:r w:rsidRPr="00583542">
        <w:rPr>
          <w:rFonts w:ascii="Arial" w:eastAsia="Times New Roman" w:hAnsi="Arial" w:cs="Arial"/>
          <w:b/>
          <w:color w:val="000000"/>
          <w:sz w:val="24"/>
          <w:szCs w:val="24"/>
          <w:lang w:val="es-ES_tradnl"/>
        </w:rPr>
        <w:lastRenderedPageBreak/>
        <w:t>2.4</w:t>
      </w:r>
      <w:r w:rsidRPr="00583542">
        <w:rPr>
          <w:rFonts w:ascii="Arial" w:eastAsia="Times New Roman" w:hAnsi="Arial" w:cs="Arial"/>
          <w:b/>
          <w:color w:val="000000"/>
          <w:sz w:val="24"/>
          <w:szCs w:val="24"/>
          <w:lang w:val="es-ES_tradnl"/>
        </w:rPr>
        <w:tab/>
        <w:t>Atribuciones del Auditor Especial de Evaluación de Programas.</w:t>
      </w: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Como se observó en el organigrama, la Auditoría Especial de Evaluación de Programas cuenta con tres subdirecciones y seis departamentos, con los cuales realiza las actividades y funciones que la normatividad le atribuye, así como las diligencias intrínsecas que el Auditor Superior le confiere.</w:t>
      </w: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La Subdirección de Evaluación de Programas Federales, pertenece a la Auditoría Especial antes mencionada y tiene como actividad sustantiva, entre otras, la de realizar la fiscalización de los recursos federales transferidos al Estado, a través del Sistema Integral de Evaluación Programática (SIEP).</w:t>
      </w: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 xml:space="preserve">Una vez realizada la anterior acotación, en los renglones subsecuentes mencionaremos la principal legislación </w:t>
      </w:r>
      <w:r w:rsidR="00583542" w:rsidRPr="00583542">
        <w:rPr>
          <w:rFonts w:ascii="Arial" w:hAnsi="Arial" w:cs="Arial"/>
          <w:sz w:val="24"/>
          <w:szCs w:val="24"/>
        </w:rPr>
        <w:t>(</w:t>
      </w:r>
      <w:r w:rsidR="00707340">
        <w:rPr>
          <w:rFonts w:ascii="Arial" w:hAnsi="Arial" w:cs="Arial"/>
          <w:sz w:val="24"/>
          <w:szCs w:val="24"/>
        </w:rPr>
        <w:t>Tabla 8</w:t>
      </w:r>
      <w:r w:rsidR="00583542" w:rsidRPr="00583542">
        <w:rPr>
          <w:rFonts w:ascii="Arial" w:hAnsi="Arial" w:cs="Arial"/>
          <w:sz w:val="24"/>
          <w:szCs w:val="24"/>
        </w:rPr>
        <w:t xml:space="preserve">), </w:t>
      </w:r>
      <w:r w:rsidRPr="00583542">
        <w:rPr>
          <w:rFonts w:ascii="Arial" w:hAnsi="Arial" w:cs="Arial"/>
          <w:sz w:val="24"/>
          <w:szCs w:val="24"/>
        </w:rPr>
        <w:t>con la cual se facultad a la Auditoría Especial, para llevar a cabo la evaluación de los recursos federales correspondientes al Ramo General 33.</w:t>
      </w:r>
    </w:p>
    <w:p w:rsidR="00AF564F" w:rsidRPr="00583542" w:rsidRDefault="00AF564F" w:rsidP="00583542">
      <w:pPr>
        <w:autoSpaceDE w:val="0"/>
        <w:autoSpaceDN w:val="0"/>
        <w:adjustRightInd w:val="0"/>
        <w:spacing w:after="0" w:line="360" w:lineRule="auto"/>
        <w:ind w:left="-11"/>
        <w:jc w:val="both"/>
        <w:rPr>
          <w:rFonts w:ascii="Arial" w:hAnsi="Arial" w:cs="Arial"/>
          <w:sz w:val="24"/>
          <w:szCs w:val="24"/>
        </w:rPr>
      </w:pPr>
    </w:p>
    <w:p w:rsidR="00371B5E" w:rsidRPr="00371B5E" w:rsidRDefault="00371B5E" w:rsidP="0050647C">
      <w:pPr>
        <w:pStyle w:val="Epgrafe"/>
        <w:keepNext/>
        <w:spacing w:after="0"/>
        <w:jc w:val="center"/>
        <w:rPr>
          <w:rFonts w:ascii="Arial" w:hAnsi="Arial" w:cs="Arial"/>
          <w:color w:val="auto"/>
          <w:sz w:val="24"/>
          <w:szCs w:val="24"/>
        </w:rPr>
      </w:pPr>
      <w:bookmarkStart w:id="7" w:name="_Toc510526015"/>
      <w:r w:rsidRPr="00371B5E">
        <w:rPr>
          <w:rFonts w:ascii="Arial" w:hAnsi="Arial" w:cs="Arial"/>
          <w:color w:val="auto"/>
          <w:sz w:val="24"/>
          <w:szCs w:val="24"/>
        </w:rPr>
        <w:t xml:space="preserve">Tabla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Tabla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8</w:t>
      </w:r>
      <w:bookmarkEnd w:id="7"/>
      <w:r w:rsidRPr="00371B5E">
        <w:rPr>
          <w:rFonts w:ascii="Arial" w:hAnsi="Arial" w:cs="Arial"/>
          <w:color w:val="auto"/>
          <w:sz w:val="24"/>
          <w:szCs w:val="24"/>
        </w:rPr>
        <w:fldChar w:fldCharType="end"/>
      </w:r>
    </w:p>
    <w:tbl>
      <w:tblPr>
        <w:tblW w:w="8644" w:type="dxa"/>
        <w:tblCellMar>
          <w:left w:w="10" w:type="dxa"/>
          <w:right w:w="10" w:type="dxa"/>
        </w:tblCellMar>
        <w:tblLook w:val="0000" w:firstRow="0" w:lastRow="0" w:firstColumn="0" w:lastColumn="0" w:noHBand="0" w:noVBand="0"/>
      </w:tblPr>
      <w:tblGrid>
        <w:gridCol w:w="1809"/>
        <w:gridCol w:w="6835"/>
      </w:tblGrid>
      <w:tr w:rsidR="006A12BE" w:rsidRPr="00782CFD" w:rsidTr="009803E6">
        <w:trPr>
          <w:trHeight w:val="1229"/>
        </w:trPr>
        <w:tc>
          <w:tcPr>
            <w:tcW w:w="86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12BE" w:rsidRPr="00782CFD" w:rsidRDefault="006A12BE" w:rsidP="009803E6">
            <w:pPr>
              <w:spacing w:after="0" w:line="360" w:lineRule="auto"/>
              <w:jc w:val="center"/>
              <w:rPr>
                <w:rFonts w:ascii="Arial" w:hAnsi="Arial" w:cs="Arial"/>
                <w:b/>
                <w:i/>
                <w:sz w:val="24"/>
                <w:szCs w:val="24"/>
              </w:rPr>
            </w:pPr>
            <w:r w:rsidRPr="00782CFD">
              <w:rPr>
                <w:rFonts w:ascii="Arial" w:hAnsi="Arial" w:cs="Arial"/>
                <w:b/>
                <w:i/>
                <w:sz w:val="24"/>
                <w:szCs w:val="24"/>
              </w:rPr>
              <w:t>Ley de Fiscalización Superior del Estado de México</w:t>
            </w:r>
          </w:p>
          <w:p w:rsidR="006A12BE" w:rsidRPr="00782CFD" w:rsidRDefault="006A12BE" w:rsidP="009803E6">
            <w:pPr>
              <w:autoSpaceDE w:val="0"/>
              <w:adjustRightInd w:val="0"/>
              <w:spacing w:after="0" w:line="360" w:lineRule="auto"/>
              <w:jc w:val="center"/>
              <w:rPr>
                <w:rFonts w:ascii="Arial" w:hAnsi="Arial" w:cs="Arial"/>
                <w:i/>
                <w:sz w:val="24"/>
                <w:szCs w:val="24"/>
              </w:rPr>
            </w:pPr>
            <w:r w:rsidRPr="00782CFD">
              <w:rPr>
                <w:rFonts w:ascii="Arial" w:hAnsi="Arial" w:cs="Arial"/>
                <w:i/>
                <w:sz w:val="24"/>
                <w:szCs w:val="24"/>
              </w:rPr>
              <w:t>Titulo Segundo</w:t>
            </w:r>
          </w:p>
          <w:p w:rsidR="006A12BE" w:rsidRPr="00782CFD" w:rsidRDefault="006A12BE" w:rsidP="009803E6">
            <w:pPr>
              <w:autoSpaceDE w:val="0"/>
              <w:spacing w:after="0" w:line="360" w:lineRule="auto"/>
              <w:ind w:left="-11"/>
              <w:jc w:val="center"/>
              <w:rPr>
                <w:rFonts w:ascii="Arial" w:hAnsi="Arial" w:cs="Arial"/>
                <w:i/>
                <w:sz w:val="24"/>
                <w:szCs w:val="24"/>
              </w:rPr>
            </w:pPr>
            <w:r w:rsidRPr="00782CFD">
              <w:rPr>
                <w:rFonts w:ascii="Arial" w:hAnsi="Arial" w:cs="Arial"/>
                <w:i/>
                <w:sz w:val="24"/>
                <w:szCs w:val="24"/>
              </w:rPr>
              <w:t>Del Órgano Superior de Fiscalización</w:t>
            </w:r>
          </w:p>
        </w:tc>
      </w:tr>
      <w:tr w:rsidR="006A12BE"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12BE" w:rsidRPr="00782CFD" w:rsidRDefault="006A12BE" w:rsidP="009803E6">
            <w:pPr>
              <w:spacing w:after="0" w:line="360" w:lineRule="auto"/>
              <w:jc w:val="both"/>
              <w:rPr>
                <w:rFonts w:ascii="Arial" w:hAnsi="Arial" w:cs="Arial"/>
                <w:b/>
                <w:i/>
                <w:sz w:val="24"/>
                <w:szCs w:val="24"/>
              </w:rPr>
            </w:pPr>
            <w:r w:rsidRPr="00782CFD">
              <w:rPr>
                <w:rFonts w:ascii="Arial" w:hAnsi="Arial" w:cs="Arial"/>
                <w:b/>
                <w:i/>
                <w:sz w:val="24"/>
                <w:szCs w:val="24"/>
              </w:rPr>
              <w:t>Artículo 21</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12BE" w:rsidRPr="00782CFD" w:rsidRDefault="006A12BE" w:rsidP="009803E6">
            <w:pPr>
              <w:autoSpaceDE w:val="0"/>
              <w:spacing w:after="0" w:line="360" w:lineRule="auto"/>
              <w:ind w:left="-11"/>
              <w:jc w:val="both"/>
              <w:rPr>
                <w:rFonts w:ascii="Arial" w:hAnsi="Arial" w:cs="Arial"/>
                <w:i/>
                <w:sz w:val="24"/>
                <w:szCs w:val="24"/>
              </w:rPr>
            </w:pPr>
            <w:r w:rsidRPr="00782CFD">
              <w:rPr>
                <w:rFonts w:ascii="Arial" w:hAnsi="Arial" w:cs="Arial"/>
                <w:i/>
                <w:sz w:val="24"/>
                <w:szCs w:val="24"/>
              </w:rPr>
              <w:t>En el desempeño de sus funciones, el Auditor Superior será auxiliado por los Auditores Especiales, Titulares de Unidades, Directores, Auditores y demás servidores públicos que señale el Reglamento.</w:t>
            </w:r>
          </w:p>
        </w:tc>
      </w:tr>
      <w:tr w:rsidR="006A12BE" w:rsidRPr="00782CFD" w:rsidTr="009803E6">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12BE" w:rsidRPr="00782CFD" w:rsidRDefault="006A12BE" w:rsidP="009803E6">
            <w:pPr>
              <w:spacing w:after="0" w:line="360" w:lineRule="auto"/>
              <w:jc w:val="both"/>
              <w:rPr>
                <w:rFonts w:ascii="Arial" w:hAnsi="Arial" w:cs="Arial"/>
                <w:b/>
                <w:i/>
                <w:sz w:val="24"/>
                <w:szCs w:val="24"/>
              </w:rPr>
            </w:pPr>
            <w:r w:rsidRPr="00782CFD">
              <w:rPr>
                <w:rFonts w:ascii="Arial" w:hAnsi="Arial" w:cs="Arial"/>
                <w:b/>
                <w:i/>
                <w:sz w:val="24"/>
                <w:szCs w:val="24"/>
              </w:rPr>
              <w:t>Artículo 23</w:t>
            </w:r>
          </w:p>
        </w:tc>
        <w:tc>
          <w:tcPr>
            <w:tcW w:w="6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12BE" w:rsidRPr="00782CFD" w:rsidRDefault="006A12BE" w:rsidP="009803E6">
            <w:pPr>
              <w:autoSpaceDE w:val="0"/>
              <w:spacing w:after="0" w:line="360" w:lineRule="auto"/>
              <w:ind w:left="-11"/>
              <w:jc w:val="both"/>
              <w:rPr>
                <w:rFonts w:ascii="Arial" w:hAnsi="Arial" w:cs="Arial"/>
                <w:i/>
                <w:sz w:val="24"/>
                <w:szCs w:val="24"/>
              </w:rPr>
            </w:pPr>
            <w:r w:rsidRPr="00782CFD">
              <w:rPr>
                <w:rFonts w:ascii="Arial" w:hAnsi="Arial" w:cs="Arial"/>
                <w:i/>
                <w:sz w:val="24"/>
                <w:szCs w:val="24"/>
              </w:rPr>
              <w:t>Sin perjuicio del ejercicio directo por parte del Auditor Superior, los Auditores</w:t>
            </w:r>
          </w:p>
          <w:p w:rsidR="006A12BE" w:rsidRPr="00782CFD" w:rsidRDefault="006A12BE" w:rsidP="009803E6">
            <w:pPr>
              <w:autoSpaceDE w:val="0"/>
              <w:spacing w:after="0" w:line="360" w:lineRule="auto"/>
              <w:ind w:left="-11"/>
              <w:jc w:val="both"/>
              <w:rPr>
                <w:rFonts w:ascii="Arial" w:hAnsi="Arial" w:cs="Arial"/>
                <w:i/>
                <w:sz w:val="24"/>
                <w:szCs w:val="24"/>
              </w:rPr>
            </w:pPr>
            <w:r w:rsidRPr="00782CFD">
              <w:rPr>
                <w:rFonts w:ascii="Arial" w:hAnsi="Arial" w:cs="Arial"/>
                <w:i/>
                <w:sz w:val="24"/>
                <w:szCs w:val="24"/>
              </w:rPr>
              <w:t>Especiales tendrán las facultades genéricas siguientes: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I.</w:t>
            </w:r>
            <w:r w:rsidRPr="00782CFD">
              <w:rPr>
                <w:rFonts w:ascii="Arial" w:hAnsi="Arial" w:cs="Arial"/>
                <w:i/>
                <w:sz w:val="24"/>
                <w:szCs w:val="24"/>
              </w:rPr>
              <w:tab/>
              <w:t xml:space="preserve">Planear, conforme a los programas aprobados por el Auditor Superior, las actividades relacionadas con la </w:t>
            </w:r>
            <w:r w:rsidRPr="00782CFD">
              <w:rPr>
                <w:rFonts w:ascii="Arial" w:hAnsi="Arial" w:cs="Arial"/>
                <w:i/>
                <w:sz w:val="24"/>
                <w:szCs w:val="24"/>
              </w:rPr>
              <w:lastRenderedPageBreak/>
              <w:t>revisión de las cuentas públicas; y elaborar los análisis que sirvan para la preparación del informe de resultados.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II.</w:t>
            </w:r>
            <w:r w:rsidRPr="00782CFD">
              <w:rPr>
                <w:rFonts w:ascii="Arial" w:hAnsi="Arial" w:cs="Arial"/>
                <w:i/>
                <w:sz w:val="24"/>
                <w:szCs w:val="24"/>
              </w:rPr>
              <w:tab/>
              <w:t>Requerir a las entidades fiscalizables y a los terceros que hubieren celebrado operaciones con aquéllas, la información y documentación que sea necesaria para realizar la función de fiscalización.</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XI.</w:t>
            </w:r>
            <w:r w:rsidRPr="00782CFD">
              <w:rPr>
                <w:rFonts w:ascii="Arial" w:hAnsi="Arial" w:cs="Arial"/>
                <w:i/>
                <w:sz w:val="24"/>
                <w:szCs w:val="24"/>
              </w:rPr>
              <w:tab/>
              <w:t>Realizar la evaluación de desempeño de los programas gubernamentales y municipales.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XII.</w:t>
            </w:r>
            <w:r w:rsidRPr="00782CFD">
              <w:rPr>
                <w:rFonts w:ascii="Arial" w:hAnsi="Arial" w:cs="Arial"/>
                <w:i/>
                <w:sz w:val="24"/>
                <w:szCs w:val="24"/>
              </w:rPr>
              <w:tab/>
              <w:t>Promover y coadyuvar a la generación de indicadores de las entidades fiscalizables.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XIII.</w:t>
            </w:r>
            <w:r w:rsidRPr="00782CFD">
              <w:rPr>
                <w:rFonts w:ascii="Arial" w:hAnsi="Arial" w:cs="Arial"/>
                <w:i/>
                <w:sz w:val="24"/>
                <w:szCs w:val="24"/>
              </w:rPr>
              <w:tab/>
              <w:t>Solicitar en su caso, la información necesaria para el cumplimiento de sus atribuciones.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XIV.</w:t>
            </w:r>
            <w:r w:rsidRPr="00782CFD">
              <w:rPr>
                <w:rFonts w:ascii="Arial" w:hAnsi="Arial" w:cs="Arial"/>
                <w:i/>
                <w:sz w:val="24"/>
                <w:szCs w:val="24"/>
              </w:rPr>
              <w:tab/>
              <w:t>Formular las recomendaciones que deriven de los resultados de la revisión de los programas a cargo del Estado y de los Municipios, los cuales se notificarán a las entidades fiscalizables.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XV.</w:t>
            </w:r>
            <w:r w:rsidRPr="00782CFD">
              <w:rPr>
                <w:rFonts w:ascii="Arial" w:hAnsi="Arial" w:cs="Arial"/>
                <w:i/>
                <w:sz w:val="24"/>
                <w:szCs w:val="24"/>
              </w:rPr>
              <w:tab/>
              <w:t>Formular los proyectos de informes de resultados, así como los demás documentos inherentes a sus atribuciones.</w:t>
            </w:r>
          </w:p>
          <w:p w:rsidR="006A12BE" w:rsidRPr="00782CFD" w:rsidRDefault="006A12BE" w:rsidP="009803E6">
            <w:pPr>
              <w:autoSpaceDE w:val="0"/>
              <w:spacing w:after="0" w:line="360" w:lineRule="auto"/>
              <w:ind w:left="602" w:hanging="613"/>
              <w:jc w:val="both"/>
              <w:rPr>
                <w:rFonts w:ascii="Arial" w:hAnsi="Arial" w:cs="Arial"/>
                <w:i/>
                <w:sz w:val="24"/>
                <w:szCs w:val="24"/>
              </w:rPr>
            </w:pPr>
            <w:r w:rsidRPr="00782CFD">
              <w:rPr>
                <w:rFonts w:ascii="Arial" w:hAnsi="Arial" w:cs="Arial"/>
                <w:i/>
                <w:sz w:val="24"/>
                <w:szCs w:val="24"/>
              </w:rPr>
              <w:t>XVII.</w:t>
            </w:r>
            <w:r w:rsidRPr="00782CFD">
              <w:rPr>
                <w:rFonts w:ascii="Arial" w:hAnsi="Arial" w:cs="Arial"/>
                <w:i/>
                <w:sz w:val="24"/>
                <w:szCs w:val="24"/>
              </w:rPr>
              <w:tab/>
              <w:t>Las demás que señale esta Ley, el Reglamento y demás disposiciones jurídicas aplicables.</w:t>
            </w:r>
          </w:p>
        </w:tc>
      </w:tr>
    </w:tbl>
    <w:p w:rsidR="006A12BE" w:rsidRPr="00583542" w:rsidRDefault="006A12BE"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Aunado a lo anterior, debemos mencionar que a la fecha, la Subdirección de Evaluación de Programas Federales cuenta con el subdirector, dos jefes de departamento y 16 auditores con los cuales cumple con las funciones implícitas dentro del Manual General de Organización, así como aquellas actividades solicitadas por el Auditor Especial.</w:t>
      </w: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lastRenderedPageBreak/>
        <w:t xml:space="preserve">En </w:t>
      </w:r>
      <w:r w:rsidR="00A142C4" w:rsidRPr="00583542">
        <w:rPr>
          <w:rFonts w:ascii="Arial" w:hAnsi="Arial" w:cs="Arial"/>
          <w:sz w:val="24"/>
          <w:szCs w:val="24"/>
        </w:rPr>
        <w:t>conclusión</w:t>
      </w:r>
      <w:r w:rsidRPr="00583542">
        <w:rPr>
          <w:rFonts w:ascii="Arial" w:hAnsi="Arial" w:cs="Arial"/>
          <w:sz w:val="24"/>
          <w:szCs w:val="24"/>
        </w:rPr>
        <w:t>, el Órgano Superior de Fiscalización cuenta con las atribuciones legales y normativas, así como la infraestructura física, los recursos económicos y humanos para llevar a cabo las evaluaciones correspondientes al Ramo General 33.</w:t>
      </w: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Lo anterior con base en que se sus atribuciones se encuentran señaladas dentro de la constitución y leyes estatales, las cuales se desprende de las Federales; así como un presupuesto, autonomía propia, bienes muebles e inmuebles y personal capacitado para llevar a cabo la fiscalización de los recursos que se ministran al Estado.</w:t>
      </w:r>
    </w:p>
    <w:p w:rsidR="00E20878" w:rsidRPr="00583542" w:rsidRDefault="00E20878"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E20878" w:rsidP="00AF564F">
      <w:pPr>
        <w:autoSpaceDE w:val="0"/>
        <w:autoSpaceDN w:val="0"/>
        <w:adjustRightInd w:val="0"/>
        <w:spacing w:after="0" w:line="360" w:lineRule="auto"/>
        <w:ind w:left="-11"/>
        <w:jc w:val="both"/>
        <w:rPr>
          <w:rFonts w:ascii="Arial" w:hAnsi="Arial" w:cs="Arial"/>
          <w:sz w:val="24"/>
          <w:szCs w:val="24"/>
        </w:rPr>
      </w:pPr>
      <w:r w:rsidRPr="00583542">
        <w:rPr>
          <w:rFonts w:ascii="Arial" w:hAnsi="Arial" w:cs="Arial"/>
          <w:sz w:val="24"/>
          <w:szCs w:val="24"/>
        </w:rPr>
        <w:t>Es por ello que la Subdirección de Evaluación de Programas Federales cuenta con la infraestructura física (espacios, muebles, computadoras</w:t>
      </w:r>
      <w:r w:rsidR="002A2DA7">
        <w:rPr>
          <w:rFonts w:ascii="Arial" w:hAnsi="Arial" w:cs="Arial"/>
          <w:sz w:val="24"/>
          <w:szCs w:val="24"/>
        </w:rPr>
        <w:t>,</w:t>
      </w:r>
      <w:r w:rsidRPr="00583542">
        <w:rPr>
          <w:rFonts w:ascii="Arial" w:hAnsi="Arial" w:cs="Arial"/>
          <w:sz w:val="24"/>
          <w:szCs w:val="24"/>
        </w:rPr>
        <w:t xml:space="preserve"> </w:t>
      </w:r>
      <w:r w:rsidR="009E5286">
        <w:rPr>
          <w:rFonts w:ascii="Arial" w:hAnsi="Arial" w:cs="Arial"/>
          <w:sz w:val="24"/>
          <w:szCs w:val="24"/>
        </w:rPr>
        <w:t>papelería</w:t>
      </w:r>
      <w:r w:rsidRPr="00583542">
        <w:rPr>
          <w:rFonts w:ascii="Arial" w:hAnsi="Arial" w:cs="Arial"/>
          <w:sz w:val="24"/>
          <w:szCs w:val="24"/>
        </w:rPr>
        <w:t>) y humana (auditores, jefe</w:t>
      </w:r>
      <w:r w:rsidR="009E5286">
        <w:rPr>
          <w:rFonts w:ascii="Arial" w:hAnsi="Arial" w:cs="Arial"/>
          <w:sz w:val="24"/>
          <w:szCs w:val="24"/>
        </w:rPr>
        <w:t>s</w:t>
      </w:r>
      <w:r w:rsidRPr="00583542">
        <w:rPr>
          <w:rFonts w:ascii="Arial" w:hAnsi="Arial" w:cs="Arial"/>
          <w:sz w:val="24"/>
          <w:szCs w:val="24"/>
        </w:rPr>
        <w:t xml:space="preserve"> de departamento y subdirector); así como los insumos necesarios (información por parte de las Entidades Fiscalizables), para llevar a cabo la fiscalización de los recurso Federales transferidos al Estado de México a través del Ramo General 33.</w:t>
      </w:r>
    </w:p>
    <w:p w:rsidR="00AF564F" w:rsidRPr="00583542" w:rsidRDefault="00AF564F" w:rsidP="00AF564F">
      <w:pPr>
        <w:autoSpaceDE w:val="0"/>
        <w:autoSpaceDN w:val="0"/>
        <w:adjustRightInd w:val="0"/>
        <w:spacing w:after="0" w:line="360" w:lineRule="auto"/>
        <w:ind w:left="-11"/>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Pr="00583542" w:rsidRDefault="00AF564F" w:rsidP="00051DE3">
      <w:pPr>
        <w:spacing w:after="0" w:line="360" w:lineRule="auto"/>
        <w:jc w:val="both"/>
        <w:rPr>
          <w:rFonts w:ascii="Arial" w:hAnsi="Arial" w:cs="Arial"/>
          <w:sz w:val="24"/>
          <w:szCs w:val="24"/>
        </w:rPr>
      </w:pPr>
    </w:p>
    <w:p w:rsidR="00AF564F" w:rsidRDefault="00AF564F"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82CFD" w:rsidRPr="00782CFD" w:rsidRDefault="0024464F" w:rsidP="00782CFD">
      <w:pPr>
        <w:pStyle w:val="Default"/>
        <w:spacing w:after="120"/>
        <w:jc w:val="right"/>
        <w:rPr>
          <w:rFonts w:eastAsia="Times New Roman"/>
          <w:color w:val="auto"/>
          <w:sz w:val="96"/>
          <w:szCs w:val="96"/>
        </w:rPr>
      </w:pPr>
      <w:r w:rsidRPr="00782CFD">
        <w:rPr>
          <w:rFonts w:eastAsia="Times New Roman"/>
          <w:color w:val="auto"/>
          <w:sz w:val="96"/>
          <w:szCs w:val="96"/>
        </w:rPr>
        <w:t>CAPÍTULO III:</w:t>
      </w:r>
    </w:p>
    <w:p w:rsidR="00782CFD" w:rsidRDefault="00782CFD" w:rsidP="00782CFD">
      <w:pPr>
        <w:pStyle w:val="Default"/>
        <w:jc w:val="right"/>
        <w:rPr>
          <w:rFonts w:eastAsia="Times New Roman"/>
          <w:color w:val="auto"/>
          <w:sz w:val="48"/>
          <w:szCs w:val="48"/>
        </w:rPr>
      </w:pPr>
      <w:r w:rsidRPr="00782CFD">
        <w:rPr>
          <w:rFonts w:eastAsia="Times New Roman"/>
          <w:color w:val="auto"/>
          <w:sz w:val="48"/>
          <w:szCs w:val="48"/>
        </w:rPr>
        <w:t>RAMO GENERAL 33 (MARCO DE REFERENCIA), FISCAL</w:t>
      </w:r>
      <w:r>
        <w:rPr>
          <w:rFonts w:eastAsia="Times New Roman"/>
          <w:color w:val="auto"/>
          <w:sz w:val="48"/>
          <w:szCs w:val="48"/>
        </w:rPr>
        <w:t>IZACIÓN A TRAVÉS DE INDICADORES</w:t>
      </w:r>
    </w:p>
    <w:p w:rsidR="00782CFD" w:rsidRPr="00782CFD" w:rsidRDefault="00782CFD" w:rsidP="00782CFD">
      <w:pPr>
        <w:pStyle w:val="Default"/>
        <w:jc w:val="right"/>
        <w:rPr>
          <w:rFonts w:eastAsia="Times New Roman"/>
          <w:color w:val="auto"/>
          <w:sz w:val="48"/>
          <w:szCs w:val="48"/>
        </w:rPr>
      </w:pPr>
      <w:r w:rsidRPr="00782CFD">
        <w:rPr>
          <w:rFonts w:eastAsia="Times New Roman"/>
          <w:color w:val="auto"/>
          <w:sz w:val="48"/>
          <w:szCs w:val="48"/>
        </w:rPr>
        <w:t>Y SUS RESULTADOS.</w:t>
      </w:r>
    </w:p>
    <w:p w:rsidR="00782CFD" w:rsidRDefault="00782CFD" w:rsidP="00051DE3">
      <w:pPr>
        <w:spacing w:after="0" w:line="360" w:lineRule="auto"/>
        <w:jc w:val="both"/>
        <w:rPr>
          <w:rFonts w:ascii="Arial" w:hAnsi="Arial" w:cs="Arial"/>
          <w:sz w:val="24"/>
          <w:szCs w:val="24"/>
        </w:rPr>
      </w:pPr>
    </w:p>
    <w:p w:rsidR="00782CFD" w:rsidRDefault="00782CFD" w:rsidP="00051DE3">
      <w:pPr>
        <w:spacing w:after="0" w:line="360" w:lineRule="auto"/>
        <w:jc w:val="both"/>
        <w:rPr>
          <w:rFonts w:ascii="Arial" w:hAnsi="Arial" w:cs="Arial"/>
          <w:sz w:val="24"/>
          <w:szCs w:val="24"/>
        </w:rPr>
      </w:pPr>
    </w:p>
    <w:p w:rsidR="00700193" w:rsidRPr="00782CFD" w:rsidRDefault="004F1A3F" w:rsidP="00782CFD">
      <w:pPr>
        <w:spacing w:after="0" w:line="360" w:lineRule="auto"/>
        <w:jc w:val="both"/>
        <w:rPr>
          <w:rFonts w:ascii="Arial" w:hAnsi="Arial" w:cs="Arial"/>
          <w:sz w:val="24"/>
          <w:szCs w:val="24"/>
        </w:rPr>
      </w:pPr>
      <w:r w:rsidRPr="00782CFD">
        <w:rPr>
          <w:rFonts w:ascii="Arial" w:hAnsi="Arial" w:cs="Arial"/>
          <w:sz w:val="24"/>
          <w:szCs w:val="24"/>
        </w:rPr>
        <w:lastRenderedPageBreak/>
        <w:t xml:space="preserve">En el </w:t>
      </w:r>
      <w:r w:rsidR="00B9377A" w:rsidRPr="00782CFD">
        <w:rPr>
          <w:rFonts w:ascii="Arial" w:hAnsi="Arial" w:cs="Arial"/>
          <w:sz w:val="24"/>
          <w:szCs w:val="24"/>
        </w:rPr>
        <w:t>presente</w:t>
      </w:r>
      <w:r w:rsidRPr="00782CFD">
        <w:rPr>
          <w:rFonts w:ascii="Arial" w:hAnsi="Arial" w:cs="Arial"/>
          <w:sz w:val="24"/>
          <w:szCs w:val="24"/>
        </w:rPr>
        <w:t xml:space="preserve"> capítulo, se concentra la información necesaria para conocer el instrumento utilizado por la Federación para ministrar recursos a los estados, denominado Ramo General 33</w:t>
      </w:r>
      <w:r w:rsidR="00700193" w:rsidRPr="00782CFD">
        <w:rPr>
          <w:rFonts w:ascii="Arial" w:hAnsi="Arial" w:cs="Arial"/>
          <w:sz w:val="24"/>
          <w:szCs w:val="24"/>
        </w:rPr>
        <w:t xml:space="preserve">, los cuales </w:t>
      </w:r>
      <w:r w:rsidR="00367B2D" w:rsidRPr="00782CFD">
        <w:rPr>
          <w:rFonts w:ascii="Arial" w:hAnsi="Arial" w:cs="Arial"/>
          <w:sz w:val="24"/>
          <w:szCs w:val="24"/>
        </w:rPr>
        <w:t xml:space="preserve">son aportaciones las cuales tienen un fin específico (educación, salud, infraestructura social, seguridad, saneamiento financiero, asistencia social e infraestructura educativa), </w:t>
      </w:r>
      <w:r w:rsidR="0026403A" w:rsidRPr="00782CFD">
        <w:rPr>
          <w:rFonts w:ascii="Arial" w:hAnsi="Arial" w:cs="Arial"/>
          <w:sz w:val="24"/>
          <w:szCs w:val="24"/>
        </w:rPr>
        <w:t xml:space="preserve">como se mostrara a </w:t>
      </w:r>
      <w:r w:rsidR="00367B2D" w:rsidRPr="00782CFD">
        <w:rPr>
          <w:rFonts w:ascii="Arial" w:hAnsi="Arial" w:cs="Arial"/>
          <w:sz w:val="24"/>
          <w:szCs w:val="24"/>
        </w:rPr>
        <w:t>por lo cual no pueden ser utilizados con libre albedrío por parte de los ejecutores de los mismos</w:t>
      </w:r>
      <w:r w:rsidRPr="00782CFD">
        <w:rPr>
          <w:rFonts w:ascii="Arial" w:hAnsi="Arial" w:cs="Arial"/>
          <w:sz w:val="24"/>
          <w:szCs w:val="24"/>
        </w:rPr>
        <w:t xml:space="preserve">; </w:t>
      </w:r>
    </w:p>
    <w:p w:rsidR="00700193" w:rsidRPr="00782CFD" w:rsidRDefault="00700193" w:rsidP="00782CFD">
      <w:pPr>
        <w:spacing w:after="0" w:line="360" w:lineRule="auto"/>
        <w:jc w:val="both"/>
        <w:rPr>
          <w:rFonts w:ascii="Arial" w:hAnsi="Arial" w:cs="Arial"/>
          <w:sz w:val="24"/>
          <w:szCs w:val="24"/>
        </w:rPr>
      </w:pPr>
    </w:p>
    <w:p w:rsidR="00986383" w:rsidRPr="00782CFD" w:rsidRDefault="006674F7" w:rsidP="00782CFD">
      <w:pPr>
        <w:spacing w:after="0" w:line="360" w:lineRule="auto"/>
        <w:jc w:val="both"/>
        <w:rPr>
          <w:rFonts w:ascii="Arial" w:hAnsi="Arial" w:cs="Arial"/>
          <w:sz w:val="24"/>
          <w:szCs w:val="24"/>
        </w:rPr>
      </w:pPr>
      <w:r w:rsidRPr="00782CFD">
        <w:rPr>
          <w:rFonts w:ascii="Arial" w:hAnsi="Arial" w:cs="Arial"/>
          <w:sz w:val="24"/>
          <w:szCs w:val="24"/>
        </w:rPr>
        <w:t xml:space="preserve">Así mismo, daremos un panorama de como la SEPF lleva a cabo la </w:t>
      </w:r>
      <w:r w:rsidR="005D3D02" w:rsidRPr="00782CFD">
        <w:rPr>
          <w:rFonts w:ascii="Arial" w:hAnsi="Arial" w:cs="Arial"/>
          <w:sz w:val="24"/>
          <w:szCs w:val="24"/>
        </w:rPr>
        <w:t>fiscalización del Ramo General 33 a través del SIEP el cual es una herramienta técnica, desarrollada en colaboración con la Universidad Autónoma del Estado de México, que apoya las acciones en materia de evaluación de programas gubernamentales, mediante indicadores de desempeño, los cuales son l</w:t>
      </w:r>
      <w:r w:rsidR="00CC0325" w:rsidRPr="00782CFD">
        <w:rPr>
          <w:rFonts w:ascii="Arial" w:hAnsi="Arial" w:cs="Arial"/>
          <w:sz w:val="24"/>
          <w:szCs w:val="24"/>
        </w:rPr>
        <w:t xml:space="preserve">a base de un </w:t>
      </w:r>
      <w:r w:rsidR="005D3D02" w:rsidRPr="00782CFD">
        <w:rPr>
          <w:rFonts w:ascii="Arial" w:hAnsi="Arial" w:cs="Arial"/>
          <w:sz w:val="24"/>
          <w:szCs w:val="24"/>
        </w:rPr>
        <w:t>s</w:t>
      </w:r>
      <w:r w:rsidR="00CC0325" w:rsidRPr="00782CFD">
        <w:rPr>
          <w:rFonts w:ascii="Arial" w:hAnsi="Arial" w:cs="Arial"/>
          <w:sz w:val="24"/>
          <w:szCs w:val="24"/>
        </w:rPr>
        <w:t xml:space="preserve">istema de </w:t>
      </w:r>
      <w:r w:rsidR="005D3D02" w:rsidRPr="00782CFD">
        <w:rPr>
          <w:rFonts w:ascii="Arial" w:hAnsi="Arial" w:cs="Arial"/>
          <w:sz w:val="24"/>
          <w:szCs w:val="24"/>
        </w:rPr>
        <w:t>fiscalización</w:t>
      </w:r>
      <w:r w:rsidR="00CC0325" w:rsidRPr="00782CFD">
        <w:rPr>
          <w:rFonts w:ascii="Arial" w:hAnsi="Arial" w:cs="Arial"/>
          <w:sz w:val="24"/>
          <w:szCs w:val="24"/>
        </w:rPr>
        <w:t xml:space="preserve"> y monitoreo en la ejecución de las tareas institucionales, ya que permiten determinar los focos de atención en la administración de los programas y/o actividades institucionales, al proporcionar tanto a directivos como al personal operativo, información clave sobre el éxito de la gestión</w:t>
      </w:r>
      <w:r w:rsidR="005D3D02" w:rsidRPr="00782CFD">
        <w:rPr>
          <w:rFonts w:ascii="Arial" w:hAnsi="Arial" w:cs="Arial"/>
          <w:sz w:val="24"/>
          <w:szCs w:val="24"/>
        </w:rPr>
        <w:t>.</w:t>
      </w:r>
    </w:p>
    <w:p w:rsidR="005D3D02" w:rsidRPr="00782CFD" w:rsidRDefault="005D3D02" w:rsidP="00782CFD">
      <w:pPr>
        <w:spacing w:after="0" w:line="360" w:lineRule="auto"/>
        <w:jc w:val="both"/>
        <w:rPr>
          <w:rFonts w:ascii="Arial" w:hAnsi="Arial" w:cs="Arial"/>
          <w:sz w:val="24"/>
          <w:szCs w:val="24"/>
        </w:rPr>
      </w:pPr>
    </w:p>
    <w:p w:rsidR="005D3D02" w:rsidRPr="00782CFD" w:rsidRDefault="005D3D02" w:rsidP="00782CFD">
      <w:pPr>
        <w:spacing w:after="0" w:line="360" w:lineRule="auto"/>
        <w:jc w:val="both"/>
        <w:rPr>
          <w:rFonts w:ascii="Arial" w:hAnsi="Arial" w:cs="Arial"/>
          <w:sz w:val="24"/>
          <w:szCs w:val="24"/>
        </w:rPr>
      </w:pPr>
      <w:r w:rsidRPr="00782CFD">
        <w:rPr>
          <w:rFonts w:ascii="Arial" w:hAnsi="Arial" w:cs="Arial"/>
          <w:sz w:val="24"/>
          <w:szCs w:val="24"/>
        </w:rPr>
        <w:t>Finalmente se puede observar, en los anexos, el producto final denominado “Informe de Resultados de la Evaluación de Programas Federales al Estado de México”; que se envía a la Auditoría Superior de la Federación para el monitoreo en el comportamiento de la administración y ejecución de los recursos en comento.</w:t>
      </w:r>
    </w:p>
    <w:p w:rsidR="00700193" w:rsidRPr="00782CFD" w:rsidRDefault="00700193" w:rsidP="00782CFD">
      <w:pPr>
        <w:spacing w:after="0" w:line="360" w:lineRule="auto"/>
        <w:jc w:val="both"/>
        <w:rPr>
          <w:rFonts w:ascii="Arial" w:hAnsi="Arial" w:cs="Arial"/>
          <w:sz w:val="24"/>
          <w:szCs w:val="24"/>
        </w:rPr>
      </w:pPr>
    </w:p>
    <w:p w:rsidR="000C43F9" w:rsidRPr="00782CFD" w:rsidRDefault="000C43F9" w:rsidP="00782CFD">
      <w:pPr>
        <w:spacing w:after="0" w:line="360" w:lineRule="auto"/>
        <w:jc w:val="both"/>
        <w:rPr>
          <w:rFonts w:ascii="Arial" w:hAnsi="Arial" w:cs="Arial"/>
          <w:sz w:val="24"/>
          <w:szCs w:val="24"/>
        </w:rPr>
      </w:pPr>
    </w:p>
    <w:p w:rsidR="000C43F9" w:rsidRPr="00782CFD" w:rsidRDefault="000C43F9" w:rsidP="00782CFD">
      <w:pPr>
        <w:spacing w:after="0" w:line="360" w:lineRule="auto"/>
        <w:jc w:val="both"/>
        <w:rPr>
          <w:rFonts w:ascii="Arial" w:hAnsi="Arial" w:cs="Arial"/>
          <w:sz w:val="24"/>
          <w:szCs w:val="24"/>
        </w:rPr>
      </w:pPr>
    </w:p>
    <w:p w:rsidR="000C43F9" w:rsidRPr="00782CFD" w:rsidRDefault="000C43F9" w:rsidP="00782CFD">
      <w:pPr>
        <w:spacing w:after="0" w:line="360" w:lineRule="auto"/>
        <w:jc w:val="both"/>
        <w:rPr>
          <w:rFonts w:ascii="Arial" w:hAnsi="Arial" w:cs="Arial"/>
          <w:sz w:val="24"/>
          <w:szCs w:val="24"/>
        </w:rPr>
      </w:pPr>
    </w:p>
    <w:p w:rsidR="004F1A3F" w:rsidRDefault="004F1A3F" w:rsidP="00782CFD">
      <w:pPr>
        <w:spacing w:after="0" w:line="360" w:lineRule="auto"/>
        <w:rPr>
          <w:rFonts w:ascii="Arial" w:hAnsi="Arial" w:cs="Arial"/>
          <w:sz w:val="24"/>
          <w:szCs w:val="24"/>
        </w:rPr>
      </w:pPr>
    </w:p>
    <w:p w:rsidR="00782CFD" w:rsidRDefault="00782CFD" w:rsidP="00782CFD">
      <w:pPr>
        <w:spacing w:after="0" w:line="360" w:lineRule="auto"/>
        <w:rPr>
          <w:rFonts w:ascii="Arial" w:hAnsi="Arial" w:cs="Arial"/>
          <w:sz w:val="24"/>
          <w:szCs w:val="24"/>
        </w:rPr>
      </w:pPr>
    </w:p>
    <w:p w:rsidR="00782CFD" w:rsidRPr="00782CFD" w:rsidRDefault="00782CFD" w:rsidP="00782CFD">
      <w:pPr>
        <w:spacing w:after="0" w:line="360" w:lineRule="auto"/>
        <w:rPr>
          <w:rFonts w:ascii="Arial" w:hAnsi="Arial" w:cs="Arial"/>
          <w:sz w:val="24"/>
          <w:szCs w:val="24"/>
        </w:rPr>
      </w:pPr>
    </w:p>
    <w:p w:rsidR="00D1277C" w:rsidRPr="00782CFD" w:rsidRDefault="00D1277C" w:rsidP="00782CFD">
      <w:pPr>
        <w:spacing w:after="0" w:line="360" w:lineRule="auto"/>
        <w:rPr>
          <w:rFonts w:ascii="Arial" w:eastAsia="Times New Roman" w:hAnsi="Arial" w:cs="Arial"/>
          <w:b/>
          <w:color w:val="000000"/>
          <w:sz w:val="24"/>
          <w:szCs w:val="24"/>
        </w:rPr>
      </w:pPr>
      <w:r w:rsidRPr="00782CFD">
        <w:rPr>
          <w:rFonts w:ascii="Arial" w:eastAsia="Times New Roman" w:hAnsi="Arial" w:cs="Arial"/>
          <w:b/>
          <w:color w:val="000000"/>
          <w:sz w:val="24"/>
          <w:szCs w:val="24"/>
        </w:rPr>
        <w:lastRenderedPageBreak/>
        <w:t>3.1</w:t>
      </w:r>
      <w:r w:rsidRPr="00782CFD">
        <w:rPr>
          <w:rFonts w:ascii="Arial" w:eastAsia="Times New Roman" w:hAnsi="Arial" w:cs="Arial"/>
          <w:b/>
          <w:color w:val="000000"/>
          <w:sz w:val="24"/>
          <w:szCs w:val="24"/>
        </w:rPr>
        <w:tab/>
        <w:t>Ramo General 33</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El proceso de descentralización del gasto, se logró llevar a cabo a partir de las reformas a la Ley de Coordinación Fiscal (LCF) en el año de 1998, para ello se definieron estrategias en materia de funciones concurrentes, compromisos con la población y programas que vincularon a los diferentes ámbitos de gobierno en el país.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En este sentido, las más representativas de ellas son: Otorgar mayores ingresos; Ceder espacios de acción gubernamental; Alentar el federalismo; Redistribución de autoridad, responsabilidad y recursos; Ampliar el gasto (Descentralización de acciones y programas, Continuar con los mecanismos compensatorios) y Fortalecer al Municipio (Atención directa y oportuna de necesidades).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El avance en la descentralización que marcó la pauta más importante para el actual modelo plasmado en la LCF fue a partir de la creación de los Convenios únicos de Desarrollo (CUD) que fue la continuación de los Convenios únicos de Coordinación (CUC), este mecanismo se instituyó con el objetivo de coordinar las relaciones intergubernamentales, para así instrumentar una planeación concertada, mediante compromisos recíprocos entre los ámbitos federal y estatal.</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Como resultado de lo anterior, las entidades federativas se dieron a la tarea de establecer un sistema estatal de planeación semejante al nacional denominado “COPLADE.- Comité de Planeación de Desarrollo Estatal”, presidido por el gobernador, con la participación de los representantes de las dependencias federales estatales y municipales, con el afán de lograr una concertación de los sectores social y privado. </w:t>
      </w:r>
    </w:p>
    <w:p w:rsidR="00D1277C" w:rsidRPr="00782CFD" w:rsidRDefault="00D1277C" w:rsidP="00782CFD">
      <w:pPr>
        <w:spacing w:after="0" w:line="360" w:lineRule="auto"/>
        <w:jc w:val="both"/>
        <w:rPr>
          <w:rFonts w:ascii="Arial" w:hAnsi="Arial" w:cs="Arial"/>
          <w:sz w:val="24"/>
          <w:szCs w:val="24"/>
        </w:rPr>
      </w:pPr>
    </w:p>
    <w:p w:rsidR="00D1277C"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Para 1984, se realizan los acuerdos para descentralizar los servicios de salud y de educación a los gobiernos estatales y municipales, así como la participación en la </w:t>
      </w:r>
      <w:r w:rsidRPr="00782CFD">
        <w:rPr>
          <w:rFonts w:ascii="Arial" w:hAnsi="Arial" w:cs="Arial"/>
          <w:sz w:val="24"/>
          <w:szCs w:val="24"/>
        </w:rPr>
        <w:lastRenderedPageBreak/>
        <w:t>formulación y ejecución de programas prioritarios de desarrollo nacional, lo cual complementó en el ámbito municipal con los Comités de Planeación para el Desarrollo Municipal (COPLADEMUN).</w:t>
      </w:r>
    </w:p>
    <w:p w:rsidR="00782CFD" w:rsidRPr="00782CFD" w:rsidRDefault="00782CFD"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Derivado de lo anterior, se dieron los escenarios para descentralizar funciones, facultades y recursos a distintos niveles, a través de diversos Ramos del gasto público a las instancias locales en materia de prestación de servicios públicos, asistencia social, infraestructura, seguridad pública, con lo que se originó la transferencia de recursos.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A partir de 1998, producto de las reformas al sistema de transferencias, se incorporaron al Presupuesto de Egresos de la Federación (PEF) y en el Capítulo V de la LCF, los Fondos de Aportaciones del Ramo General 33. Con base en estas acciones se dio inicio a la transferencia de recursos a las entidades federativas.</w:t>
      </w:r>
    </w:p>
    <w:p w:rsidR="00D1277C" w:rsidRPr="00782CFD" w:rsidRDefault="00D1277C" w:rsidP="00782CFD">
      <w:pPr>
        <w:spacing w:after="0" w:line="360" w:lineRule="auto"/>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El Ramo General 33 Aportaciones Federales para Entidades Federativas y Municipios (Secretaría de Hacienda y Crédito Público, 2013), es el mecanismo presupuestario diseñado para transferir a los estados y municipios recursos que les permitan fortalecer su capacidad de respuesta y atender demandas de gobierno en los rubros siguientes:</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Educación;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Salud;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Infraestructura básica;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Fortalecimiento financiero y seguridad pública;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Programas alimenticios y de asistencia social; e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Infraestructura educativa. </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Con tales recursos, la federación apoya a los gobiernos locales que deben atender los reclamos que les plantea su población; buscando además, fortalecer los presupuestos de las entidades federativas y las regiones que conforman.</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lastRenderedPageBreak/>
        <w:t xml:space="preserve">El Marco jurídico específico, se encuentra establecido en el capítulo V de la LCF, artículos 25 a 52, en los que se establecen las aportaciones federales para los Fondos. </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En consecuencia de la reforma a la LCF de 2013, el Fondo de Aportaciones para la Educación Básica y Normal (FAEB) desaparece y se crea el Fondo de Aportaciones para la Nómina Educativa y Gasto Operativo (FONE). A continuación se presenta una breve introducción de los Fondos que componen al Ramo General 33</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la Nómina Educativa y Gasto Operativo;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los Servicios de Salud;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la Infraestructura Social;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el Fortalecimiento de los Municipios y de las Demarcaciones Territoriales del Distrito Federal;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Múltiples.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la Educación Tecnológica y de Adultos.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 xml:space="preserve">Fondo de Aportaciones para la Seguridad Pública de los Estados y del Distrito Federal. </w:t>
      </w:r>
    </w:p>
    <w:p w:rsidR="00D1277C" w:rsidRPr="00782CFD" w:rsidRDefault="00D1277C" w:rsidP="00782CFD">
      <w:pPr>
        <w:pStyle w:val="Prrafodelista"/>
        <w:numPr>
          <w:ilvl w:val="0"/>
          <w:numId w:val="6"/>
        </w:numPr>
        <w:spacing w:after="0" w:line="360" w:lineRule="auto"/>
        <w:ind w:left="567"/>
        <w:jc w:val="both"/>
        <w:rPr>
          <w:rFonts w:ascii="Arial" w:hAnsi="Arial" w:cs="Arial"/>
          <w:sz w:val="24"/>
          <w:szCs w:val="24"/>
        </w:rPr>
      </w:pPr>
      <w:r w:rsidRPr="00782CFD">
        <w:rPr>
          <w:rFonts w:ascii="Arial" w:hAnsi="Arial" w:cs="Arial"/>
          <w:sz w:val="24"/>
          <w:szCs w:val="24"/>
        </w:rPr>
        <w:t>Fondo de Aportaciones para el Fortalecimiento de las Entidades Federativas.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t>1.</w:t>
      </w:r>
      <w:r w:rsidRPr="00782CFD">
        <w:rPr>
          <w:rFonts w:ascii="Arial" w:hAnsi="Arial" w:cs="Arial"/>
          <w:sz w:val="24"/>
          <w:szCs w:val="24"/>
        </w:rPr>
        <w:tab/>
        <w:t>Fondo de Aportaciones para la Nómina Educativa y Gasto Operativo (</w:t>
      </w:r>
      <w:r w:rsidRPr="00782CFD">
        <w:rPr>
          <w:rFonts w:ascii="Arial" w:hAnsi="Arial" w:cs="Arial"/>
          <w:b/>
          <w:sz w:val="24"/>
          <w:szCs w:val="24"/>
        </w:rPr>
        <w:t>FONE</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El monto del Fondo de Aportaciones para la Nómina Educativa y Gasto Operativo se determinará cada año en el Presupuesto de Egresos de la Federación correspondiente, con base en lo establecido en el artículo 27 de la LCF; Los recursos antes mencionados serán aplicados a la Educación Básica en servicios personales y gastos de operación.</w:t>
      </w:r>
    </w:p>
    <w:p w:rsidR="00D1277C" w:rsidRDefault="00D1277C" w:rsidP="00782CFD">
      <w:pPr>
        <w:spacing w:after="0" w:line="360" w:lineRule="auto"/>
        <w:jc w:val="both"/>
        <w:rPr>
          <w:rFonts w:ascii="Arial" w:hAnsi="Arial" w:cs="Arial"/>
          <w:sz w:val="24"/>
          <w:szCs w:val="24"/>
        </w:rPr>
      </w:pPr>
    </w:p>
    <w:p w:rsidR="00782CFD" w:rsidRDefault="00782CFD" w:rsidP="00782CFD">
      <w:pPr>
        <w:spacing w:after="0" w:line="360" w:lineRule="auto"/>
        <w:jc w:val="both"/>
        <w:rPr>
          <w:rFonts w:ascii="Arial" w:hAnsi="Arial" w:cs="Arial"/>
          <w:sz w:val="24"/>
          <w:szCs w:val="24"/>
        </w:rPr>
      </w:pPr>
    </w:p>
    <w:p w:rsidR="00782CFD" w:rsidRPr="00782CFD" w:rsidRDefault="00782CFD" w:rsidP="00782CFD">
      <w:pPr>
        <w:spacing w:after="0" w:line="360" w:lineRule="auto"/>
        <w:jc w:val="both"/>
        <w:rPr>
          <w:rFonts w:ascii="Arial" w:hAnsi="Arial" w:cs="Arial"/>
          <w:sz w:val="24"/>
          <w:szCs w:val="24"/>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lastRenderedPageBreak/>
        <w:t>2.</w:t>
      </w:r>
      <w:r w:rsidRPr="00782CFD">
        <w:rPr>
          <w:rFonts w:ascii="Arial" w:hAnsi="Arial" w:cs="Arial"/>
          <w:sz w:val="24"/>
          <w:szCs w:val="24"/>
        </w:rPr>
        <w:tab/>
        <w:t>Fondo de Aportaciones para los Servicios de Salud (</w:t>
      </w:r>
      <w:r w:rsidRPr="00782CFD">
        <w:rPr>
          <w:rFonts w:ascii="Arial" w:hAnsi="Arial" w:cs="Arial"/>
          <w:b/>
          <w:sz w:val="24"/>
          <w:szCs w:val="24"/>
        </w:rPr>
        <w:t>FASSA</w:t>
      </w:r>
      <w:r w:rsidRPr="00782CFD">
        <w:rPr>
          <w:rFonts w:ascii="Arial" w:hAnsi="Arial" w:cs="Arial"/>
          <w:sz w:val="24"/>
          <w:szCs w:val="24"/>
        </w:rPr>
        <w:t>)</w:t>
      </w:r>
    </w:p>
    <w:p w:rsidR="00D1277C" w:rsidRPr="00782CFD" w:rsidRDefault="00D1277C" w:rsidP="00782CFD">
      <w:pPr>
        <w:pStyle w:val="Default"/>
        <w:spacing w:line="360" w:lineRule="auto"/>
        <w:jc w:val="both"/>
        <w:rPr>
          <w:rFonts w:eastAsia="MS Mincho"/>
        </w:rPr>
      </w:pPr>
      <w:r w:rsidRPr="00782CFD">
        <w:rPr>
          <w:rFonts w:eastAsia="MS Mincho"/>
        </w:rPr>
        <w:t xml:space="preserve">Con cargo a las aportaciones que del Fondo les correspondan, </w:t>
      </w:r>
      <w:r w:rsidRPr="00782CFD">
        <w:rPr>
          <w:rFonts w:eastAsiaTheme="minorEastAsia"/>
        </w:rPr>
        <w:t>los Estados recibirán los recursos económicos que los apoyen para ejercer las atribuciones que en los términos de los artículos 3, 13 y 18 de la Ley General de</w:t>
      </w:r>
      <w:r w:rsidRPr="00782CFD">
        <w:t xml:space="preserve"> Salud les competan; el monto </w:t>
      </w:r>
      <w:r w:rsidRPr="00782CFD">
        <w:rPr>
          <w:rFonts w:eastAsia="MS Mincho"/>
        </w:rPr>
        <w:t>se determinará cada año en el Presupuesto de Egresos de la Federación correspondiente, con base en lo establecido en el artículo 30 de la LCF</w:t>
      </w:r>
      <w:r w:rsidR="00D45095">
        <w:rPr>
          <w:rFonts w:eastAsia="MS Mincho"/>
        </w:rPr>
        <w:t>.</w:t>
      </w:r>
    </w:p>
    <w:p w:rsidR="00D1277C" w:rsidRPr="00782CFD" w:rsidRDefault="00D1277C" w:rsidP="00782CFD">
      <w:pPr>
        <w:pStyle w:val="Default"/>
        <w:spacing w:line="360" w:lineRule="auto"/>
        <w:jc w:val="both"/>
        <w:rPr>
          <w:rFonts w:eastAsia="MS Mincho"/>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t>3.</w:t>
      </w:r>
      <w:r w:rsidRPr="00782CFD">
        <w:rPr>
          <w:rFonts w:ascii="Arial" w:hAnsi="Arial" w:cs="Arial"/>
          <w:sz w:val="24"/>
          <w:szCs w:val="24"/>
        </w:rPr>
        <w:tab/>
        <w:t>Fondo de Aportaciones para la Infraestructura Social (</w:t>
      </w:r>
      <w:r w:rsidRPr="00782CFD">
        <w:rPr>
          <w:rFonts w:ascii="Arial" w:hAnsi="Arial" w:cs="Arial"/>
          <w:b/>
          <w:sz w:val="24"/>
          <w:szCs w:val="24"/>
        </w:rPr>
        <w:t>FAIS</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Las aportaciones federales que con cargo al Fondo de Aportaciones para la Infraestructura Social, reciban los Estados (</w:t>
      </w:r>
      <w:r w:rsidRPr="00782CFD">
        <w:rPr>
          <w:rFonts w:ascii="Arial" w:hAnsi="Arial" w:cs="Arial"/>
          <w:b/>
          <w:sz w:val="24"/>
          <w:szCs w:val="24"/>
        </w:rPr>
        <w:t>FISE</w:t>
      </w:r>
      <w:r w:rsidRPr="00782CFD">
        <w:rPr>
          <w:rFonts w:ascii="Arial" w:hAnsi="Arial" w:cs="Arial"/>
          <w:sz w:val="24"/>
          <w:szCs w:val="24"/>
        </w:rPr>
        <w:t>) y los Municipios (</w:t>
      </w:r>
      <w:r w:rsidRPr="00782CFD">
        <w:rPr>
          <w:rFonts w:ascii="Arial" w:hAnsi="Arial" w:cs="Arial"/>
          <w:b/>
          <w:sz w:val="24"/>
          <w:szCs w:val="24"/>
        </w:rPr>
        <w:t>FISM</w:t>
      </w:r>
      <w:r w:rsidRPr="00782CFD">
        <w:rPr>
          <w:rFonts w:ascii="Arial" w:hAnsi="Arial" w:cs="Arial"/>
          <w:sz w:val="24"/>
          <w:szCs w:val="24"/>
        </w:rPr>
        <w:t>), considerando lo señalado en los artículos 32 a 35 de la LCF,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 en los rubros siguientes: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a) </w:t>
      </w:r>
      <w:r w:rsidRPr="00782CFD">
        <w:rPr>
          <w:rFonts w:ascii="Arial" w:hAnsi="Arial" w:cs="Arial"/>
          <w:i/>
          <w:sz w:val="24"/>
          <w:szCs w:val="24"/>
        </w:rPr>
        <w:t>Fondo de Aportaciones para la Infraestructura Social Municipal y de las Demarcaciones Territoriales del Distrito Federal</w:t>
      </w:r>
      <w:r w:rsidRPr="00782CFD">
        <w:rPr>
          <w:rFonts w:ascii="Arial" w:hAnsi="Arial" w:cs="Arial"/>
          <w:sz w:val="24"/>
          <w:szCs w:val="24"/>
        </w:rPr>
        <w:t>: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b) </w:t>
      </w:r>
      <w:r w:rsidRPr="00782CFD">
        <w:rPr>
          <w:rFonts w:ascii="Arial" w:hAnsi="Arial" w:cs="Arial"/>
          <w:i/>
          <w:sz w:val="24"/>
          <w:szCs w:val="24"/>
        </w:rPr>
        <w:t>Fondo de Infraestructura Social para las Entidades</w:t>
      </w:r>
      <w:r w:rsidRPr="00782CFD">
        <w:rPr>
          <w:rFonts w:ascii="Arial" w:hAnsi="Arial" w:cs="Arial"/>
          <w:sz w:val="24"/>
          <w:szCs w:val="24"/>
        </w:rPr>
        <w:t>: obras y acciones que beneficien preferentemente a la población de los municipios, demarcaciones territoriales y localidades que presenten mayores niveles de rezago social y pobreza extrema en la entidad.</w:t>
      </w: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lastRenderedPageBreak/>
        <w:t>4.</w:t>
      </w:r>
      <w:r w:rsidRPr="00782CFD">
        <w:rPr>
          <w:rFonts w:ascii="Arial" w:hAnsi="Arial" w:cs="Arial"/>
          <w:sz w:val="24"/>
          <w:szCs w:val="24"/>
        </w:rPr>
        <w:tab/>
        <w:t>Fondo de Aportaciones para el Fortalecimiento de los Municipios y de las Demarcaciones Territoriales del Distrito Federal (</w:t>
      </w:r>
      <w:r w:rsidRPr="00782CFD">
        <w:rPr>
          <w:rFonts w:ascii="Arial" w:hAnsi="Arial" w:cs="Arial"/>
          <w:b/>
          <w:sz w:val="24"/>
          <w:szCs w:val="24"/>
        </w:rPr>
        <w:t>FORTAMUN DF</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Las aportaciones federales que con cargo al Fondo reciban los municipios a través de las entidades,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t>5.</w:t>
      </w:r>
      <w:r w:rsidRPr="00782CFD">
        <w:rPr>
          <w:rFonts w:ascii="Arial" w:hAnsi="Arial" w:cs="Arial"/>
          <w:sz w:val="24"/>
          <w:szCs w:val="24"/>
        </w:rPr>
        <w:tab/>
        <w:t>Fondo de Aportaciones Múltiples (</w:t>
      </w:r>
      <w:r w:rsidRPr="00782CFD">
        <w:rPr>
          <w:rFonts w:ascii="Arial" w:hAnsi="Arial" w:cs="Arial"/>
          <w:b/>
          <w:sz w:val="24"/>
          <w:szCs w:val="24"/>
        </w:rPr>
        <w:t>FAM</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El artículo 39 de la LCF señala el cálculo de las aportaciones federales que, con cargo al Fondo reciban los Estados de la Federación y el Distrito Federal; mismas que 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t>6.</w:t>
      </w:r>
      <w:r w:rsidRPr="00782CFD">
        <w:rPr>
          <w:rFonts w:ascii="Arial" w:hAnsi="Arial" w:cs="Arial"/>
          <w:sz w:val="24"/>
          <w:szCs w:val="24"/>
        </w:rPr>
        <w:tab/>
        <w:t>Fondo de Aportaciones para la Educación Tecnológica y de Adultos (</w:t>
      </w:r>
      <w:r w:rsidRPr="00782CFD">
        <w:rPr>
          <w:rFonts w:ascii="Arial" w:hAnsi="Arial" w:cs="Arial"/>
          <w:b/>
          <w:sz w:val="24"/>
          <w:szCs w:val="24"/>
        </w:rPr>
        <w:t>FAETA</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Con cargo a las aportaciones del Fondo que les correspondan, los Estados y el Distrito Federal, recibirán los recursos económicos complementarios para prestar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servicios. El monto del Fondo se determinara anualmente en el Presupuesto de Egresos de la Federación con recursos federales, a partir de los elementos señalados en el artículo 43 de la LCF.</w:t>
      </w: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lastRenderedPageBreak/>
        <w:t>7.</w:t>
      </w:r>
      <w:r w:rsidRPr="00782CFD">
        <w:rPr>
          <w:rFonts w:ascii="Arial" w:hAnsi="Arial" w:cs="Arial"/>
          <w:sz w:val="24"/>
          <w:szCs w:val="24"/>
        </w:rPr>
        <w:tab/>
        <w:t>Fondo de Aportaciones para la Seguridad Pública de los Estados y del Distrito Federal (</w:t>
      </w:r>
      <w:r w:rsidRPr="00782CFD">
        <w:rPr>
          <w:rFonts w:ascii="Arial" w:hAnsi="Arial" w:cs="Arial"/>
          <w:b/>
          <w:sz w:val="24"/>
          <w:szCs w:val="24"/>
        </w:rPr>
        <w:t>FASP</w:t>
      </w:r>
      <w:r w:rsidRPr="00782CFD">
        <w:rPr>
          <w:rFonts w:ascii="Arial" w:hAnsi="Arial" w:cs="Arial"/>
          <w:sz w:val="24"/>
          <w:szCs w:val="24"/>
        </w:rPr>
        <w:t>)</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lang w:val="es-ES"/>
        </w:rPr>
        <w:t xml:space="preserve">El artículo 44 de la LCF (Diario Oficial de la Federación, 18 de julio de 2016, p. 30), menciona que: “En el Presupuesto de Egresos de la Federación de cada ejercicio fiscal se hará la distribución de los recursos federales que integran este Fondo entre los distintos rubros de gasto del Sistema Nacional de Seguridad Pública aprobados por el Consejo Nacional de Seguridad Pública”. Dichos recursos </w:t>
      </w:r>
      <w:r w:rsidRPr="00782CFD">
        <w:rPr>
          <w:rFonts w:ascii="Arial" w:hAnsi="Arial" w:cs="Arial"/>
          <w:sz w:val="24"/>
          <w:szCs w:val="24"/>
        </w:rPr>
        <w:t xml:space="preserve">se destinarán exclusivamente para los siguientes conceptos: </w:t>
      </w:r>
      <w:r w:rsidRPr="00782CFD">
        <w:rPr>
          <w:rFonts w:ascii="Arial" w:hAnsi="Arial" w:cs="Arial"/>
          <w:sz w:val="24"/>
          <w:szCs w:val="24"/>
          <w:lang w:val="es-ES"/>
        </w:rPr>
        <w:t xml:space="preserve">profesionalización de los recursos humanos de las instituciones de seguridad pública; </w:t>
      </w:r>
      <w:r w:rsidRPr="00782CFD">
        <w:rPr>
          <w:rFonts w:ascii="Arial" w:hAnsi="Arial" w:cs="Arial"/>
          <w:sz w:val="24"/>
          <w:szCs w:val="24"/>
        </w:rPr>
        <w:t xml:space="preserve">otorgamiento de percepciones extraordinarias; equipamiento de los elementos de las instituciones de seguridad pública; establecimiento y operación de las bases de datos </w:t>
      </w:r>
      <w:proofErr w:type="spellStart"/>
      <w:r w:rsidRPr="00782CFD">
        <w:rPr>
          <w:rFonts w:ascii="Arial" w:hAnsi="Arial" w:cs="Arial"/>
          <w:sz w:val="24"/>
          <w:szCs w:val="24"/>
        </w:rPr>
        <w:t>criminalísticos</w:t>
      </w:r>
      <w:proofErr w:type="spellEnd"/>
      <w:r w:rsidRPr="00782CFD">
        <w:rPr>
          <w:rFonts w:ascii="Arial" w:hAnsi="Arial" w:cs="Arial"/>
          <w:sz w:val="24"/>
          <w:szCs w:val="24"/>
        </w:rPr>
        <w:t xml:space="preserve"> y de personal, la compatibilidad de los servicios de telecomunicaciones de las redes locales, el servicio telefónico nacional de emergencia y el servicio de denuncia anónima; construcción, mejoramiento, ampliación o adquisición de las instalaciones para la procuración e impartición de justicia.</w:t>
      </w: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Dichos recursos deberán aplicarse conforme a la Ley General del Sistema Nacional de Seguridad Pública y los acuerdos aprobados por el Consejo Nacional de Seguridad Pública.</w:t>
      </w:r>
    </w:p>
    <w:p w:rsidR="00D1277C" w:rsidRPr="00782CFD" w:rsidRDefault="00D1277C" w:rsidP="00782CFD">
      <w:pPr>
        <w:spacing w:after="0" w:line="360" w:lineRule="auto"/>
        <w:jc w:val="both"/>
        <w:rPr>
          <w:rFonts w:ascii="Arial" w:hAnsi="Arial" w:cs="Arial"/>
          <w:sz w:val="24"/>
          <w:szCs w:val="24"/>
        </w:rPr>
      </w:pPr>
    </w:p>
    <w:p w:rsidR="00D1277C" w:rsidRPr="00782CFD" w:rsidRDefault="00D1277C" w:rsidP="00782CFD">
      <w:pPr>
        <w:spacing w:after="0" w:line="360" w:lineRule="auto"/>
        <w:ind w:left="567" w:hanging="567"/>
        <w:jc w:val="both"/>
        <w:rPr>
          <w:rFonts w:ascii="Arial" w:hAnsi="Arial" w:cs="Arial"/>
          <w:sz w:val="24"/>
          <w:szCs w:val="24"/>
        </w:rPr>
      </w:pPr>
      <w:r w:rsidRPr="00782CFD">
        <w:rPr>
          <w:rFonts w:ascii="Arial" w:hAnsi="Arial" w:cs="Arial"/>
          <w:sz w:val="24"/>
          <w:szCs w:val="24"/>
        </w:rPr>
        <w:t>8.</w:t>
      </w:r>
      <w:r w:rsidRPr="00782CFD">
        <w:rPr>
          <w:rFonts w:ascii="Arial" w:hAnsi="Arial" w:cs="Arial"/>
          <w:sz w:val="24"/>
          <w:szCs w:val="24"/>
        </w:rPr>
        <w:tab/>
        <w:t>Fondo de Aportaciones para el Fortalecimiento de las Entidades Federativas (</w:t>
      </w:r>
      <w:r w:rsidRPr="00782CFD">
        <w:rPr>
          <w:rFonts w:ascii="Arial" w:hAnsi="Arial" w:cs="Arial"/>
          <w:b/>
          <w:sz w:val="24"/>
          <w:szCs w:val="24"/>
        </w:rPr>
        <w:t>FAFEF</w:t>
      </w:r>
      <w:r w:rsidRPr="00782CFD">
        <w:rPr>
          <w:rFonts w:ascii="Arial" w:hAnsi="Arial" w:cs="Arial"/>
          <w:sz w:val="24"/>
          <w:szCs w:val="24"/>
        </w:rPr>
        <w:t>)</w:t>
      </w:r>
    </w:p>
    <w:p w:rsidR="00D1277C"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El artículo 46 de la LCF señala la determinación de las aportaciones, estableciendo que los recursos del Fondo de Aportaciones para el Fortalecimiento de las Entidades Federativas se destinarán: inversión en infraestructura física; saneamiento financiero, preferentemente a través de la amortización de deuda pública; apoyar el saneamiento de pensiones; modernización de los registros públicos de la propiedad y del comercio locales; modernizar los sistemas de recaudación locales y para desarrollar mecanismos impositivos que permitan </w:t>
      </w:r>
      <w:r w:rsidRPr="00782CFD">
        <w:rPr>
          <w:rFonts w:ascii="Arial" w:hAnsi="Arial" w:cs="Arial"/>
          <w:sz w:val="24"/>
          <w:szCs w:val="24"/>
        </w:rPr>
        <w:lastRenderedPageBreak/>
        <w:t>ampliar la base gravable de las contribuciones locales; fortalecimiento de los proyectos de investigación científica y desarrollo tecnológico.</w:t>
      </w:r>
    </w:p>
    <w:p w:rsidR="00782CFD" w:rsidRPr="00782CFD" w:rsidRDefault="00782CFD" w:rsidP="00782CFD">
      <w:pPr>
        <w:spacing w:after="0" w:line="360" w:lineRule="auto"/>
        <w:jc w:val="both"/>
        <w:rPr>
          <w:rFonts w:ascii="Arial" w:hAnsi="Arial" w:cs="Arial"/>
          <w:sz w:val="24"/>
          <w:szCs w:val="24"/>
        </w:rPr>
      </w:pPr>
    </w:p>
    <w:p w:rsidR="00D1277C" w:rsidRPr="00782CFD" w:rsidRDefault="00D1277C" w:rsidP="00782CFD">
      <w:pPr>
        <w:spacing w:after="0" w:line="360" w:lineRule="auto"/>
        <w:jc w:val="both"/>
        <w:rPr>
          <w:rFonts w:ascii="Arial" w:hAnsi="Arial" w:cs="Arial"/>
          <w:sz w:val="24"/>
          <w:szCs w:val="24"/>
        </w:rPr>
      </w:pPr>
      <w:r w:rsidRPr="00782CFD">
        <w:rPr>
          <w:rFonts w:ascii="Arial" w:hAnsi="Arial" w:cs="Arial"/>
          <w:sz w:val="24"/>
          <w:szCs w:val="24"/>
        </w:rPr>
        <w:t xml:space="preserve">Conforme a lo establecido en la cláusula décima de los “Lineamientos para informar sobre los recursos federales transferidos a las entidades federativas, municipios y demarcaciones territoriales del distrito federal, y de operación de los recursos del ramo general 33” (Diario Oficial de la Federación, 25 de abril de 2013), las dependencias coordinadoras de los Fondos </w:t>
      </w:r>
      <w:r w:rsidR="00884580">
        <w:rPr>
          <w:rFonts w:ascii="Arial" w:hAnsi="Arial" w:cs="Arial"/>
          <w:sz w:val="24"/>
          <w:szCs w:val="24"/>
        </w:rPr>
        <w:t xml:space="preserve">se presentan en </w:t>
      </w:r>
      <w:r w:rsidR="00371B5E">
        <w:rPr>
          <w:rFonts w:ascii="Arial" w:hAnsi="Arial" w:cs="Arial"/>
          <w:sz w:val="24"/>
          <w:szCs w:val="24"/>
        </w:rPr>
        <w:t>la Tabla 9</w:t>
      </w:r>
      <w:r w:rsidR="00884580">
        <w:rPr>
          <w:rFonts w:ascii="Arial" w:hAnsi="Arial" w:cs="Arial"/>
          <w:sz w:val="24"/>
          <w:szCs w:val="24"/>
        </w:rPr>
        <w:t>.</w:t>
      </w:r>
    </w:p>
    <w:p w:rsidR="00D1277C" w:rsidRDefault="00D1277C" w:rsidP="00782CFD">
      <w:pPr>
        <w:spacing w:after="0" w:line="360" w:lineRule="auto"/>
        <w:jc w:val="both"/>
        <w:rPr>
          <w:rFonts w:ascii="Arial" w:hAnsi="Arial" w:cs="Arial"/>
          <w:sz w:val="24"/>
          <w:szCs w:val="24"/>
        </w:rPr>
      </w:pPr>
    </w:p>
    <w:p w:rsidR="00371B5E" w:rsidRPr="00371B5E" w:rsidRDefault="00371B5E" w:rsidP="0050647C">
      <w:pPr>
        <w:pStyle w:val="Epgrafe"/>
        <w:keepNext/>
        <w:spacing w:after="0"/>
        <w:jc w:val="center"/>
        <w:rPr>
          <w:rFonts w:ascii="Arial" w:hAnsi="Arial" w:cs="Arial"/>
          <w:color w:val="auto"/>
          <w:sz w:val="24"/>
          <w:szCs w:val="24"/>
        </w:rPr>
      </w:pPr>
      <w:bookmarkStart w:id="8" w:name="_Toc510526016"/>
      <w:r w:rsidRPr="00371B5E">
        <w:rPr>
          <w:rFonts w:ascii="Arial" w:hAnsi="Arial" w:cs="Arial"/>
          <w:color w:val="auto"/>
          <w:sz w:val="24"/>
          <w:szCs w:val="24"/>
        </w:rPr>
        <w:t xml:space="preserve">Tabla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Tabla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9</w:t>
      </w:r>
      <w:bookmarkEnd w:id="8"/>
      <w:r w:rsidRPr="00371B5E">
        <w:rPr>
          <w:rFonts w:ascii="Arial" w:hAnsi="Arial" w:cs="Arial"/>
          <w:color w:val="auto"/>
          <w:sz w:val="24"/>
          <w:szCs w:val="24"/>
        </w:rPr>
        <w:fldChar w:fldCharType="end"/>
      </w:r>
    </w:p>
    <w:tbl>
      <w:tblPr>
        <w:tblW w:w="8775" w:type="dxa"/>
        <w:tblInd w:w="180" w:type="dxa"/>
        <w:tblBorders>
          <w:top w:val="nil"/>
          <w:left w:val="nil"/>
          <w:bottom w:val="nil"/>
          <w:right w:val="nil"/>
        </w:tblBorders>
        <w:tblLayout w:type="fixed"/>
        <w:tblLook w:val="0000" w:firstRow="0" w:lastRow="0" w:firstColumn="0" w:lastColumn="0" w:noHBand="0" w:noVBand="0"/>
      </w:tblPr>
      <w:tblGrid>
        <w:gridCol w:w="5078"/>
        <w:gridCol w:w="3697"/>
      </w:tblGrid>
      <w:tr w:rsidR="00D1277C" w:rsidRPr="00782CFD" w:rsidTr="00D1277C">
        <w:trPr>
          <w:trHeight w:val="480"/>
        </w:trPr>
        <w:tc>
          <w:tcPr>
            <w:tcW w:w="5078" w:type="dxa"/>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rsidR="00D1277C" w:rsidRPr="00782CFD" w:rsidRDefault="00D1277C" w:rsidP="00D1277C">
            <w:pPr>
              <w:spacing w:after="0" w:line="240" w:lineRule="auto"/>
              <w:jc w:val="center"/>
              <w:rPr>
                <w:rFonts w:ascii="Arial" w:hAnsi="Arial" w:cs="Arial"/>
                <w:b/>
              </w:rPr>
            </w:pPr>
            <w:r w:rsidRPr="00782CFD">
              <w:rPr>
                <w:rFonts w:ascii="Arial" w:hAnsi="Arial" w:cs="Arial"/>
                <w:b/>
              </w:rPr>
              <w:t>Fondo</w:t>
            </w:r>
          </w:p>
        </w:tc>
        <w:tc>
          <w:tcPr>
            <w:tcW w:w="3697" w:type="dxa"/>
            <w:tcBorders>
              <w:top w:val="single" w:sz="8" w:space="0" w:color="000000"/>
              <w:left w:val="single" w:sz="8" w:space="0" w:color="000000"/>
              <w:bottom w:val="single" w:sz="8" w:space="0" w:color="000000"/>
              <w:right w:val="single" w:sz="8" w:space="0" w:color="000000"/>
            </w:tcBorders>
            <w:shd w:val="clear" w:color="auto" w:fill="EEECE1" w:themeFill="background2"/>
            <w:vAlign w:val="center"/>
          </w:tcPr>
          <w:p w:rsidR="00D1277C" w:rsidRPr="00782CFD" w:rsidRDefault="00D1277C" w:rsidP="00D1277C">
            <w:pPr>
              <w:spacing w:after="0" w:line="240" w:lineRule="auto"/>
              <w:jc w:val="center"/>
              <w:rPr>
                <w:rFonts w:ascii="Arial" w:hAnsi="Arial" w:cs="Arial"/>
                <w:b/>
              </w:rPr>
            </w:pPr>
            <w:r w:rsidRPr="00782CFD">
              <w:rPr>
                <w:rFonts w:ascii="Arial" w:hAnsi="Arial" w:cs="Arial"/>
                <w:b/>
              </w:rPr>
              <w:t>Dependencia Coordinadora</w:t>
            </w:r>
          </w:p>
        </w:tc>
      </w:tr>
      <w:tr w:rsidR="00D1277C" w:rsidRPr="00782CFD" w:rsidTr="00D1277C">
        <w:trPr>
          <w:trHeight w:val="591"/>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Fondo de Aportaciones para la Nómina Educativa y Gasto Operativo</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Secretaría de Educación Pública.</w:t>
            </w:r>
          </w:p>
        </w:tc>
      </w:tr>
      <w:tr w:rsidR="00D1277C" w:rsidRPr="00782CFD" w:rsidTr="00D1277C">
        <w:trPr>
          <w:trHeight w:val="465"/>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 xml:space="preserve">Fondo de Aportaciones para los Servicios de Salud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Secretaría de Salud.</w:t>
            </w:r>
          </w:p>
        </w:tc>
      </w:tr>
      <w:tr w:rsidR="00D1277C" w:rsidRPr="00782CFD" w:rsidTr="00D1277C">
        <w:trPr>
          <w:trHeight w:val="450"/>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 xml:space="preserve">Fondo de Aportaciones para la Infraestructura Social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Secretaría de Desarrollo Social.</w:t>
            </w:r>
          </w:p>
        </w:tc>
      </w:tr>
      <w:tr w:rsidR="00D1277C" w:rsidRPr="00782CFD" w:rsidTr="00D1277C">
        <w:trPr>
          <w:trHeight w:val="832"/>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 xml:space="preserve">Fondo de Aportaciones para el Fortalecimiento de los Municipios y de las Demarcaciones Territoriales del Distrito Federal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rPr>
            </w:pPr>
            <w:r w:rsidRPr="00782CFD">
              <w:rPr>
                <w:rFonts w:ascii="Arial" w:hAnsi="Arial" w:cs="Arial"/>
                <w:sz w:val="20"/>
              </w:rPr>
              <w:t>Secretaría de Hacienda y Crédito Público.</w:t>
            </w:r>
          </w:p>
        </w:tc>
      </w:tr>
      <w:tr w:rsidR="00D1277C" w:rsidRPr="00782CFD" w:rsidTr="00D1277C">
        <w:trPr>
          <w:trHeight w:val="1484"/>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szCs w:val="20"/>
              </w:rPr>
            </w:pPr>
            <w:r w:rsidRPr="00782CFD">
              <w:rPr>
                <w:rFonts w:ascii="Arial" w:hAnsi="Arial" w:cs="Arial"/>
                <w:sz w:val="20"/>
                <w:szCs w:val="20"/>
              </w:rPr>
              <w:t xml:space="preserve">Fondo de Aportaciones Múltiples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spacing w:after="0" w:line="240" w:lineRule="auto"/>
              <w:rPr>
                <w:rFonts w:ascii="Arial" w:hAnsi="Arial" w:cs="Arial"/>
                <w:sz w:val="20"/>
                <w:szCs w:val="20"/>
              </w:rPr>
            </w:pPr>
            <w:r w:rsidRPr="00782CFD">
              <w:rPr>
                <w:rFonts w:ascii="Arial" w:hAnsi="Arial" w:cs="Arial"/>
                <w:sz w:val="20"/>
                <w:szCs w:val="20"/>
              </w:rPr>
              <w:t xml:space="preserve">Secretaría de Educación Pública en cuanto al componente de infraestructura educativa; y la </w:t>
            </w:r>
            <w:r w:rsidRPr="00782CFD">
              <w:rPr>
                <w:rFonts w:ascii="Arial" w:hAnsi="Arial" w:cs="Arial"/>
                <w:color w:val="000000"/>
                <w:sz w:val="20"/>
                <w:szCs w:val="20"/>
              </w:rPr>
              <w:t>Secretaría de Salud por lo que se refiere al componente de asistencia social.</w:t>
            </w:r>
          </w:p>
        </w:tc>
      </w:tr>
      <w:tr w:rsidR="00D1277C" w:rsidRPr="00782CFD" w:rsidTr="00D1277C">
        <w:trPr>
          <w:trHeight w:val="618"/>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 xml:space="preserve">Fondo de Aportaciones para la Educación Tecnológica y de Adultos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E578E9">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Secretaría de Educación Pública.</w:t>
            </w:r>
          </w:p>
        </w:tc>
      </w:tr>
      <w:tr w:rsidR="00D1277C" w:rsidRPr="00782CFD" w:rsidTr="00D1277C">
        <w:trPr>
          <w:trHeight w:val="603"/>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 xml:space="preserve">Fondo de Aportaciones para la Seguridad Pública de los Estados y del Distrito Federal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 xml:space="preserve">Secretaría de Gobernación. </w:t>
            </w:r>
          </w:p>
        </w:tc>
      </w:tr>
      <w:tr w:rsidR="00D1277C" w:rsidRPr="00782CFD" w:rsidTr="00D1277C">
        <w:trPr>
          <w:trHeight w:val="624"/>
        </w:trPr>
        <w:tc>
          <w:tcPr>
            <w:tcW w:w="5078"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 xml:space="preserve">Fondo de Aportaciones para el Fortalecimiento de las Entidades Federativas </w:t>
            </w:r>
          </w:p>
        </w:tc>
        <w:tc>
          <w:tcPr>
            <w:tcW w:w="3697" w:type="dxa"/>
            <w:tcBorders>
              <w:top w:val="single" w:sz="8" w:space="0" w:color="000000"/>
              <w:left w:val="single" w:sz="8" w:space="0" w:color="000000"/>
              <w:bottom w:val="single" w:sz="8" w:space="0" w:color="000000"/>
              <w:right w:val="single" w:sz="8" w:space="0" w:color="000000"/>
            </w:tcBorders>
            <w:vAlign w:val="center"/>
          </w:tcPr>
          <w:p w:rsidR="00D1277C" w:rsidRPr="00782CFD" w:rsidRDefault="00D1277C" w:rsidP="00D1277C">
            <w:pPr>
              <w:autoSpaceDE w:val="0"/>
              <w:autoSpaceDN w:val="0"/>
              <w:adjustRightInd w:val="0"/>
              <w:spacing w:before="20" w:after="20" w:line="240" w:lineRule="auto"/>
              <w:rPr>
                <w:rFonts w:ascii="Arial" w:hAnsi="Arial" w:cs="Arial"/>
                <w:color w:val="000000"/>
                <w:sz w:val="20"/>
                <w:szCs w:val="20"/>
              </w:rPr>
            </w:pPr>
            <w:r w:rsidRPr="00782CFD">
              <w:rPr>
                <w:rFonts w:ascii="Arial" w:hAnsi="Arial" w:cs="Arial"/>
                <w:color w:val="000000"/>
                <w:sz w:val="20"/>
                <w:szCs w:val="20"/>
              </w:rPr>
              <w:t xml:space="preserve">Secretaría de Hacienda y Crédito Público. </w:t>
            </w:r>
          </w:p>
        </w:tc>
      </w:tr>
    </w:tbl>
    <w:p w:rsidR="00D1277C" w:rsidRPr="00782CFD" w:rsidRDefault="00D1277C" w:rsidP="00D1277C">
      <w:pPr>
        <w:spacing w:after="0" w:line="360" w:lineRule="auto"/>
        <w:jc w:val="both"/>
        <w:rPr>
          <w:rFonts w:ascii="Arial" w:hAnsi="Arial" w:cs="Arial"/>
          <w:sz w:val="24"/>
          <w:szCs w:val="24"/>
        </w:rPr>
      </w:pPr>
    </w:p>
    <w:p w:rsidR="00D1277C" w:rsidRPr="00782CFD" w:rsidRDefault="00D1277C" w:rsidP="00D1277C">
      <w:pPr>
        <w:spacing w:after="0" w:line="360" w:lineRule="auto"/>
        <w:jc w:val="both"/>
        <w:rPr>
          <w:rFonts w:ascii="Arial" w:hAnsi="Arial" w:cs="Arial"/>
          <w:sz w:val="24"/>
          <w:szCs w:val="24"/>
        </w:rPr>
      </w:pPr>
      <w:r w:rsidRPr="00782CFD">
        <w:rPr>
          <w:rFonts w:ascii="Arial" w:hAnsi="Arial" w:cs="Arial"/>
          <w:sz w:val="24"/>
          <w:szCs w:val="24"/>
        </w:rPr>
        <w:t>A continuación se presentan las aportaciones del Ramo General 33, ministradas por parte del Gobierno Federal (SHCP) al Estado de México, durante el periodo 1998 – 2016</w:t>
      </w:r>
      <w:r w:rsidR="00884580">
        <w:rPr>
          <w:rFonts w:ascii="Arial" w:hAnsi="Arial" w:cs="Arial"/>
          <w:sz w:val="24"/>
          <w:szCs w:val="24"/>
        </w:rPr>
        <w:t xml:space="preserve"> (</w:t>
      </w:r>
      <w:r w:rsidR="00371B5E">
        <w:rPr>
          <w:rFonts w:ascii="Arial" w:hAnsi="Arial" w:cs="Arial"/>
          <w:sz w:val="24"/>
          <w:szCs w:val="24"/>
        </w:rPr>
        <w:t>Tabla 10</w:t>
      </w:r>
      <w:r w:rsidR="00884580">
        <w:rPr>
          <w:rFonts w:ascii="Arial" w:hAnsi="Arial" w:cs="Arial"/>
          <w:sz w:val="24"/>
          <w:szCs w:val="24"/>
        </w:rPr>
        <w:t>)</w:t>
      </w:r>
      <w:r w:rsidRPr="00782CFD">
        <w:rPr>
          <w:rFonts w:ascii="Arial" w:hAnsi="Arial" w:cs="Arial"/>
          <w:sz w:val="24"/>
          <w:szCs w:val="24"/>
        </w:rPr>
        <w:t>.</w:t>
      </w:r>
    </w:p>
    <w:p w:rsidR="00371B5E" w:rsidRPr="00371B5E" w:rsidRDefault="00371B5E" w:rsidP="0050647C">
      <w:pPr>
        <w:pStyle w:val="Epgrafe"/>
        <w:keepNext/>
        <w:spacing w:after="0"/>
        <w:jc w:val="center"/>
        <w:rPr>
          <w:rFonts w:ascii="Arial" w:hAnsi="Arial" w:cs="Arial"/>
          <w:color w:val="auto"/>
          <w:sz w:val="24"/>
          <w:szCs w:val="24"/>
        </w:rPr>
      </w:pPr>
      <w:bookmarkStart w:id="9" w:name="_Toc510526017"/>
      <w:r w:rsidRPr="00371B5E">
        <w:rPr>
          <w:rFonts w:ascii="Arial" w:hAnsi="Arial" w:cs="Arial"/>
          <w:color w:val="auto"/>
          <w:sz w:val="24"/>
          <w:szCs w:val="24"/>
        </w:rPr>
        <w:lastRenderedPageBreak/>
        <w:t xml:space="preserve">Tabla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Tabla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10</w:t>
      </w:r>
      <w:bookmarkEnd w:id="9"/>
      <w:r w:rsidRPr="00371B5E">
        <w:rPr>
          <w:rFonts w:ascii="Arial" w:hAnsi="Arial" w:cs="Arial"/>
          <w:color w:val="auto"/>
          <w:sz w:val="24"/>
          <w:szCs w:val="24"/>
        </w:rPr>
        <w:fldChar w:fldCharType="end"/>
      </w:r>
    </w:p>
    <w:p w:rsidR="00D1277C" w:rsidRDefault="00D1277C" w:rsidP="00D1277C">
      <w:pPr>
        <w:spacing w:after="0" w:line="240" w:lineRule="auto"/>
        <w:jc w:val="both"/>
        <w:rPr>
          <w:rFonts w:ascii="Arial" w:hAnsi="Arial" w:cs="Arial"/>
        </w:rPr>
      </w:pPr>
      <w:r w:rsidRPr="00930104">
        <w:rPr>
          <w:noProof/>
          <w:lang w:eastAsia="es-MX"/>
        </w:rPr>
        <w:drawing>
          <wp:inline distT="0" distB="0" distL="0" distR="0" wp14:anchorId="5E2B8FCA" wp14:editId="483833A4">
            <wp:extent cx="5763557" cy="1111250"/>
            <wp:effectExtent l="19050" t="19050" r="2794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7193" cy="1113879"/>
                    </a:xfrm>
                    <a:prstGeom prst="rect">
                      <a:avLst/>
                    </a:prstGeom>
                    <a:noFill/>
                    <a:ln>
                      <a:solidFill>
                        <a:schemeClr val="tx1"/>
                      </a:solidFill>
                    </a:ln>
                  </pic:spPr>
                </pic:pic>
              </a:graphicData>
            </a:graphic>
          </wp:inline>
        </w:drawing>
      </w:r>
    </w:p>
    <w:p w:rsidR="00D1277C" w:rsidRPr="00CD5C6F" w:rsidRDefault="00D1277C" w:rsidP="00D1277C">
      <w:pPr>
        <w:spacing w:after="0" w:line="240" w:lineRule="auto"/>
        <w:jc w:val="center"/>
        <w:rPr>
          <w:rFonts w:ascii="Arial" w:hAnsi="Arial" w:cs="Arial"/>
          <w:sz w:val="6"/>
          <w:szCs w:val="6"/>
        </w:rPr>
      </w:pPr>
    </w:p>
    <w:p w:rsidR="00D1277C" w:rsidRPr="00CD5C6F" w:rsidRDefault="00D1277C" w:rsidP="00D1277C">
      <w:pPr>
        <w:spacing w:after="0" w:line="360" w:lineRule="auto"/>
        <w:jc w:val="both"/>
        <w:rPr>
          <w:rFonts w:ascii="Arial" w:hAnsi="Arial" w:cs="Arial"/>
          <w:sz w:val="16"/>
          <w:szCs w:val="16"/>
        </w:rPr>
      </w:pPr>
      <w:r w:rsidRPr="00CD5C6F">
        <w:rPr>
          <w:rFonts w:ascii="Arial" w:hAnsi="Arial" w:cs="Arial"/>
          <w:b/>
          <w:sz w:val="16"/>
          <w:szCs w:val="16"/>
        </w:rPr>
        <w:t>FUENTE:</w:t>
      </w:r>
      <w:r w:rsidRPr="00CD5C6F">
        <w:rPr>
          <w:rFonts w:ascii="Arial" w:hAnsi="Arial" w:cs="Arial"/>
          <w:sz w:val="16"/>
          <w:szCs w:val="16"/>
        </w:rPr>
        <w:t xml:space="preserve"> www.shcp.gob.mx</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Como se puede observar en el cuadro anterior, el incremento en la ministración de recursos para el 2016 con respecto al 2015, es del 4.13 por ciento; lo que representan 2 mil 515.5 millones de pesos.</w:t>
      </w:r>
    </w:p>
    <w:p w:rsidR="00201581" w:rsidRPr="00884580" w:rsidRDefault="00201581"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D1277C" w:rsidRPr="00884580" w:rsidRDefault="00D1277C" w:rsidP="00D1277C">
      <w:pPr>
        <w:spacing w:after="0" w:line="360" w:lineRule="auto"/>
        <w:rPr>
          <w:rFonts w:ascii="Arial" w:eastAsia="Times New Roman" w:hAnsi="Arial" w:cs="Arial"/>
          <w:b/>
          <w:color w:val="000000"/>
          <w:sz w:val="24"/>
          <w:szCs w:val="24"/>
        </w:rPr>
      </w:pPr>
      <w:r w:rsidRPr="00884580">
        <w:rPr>
          <w:rFonts w:ascii="Arial" w:eastAsia="Times New Roman" w:hAnsi="Arial" w:cs="Arial"/>
          <w:b/>
          <w:color w:val="000000"/>
          <w:sz w:val="24"/>
          <w:szCs w:val="24"/>
        </w:rPr>
        <w:lastRenderedPageBreak/>
        <w:t>3.2</w:t>
      </w:r>
      <w:r w:rsidRPr="00884580">
        <w:rPr>
          <w:rFonts w:ascii="Arial" w:eastAsia="Times New Roman" w:hAnsi="Arial" w:cs="Arial"/>
          <w:b/>
          <w:color w:val="000000"/>
          <w:sz w:val="24"/>
          <w:szCs w:val="24"/>
        </w:rPr>
        <w:tab/>
        <w:t xml:space="preserve">Fiscalización del Ramo General 33, a través de Indicadores </w:t>
      </w:r>
      <w:r w:rsidR="006821D6" w:rsidRPr="00884580">
        <w:rPr>
          <w:rFonts w:ascii="Arial" w:eastAsia="Times New Roman" w:hAnsi="Arial" w:cs="Arial"/>
          <w:b/>
          <w:color w:val="000000"/>
          <w:sz w:val="24"/>
          <w:szCs w:val="24"/>
        </w:rPr>
        <w:t xml:space="preserve">del </w:t>
      </w:r>
      <w:r w:rsidRPr="00884580">
        <w:rPr>
          <w:rFonts w:ascii="Arial" w:eastAsia="Times New Roman" w:hAnsi="Arial" w:cs="Arial"/>
          <w:b/>
          <w:color w:val="000000"/>
          <w:sz w:val="24"/>
          <w:szCs w:val="24"/>
        </w:rPr>
        <w:t>SIEP</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Como se ha mencionado en párrafos anteriores, el OSFEM (particularmente la AEEP), realiza la fiscalización de los Fondos del Ramo General 33 a través del diseño y construcción de indicadores, donde se aplicó la metodología del Sistema Integral de Evaluación Programática (SIEP), que incluye la descripción de los indicadores, definición de sus elementos, componentes críticos y verificación de las dimensiones de evaluación: Eficacia, Eficiencia, Economía, Calidad e Impacto.</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El SIEP es un sistema de información automatizado, herramienta informática desarrollada por el OSFEM en conjunto con la Universidad Autónoma del Estado de México (UAEM), que facilita la fiscalización de los recursos públicos mediante indicadores; contiene un Manual de Usuario que está desarrollado de una manera sencilla y práctica para una mejor comprensión con la finalidad de mostrar las especificaciones técnicas para su correcta operación. Este sistema opera bajo un esquema de permisos basado en los perfiles de cada usuario, los cuales se definen con base en el nivel de autoridad dentro del OSFEM; el acceso o la asignación de opciones para la operación del sistema, esta correlacionada directamente con las características específicas del usuario. Así mismo, cuenta con cuatro apartados o módulos, los cuales se describen a continuación.</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En el primer apartado, referido al “Módulo de Indicadores”, se da a conocer la forma de administrar los indicadores recurriendo a las fórmulas de cálculo con las que cuenta el sistema. Con lo cual se darán de alta y baja indicadores, así como su consulta, modificación y eliminación.</w:t>
      </w:r>
    </w:p>
    <w:p w:rsidR="00884580" w:rsidRDefault="00884580"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 xml:space="preserve">Con respecto al segundo apartado, “Módulo de Evaluación”, se presenta la forma en que se capturan los valores con respecto a cada variable de los indicadores, de acuerdo a los periodos que se hayan establecido para su fiscalización. De tal </w:t>
      </w:r>
      <w:r w:rsidRPr="00884580">
        <w:rPr>
          <w:rFonts w:ascii="Arial" w:hAnsi="Arial" w:cs="Arial"/>
          <w:sz w:val="24"/>
          <w:szCs w:val="24"/>
        </w:rPr>
        <w:lastRenderedPageBreak/>
        <w:t>manera que se conocerán las fórmulas de cálculo que contiene el sistema, con el fin de conocer la calificación y el rango que obtiene el Ente Fiscalizado.</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El tercer apartado denominado “Módulo de Administración”, describe la forma en que se administran los catálogos que contiene el sistema, lo anterior para el manejo de los periodos de evaluación y los perfiles de autorización de cada usuario, establecidos con base en los niveles jerárquicos.</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Dentro del cuarto apartado, “Módulo de Reportes”, se generan diversos reportes a través de gráficas que representan el comportamiento de los indicadores y así, llevar a cabo el seguimiento en el cumplimiento de las metas y objetivos de cada uno de los Fondos fiscalizados.</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En las siguientes imágenes se presentan dos de los reportes generados por el SIEP y que son presentados a los Entes Fiscalizados y a la Auditoría Superior de la Federación:</w:t>
      </w:r>
    </w:p>
    <w:p w:rsidR="00D1277C" w:rsidRPr="00CD2BA3" w:rsidRDefault="00D1277C" w:rsidP="00884580">
      <w:pPr>
        <w:spacing w:after="0" w:line="360" w:lineRule="auto"/>
        <w:jc w:val="both"/>
        <w:rPr>
          <w:rFonts w:ascii="Arial" w:hAnsi="Arial" w:cs="Arial"/>
          <w:noProof/>
          <w:sz w:val="12"/>
          <w:szCs w:val="24"/>
        </w:rPr>
      </w:pPr>
    </w:p>
    <w:p w:rsidR="00371B5E" w:rsidRPr="00371B5E" w:rsidRDefault="00371B5E" w:rsidP="0050647C">
      <w:pPr>
        <w:pStyle w:val="Epgrafe"/>
        <w:keepNext/>
        <w:spacing w:after="0"/>
        <w:jc w:val="center"/>
        <w:rPr>
          <w:rFonts w:ascii="Arial" w:hAnsi="Arial" w:cs="Arial"/>
          <w:color w:val="auto"/>
          <w:sz w:val="24"/>
          <w:szCs w:val="24"/>
        </w:rPr>
      </w:pPr>
      <w:r w:rsidRPr="00371B5E">
        <w:rPr>
          <w:rFonts w:ascii="Arial" w:hAnsi="Arial" w:cs="Arial"/>
          <w:color w:val="auto"/>
          <w:sz w:val="24"/>
          <w:szCs w:val="24"/>
        </w:rPr>
        <w:t xml:space="preserve">Imagen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Imagen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1</w:t>
      </w:r>
      <w:r w:rsidRPr="00371B5E">
        <w:rPr>
          <w:rFonts w:ascii="Arial" w:hAnsi="Arial" w:cs="Arial"/>
          <w:color w:val="auto"/>
          <w:sz w:val="24"/>
          <w:szCs w:val="24"/>
        </w:rPr>
        <w:fldChar w:fldCharType="end"/>
      </w:r>
    </w:p>
    <w:p w:rsidR="00D1277C" w:rsidRDefault="00D1277C" w:rsidP="00D1277C">
      <w:pPr>
        <w:spacing w:after="0" w:line="360" w:lineRule="auto"/>
        <w:jc w:val="center"/>
        <w:rPr>
          <w:rFonts w:ascii="Arial" w:hAnsi="Arial" w:cs="Arial"/>
        </w:rPr>
      </w:pPr>
      <w:r>
        <w:rPr>
          <w:noProof/>
          <w:lang w:eastAsia="es-MX"/>
        </w:rPr>
        <w:drawing>
          <wp:inline distT="0" distB="0" distL="0" distR="0" wp14:anchorId="2F21ECB3" wp14:editId="43826BDD">
            <wp:extent cx="4864100" cy="31626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738" t="11956" r="9966" b="4512"/>
                    <a:stretch/>
                  </pic:blipFill>
                  <pic:spPr bwMode="auto">
                    <a:xfrm>
                      <a:off x="0" y="0"/>
                      <a:ext cx="4869002" cy="31658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726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6495"/>
      </w:tblGrid>
      <w:tr w:rsidR="00110392" w:rsidRPr="00110392" w:rsidTr="00884580">
        <w:trPr>
          <w:trHeight w:val="206"/>
        </w:trPr>
        <w:tc>
          <w:tcPr>
            <w:tcW w:w="770" w:type="dxa"/>
          </w:tcPr>
          <w:p w:rsidR="00110392" w:rsidRPr="00110392" w:rsidRDefault="00110392" w:rsidP="000E1BD6">
            <w:pPr>
              <w:spacing w:line="240" w:lineRule="auto"/>
              <w:ind w:left="-96" w:right="-250" w:hanging="14"/>
              <w:rPr>
                <w:rFonts w:ascii="Arial" w:hAnsi="Arial" w:cs="Arial"/>
                <w:b/>
                <w:sz w:val="16"/>
                <w:szCs w:val="16"/>
                <w:lang w:val="es-MX"/>
              </w:rPr>
            </w:pPr>
            <w:r w:rsidRPr="00110392">
              <w:rPr>
                <w:rFonts w:ascii="Arial" w:hAnsi="Arial" w:cs="Arial"/>
                <w:b/>
                <w:sz w:val="16"/>
                <w:szCs w:val="16"/>
                <w:lang w:val="es-MX"/>
              </w:rPr>
              <w:t>FUENTE:</w:t>
            </w:r>
          </w:p>
        </w:tc>
        <w:tc>
          <w:tcPr>
            <w:tcW w:w="6495" w:type="dxa"/>
          </w:tcPr>
          <w:p w:rsidR="00110392" w:rsidRPr="00110392" w:rsidRDefault="00110392" w:rsidP="000E1BD6">
            <w:pPr>
              <w:spacing w:line="240" w:lineRule="auto"/>
              <w:ind w:left="-96" w:right="-94"/>
              <w:rPr>
                <w:rFonts w:ascii="Arial" w:hAnsi="Arial" w:cs="Arial"/>
                <w:sz w:val="16"/>
                <w:szCs w:val="16"/>
                <w:lang w:val="es-MX"/>
              </w:rPr>
            </w:pPr>
            <w:r w:rsidRPr="00110392">
              <w:rPr>
                <w:rFonts w:ascii="Arial" w:hAnsi="Arial" w:cs="Arial"/>
                <w:sz w:val="16"/>
                <w:szCs w:val="16"/>
                <w:lang w:val="es-MX"/>
              </w:rPr>
              <w:t>Elaboración del OSFEM</w:t>
            </w:r>
            <w:r>
              <w:rPr>
                <w:rFonts w:ascii="Arial" w:hAnsi="Arial" w:cs="Arial"/>
                <w:sz w:val="16"/>
                <w:szCs w:val="16"/>
                <w:lang w:val="es-MX"/>
              </w:rPr>
              <w:t>, con datos a diciembre del 2016</w:t>
            </w:r>
            <w:r w:rsidRPr="00110392">
              <w:rPr>
                <w:rFonts w:ascii="Arial" w:hAnsi="Arial" w:cs="Arial"/>
                <w:sz w:val="16"/>
                <w:szCs w:val="16"/>
                <w:lang w:val="es-MX"/>
              </w:rPr>
              <w:t>.</w:t>
            </w:r>
          </w:p>
        </w:tc>
      </w:tr>
    </w:tbl>
    <w:p w:rsidR="00D1277C" w:rsidRPr="00884580" w:rsidRDefault="00D1277C" w:rsidP="00D1277C">
      <w:pPr>
        <w:spacing w:after="0" w:line="360" w:lineRule="auto"/>
        <w:jc w:val="both"/>
        <w:rPr>
          <w:rFonts w:ascii="Arial" w:hAnsi="Arial" w:cs="Arial"/>
          <w:sz w:val="24"/>
          <w:szCs w:val="24"/>
        </w:rPr>
      </w:pPr>
    </w:p>
    <w:p w:rsidR="00371B5E" w:rsidRPr="00371B5E" w:rsidRDefault="00371B5E" w:rsidP="0050647C">
      <w:pPr>
        <w:pStyle w:val="Epgrafe"/>
        <w:keepNext/>
        <w:spacing w:after="0"/>
        <w:jc w:val="center"/>
        <w:rPr>
          <w:rFonts w:ascii="Arial" w:hAnsi="Arial" w:cs="Arial"/>
          <w:color w:val="auto"/>
          <w:sz w:val="24"/>
          <w:szCs w:val="24"/>
        </w:rPr>
      </w:pPr>
      <w:r w:rsidRPr="00371B5E">
        <w:rPr>
          <w:rFonts w:ascii="Arial" w:hAnsi="Arial" w:cs="Arial"/>
          <w:color w:val="auto"/>
          <w:sz w:val="24"/>
          <w:szCs w:val="24"/>
        </w:rPr>
        <w:t xml:space="preserve">Imagen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Imagen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2</w:t>
      </w:r>
      <w:r w:rsidRPr="00371B5E">
        <w:rPr>
          <w:rFonts w:ascii="Arial" w:hAnsi="Arial" w:cs="Arial"/>
          <w:color w:val="auto"/>
          <w:sz w:val="24"/>
          <w:szCs w:val="24"/>
        </w:rPr>
        <w:fldChar w:fldCharType="end"/>
      </w:r>
    </w:p>
    <w:p w:rsidR="00D1277C" w:rsidRDefault="00D1277C" w:rsidP="00D1277C">
      <w:pPr>
        <w:spacing w:after="0" w:line="360" w:lineRule="auto"/>
        <w:jc w:val="center"/>
        <w:rPr>
          <w:rFonts w:ascii="Arial" w:hAnsi="Arial" w:cs="Arial"/>
        </w:rPr>
      </w:pPr>
      <w:r>
        <w:rPr>
          <w:noProof/>
          <w:lang w:eastAsia="es-MX"/>
        </w:rPr>
        <w:drawing>
          <wp:inline distT="0" distB="0" distL="0" distR="0" wp14:anchorId="7D70D925" wp14:editId="6D4754CD">
            <wp:extent cx="5116630" cy="504825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891" t="12168" r="23785" b="5233"/>
                    <a:stretch/>
                  </pic:blipFill>
                  <pic:spPr bwMode="auto">
                    <a:xfrm>
                      <a:off x="0" y="0"/>
                      <a:ext cx="5128312" cy="50597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6582"/>
      </w:tblGrid>
      <w:tr w:rsidR="00AC03A8" w:rsidRPr="00AC03A8" w:rsidTr="00AC03A8">
        <w:trPr>
          <w:trHeight w:val="206"/>
        </w:trPr>
        <w:tc>
          <w:tcPr>
            <w:tcW w:w="789" w:type="dxa"/>
          </w:tcPr>
          <w:p w:rsidR="00AC03A8" w:rsidRPr="00AC03A8" w:rsidRDefault="00AC03A8"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6582" w:type="dxa"/>
          </w:tcPr>
          <w:p w:rsidR="00AC03A8" w:rsidRPr="00AC03A8" w:rsidRDefault="00AC03A8" w:rsidP="008A0B6F">
            <w:pPr>
              <w:spacing w:line="240" w:lineRule="auto"/>
              <w:ind w:left="-96" w:right="-94"/>
              <w:rPr>
                <w:rFonts w:ascii="Arial" w:hAnsi="Arial" w:cs="Arial"/>
                <w:sz w:val="16"/>
                <w:szCs w:val="16"/>
                <w:lang w:val="es-MX"/>
              </w:rPr>
            </w:pPr>
            <w:r w:rsidRPr="00AC03A8">
              <w:rPr>
                <w:rFonts w:ascii="Arial" w:hAnsi="Arial" w:cs="Arial"/>
                <w:sz w:val="16"/>
                <w:szCs w:val="16"/>
                <w:lang w:val="es-MX"/>
              </w:rPr>
              <w:t>Elaboración del OSFEM</w:t>
            </w:r>
            <w:r w:rsidR="008A0B6F">
              <w:rPr>
                <w:rFonts w:ascii="Arial" w:hAnsi="Arial" w:cs="Arial"/>
                <w:sz w:val="16"/>
                <w:szCs w:val="16"/>
                <w:lang w:val="es-MX"/>
              </w:rPr>
              <w:t xml:space="preserve"> con datos a diciembre del 2016</w:t>
            </w:r>
            <w:r w:rsidR="008A0B6F" w:rsidRPr="00110392">
              <w:rPr>
                <w:rFonts w:ascii="Arial" w:hAnsi="Arial" w:cs="Arial"/>
                <w:sz w:val="16"/>
                <w:szCs w:val="16"/>
                <w:lang w:val="es-MX"/>
              </w:rPr>
              <w:t>.</w:t>
            </w:r>
          </w:p>
        </w:tc>
      </w:tr>
    </w:tbl>
    <w:p w:rsidR="00D1277C" w:rsidRPr="00884580" w:rsidRDefault="00D1277C"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Default="00884580" w:rsidP="00D1277C">
      <w:pPr>
        <w:spacing w:after="0" w:line="360" w:lineRule="auto"/>
        <w:jc w:val="both"/>
        <w:rPr>
          <w:rFonts w:ascii="Arial" w:hAnsi="Arial" w:cs="Arial"/>
          <w:sz w:val="24"/>
          <w:szCs w:val="24"/>
        </w:rPr>
      </w:pPr>
    </w:p>
    <w:p w:rsidR="0050647C" w:rsidRPr="00884580" w:rsidRDefault="0050647C"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884580" w:rsidRPr="00884580" w:rsidRDefault="00884580" w:rsidP="00D1277C">
      <w:pPr>
        <w:spacing w:after="0" w:line="360" w:lineRule="auto"/>
        <w:jc w:val="both"/>
        <w:rPr>
          <w:rFonts w:ascii="Arial" w:hAnsi="Arial" w:cs="Arial"/>
          <w:sz w:val="24"/>
          <w:szCs w:val="24"/>
        </w:rPr>
      </w:pPr>
    </w:p>
    <w:p w:rsidR="00D1277C" w:rsidRPr="00884580" w:rsidRDefault="00D1277C" w:rsidP="00D1277C">
      <w:pPr>
        <w:spacing w:after="0" w:line="360" w:lineRule="auto"/>
        <w:rPr>
          <w:rFonts w:ascii="Arial" w:eastAsia="Times New Roman" w:hAnsi="Arial" w:cs="Arial"/>
          <w:b/>
          <w:color w:val="000000"/>
          <w:sz w:val="24"/>
          <w:szCs w:val="24"/>
        </w:rPr>
      </w:pPr>
      <w:r w:rsidRPr="00884580">
        <w:rPr>
          <w:rFonts w:ascii="Arial" w:eastAsia="Times New Roman" w:hAnsi="Arial" w:cs="Arial"/>
          <w:b/>
          <w:color w:val="000000"/>
          <w:sz w:val="24"/>
          <w:szCs w:val="24"/>
        </w:rPr>
        <w:lastRenderedPageBreak/>
        <w:t>3.3</w:t>
      </w:r>
      <w:r w:rsidRPr="00884580">
        <w:rPr>
          <w:rFonts w:ascii="Arial" w:eastAsia="Times New Roman" w:hAnsi="Arial" w:cs="Arial"/>
          <w:b/>
          <w:color w:val="000000"/>
          <w:sz w:val="24"/>
          <w:szCs w:val="24"/>
        </w:rPr>
        <w:tab/>
        <w:t>Indicadores por etapa de evaluación</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Las leyes Federal de Presupuesto y Responsabilidad Hacendaria, y de Coordinación Fiscal, así como la Ley General de Contabilidad Gubernamental y los “Lineamientos para informar sobre los recursos federales transferidos a las entidades federativas, municipios y demarcaciones territoriales del Distrito Federal, y de operación de los recursos del Ramo General 33”, establecen que las entidades federativas tienen la obligación de informar sobre el ejercicio, destino y resultados obtenidos respecto de los recursos públicos federales que les sean transferidos, como es el caso de las aportaciones federales.</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Derivado de lo anterior, las Entidades Fiscalizadas con respecto al Ramo General 33 son: Secretaría de Finanzas, Secretaría General de Gobierno, Instituto de Salud del Estado de México (ISEM), Sistema para el Desarrollo Integral de la Familia del Estado de México (DIFEM) y el Colegio de Educación Profesional Técnica del Estado de México (CONALEP).</w:t>
      </w:r>
    </w:p>
    <w:p w:rsidR="00D1277C" w:rsidRPr="00884580" w:rsidRDefault="00D1277C" w:rsidP="00D1277C">
      <w:pPr>
        <w:spacing w:after="0" w:line="360" w:lineRule="auto"/>
        <w:jc w:val="both"/>
        <w:rPr>
          <w:rFonts w:ascii="Arial" w:hAnsi="Arial" w:cs="Arial"/>
          <w:sz w:val="24"/>
          <w:szCs w:val="24"/>
        </w:rPr>
      </w:pPr>
    </w:p>
    <w:p w:rsidR="00D1277C" w:rsidRPr="00884580" w:rsidRDefault="00D1277C" w:rsidP="00D1277C">
      <w:pPr>
        <w:spacing w:after="0" w:line="360" w:lineRule="auto"/>
        <w:jc w:val="both"/>
        <w:rPr>
          <w:rFonts w:ascii="Arial" w:hAnsi="Arial" w:cs="Arial"/>
          <w:sz w:val="24"/>
          <w:szCs w:val="24"/>
        </w:rPr>
      </w:pPr>
      <w:r w:rsidRPr="00884580">
        <w:rPr>
          <w:rFonts w:ascii="Arial" w:hAnsi="Arial" w:cs="Arial"/>
          <w:sz w:val="24"/>
          <w:szCs w:val="24"/>
        </w:rPr>
        <w:t>Tal encomienda corresponde a la Subdirección de Evaluación de Programas Federales (SEPF) de la Auditoría Especial de Evaluación de Programas, en virtud de que uno de sus objetivos busca evaluar el desempeño de los Fondos de Aportaciones, a fin de conocer su impacto social y económico, por lo que dicha función se ejerce desde el año 2006</w:t>
      </w:r>
      <w:r w:rsidRPr="00884580">
        <w:rPr>
          <w:rFonts w:ascii="Arial" w:hAnsi="Arial" w:cs="Arial"/>
          <w:b/>
          <w:sz w:val="24"/>
          <w:szCs w:val="24"/>
          <w:vertAlign w:val="superscript"/>
        </w:rPr>
        <w:footnoteReference w:id="7"/>
      </w:r>
      <w:r w:rsidRPr="00884580">
        <w:rPr>
          <w:rFonts w:ascii="Arial" w:hAnsi="Arial" w:cs="Arial"/>
          <w:sz w:val="24"/>
          <w:szCs w:val="24"/>
        </w:rPr>
        <w:t xml:space="preserve">. La SEPF lleva a cabo la fiscalización de manera contemporánea </w:t>
      </w:r>
      <w:r w:rsidR="00E61CCB">
        <w:rPr>
          <w:rFonts w:ascii="Arial" w:hAnsi="Arial" w:cs="Arial"/>
          <w:sz w:val="24"/>
          <w:szCs w:val="24"/>
        </w:rPr>
        <w:t>con</w:t>
      </w:r>
      <w:r w:rsidRPr="00884580">
        <w:rPr>
          <w:rFonts w:ascii="Arial" w:hAnsi="Arial" w:cs="Arial"/>
          <w:sz w:val="24"/>
          <w:szCs w:val="24"/>
        </w:rPr>
        <w:t xml:space="preserve"> la aplicación de los recursos del Ramo General 33</w:t>
      </w:r>
      <w:r w:rsidR="00E61CCB">
        <w:rPr>
          <w:rFonts w:ascii="Arial" w:hAnsi="Arial" w:cs="Arial"/>
          <w:sz w:val="24"/>
          <w:szCs w:val="24"/>
        </w:rPr>
        <w:t>,</w:t>
      </w:r>
      <w:r w:rsidRPr="00884580">
        <w:rPr>
          <w:rFonts w:ascii="Arial" w:hAnsi="Arial" w:cs="Arial"/>
          <w:sz w:val="24"/>
          <w:szCs w:val="24"/>
        </w:rPr>
        <w:t xml:space="preserve"> a través de cinco indicadores de desempeño</w:t>
      </w:r>
      <w:r w:rsidR="004155EA">
        <w:rPr>
          <w:rFonts w:ascii="Arial" w:hAnsi="Arial" w:cs="Arial"/>
          <w:sz w:val="24"/>
          <w:szCs w:val="24"/>
        </w:rPr>
        <w:t>,</w:t>
      </w:r>
      <w:r w:rsidR="00884580">
        <w:rPr>
          <w:rFonts w:ascii="Arial" w:hAnsi="Arial" w:cs="Arial"/>
          <w:sz w:val="24"/>
          <w:szCs w:val="24"/>
        </w:rPr>
        <w:t xml:space="preserve"> tomando en cuenta que </w:t>
      </w:r>
      <w:r w:rsidR="00E61CCB">
        <w:rPr>
          <w:rFonts w:ascii="Arial" w:hAnsi="Arial" w:cs="Arial"/>
          <w:sz w:val="24"/>
          <w:szCs w:val="24"/>
        </w:rPr>
        <w:t>la</w:t>
      </w:r>
      <w:r w:rsidR="00884580">
        <w:rPr>
          <w:rFonts w:ascii="Arial" w:hAnsi="Arial" w:cs="Arial"/>
          <w:sz w:val="24"/>
          <w:szCs w:val="24"/>
        </w:rPr>
        <w:t xml:space="preserve"> transferencia y </w:t>
      </w:r>
      <w:r w:rsidR="00E61CCB">
        <w:rPr>
          <w:rFonts w:ascii="Arial" w:hAnsi="Arial" w:cs="Arial"/>
          <w:sz w:val="24"/>
          <w:szCs w:val="24"/>
        </w:rPr>
        <w:t>el depó</w:t>
      </w:r>
      <w:r w:rsidR="00884580">
        <w:rPr>
          <w:rFonts w:ascii="Arial" w:hAnsi="Arial" w:cs="Arial"/>
          <w:sz w:val="24"/>
          <w:szCs w:val="24"/>
        </w:rPr>
        <w:t xml:space="preserve">sito </w:t>
      </w:r>
      <w:r w:rsidR="00E61CCB">
        <w:rPr>
          <w:rFonts w:ascii="Arial" w:hAnsi="Arial" w:cs="Arial"/>
          <w:sz w:val="24"/>
          <w:szCs w:val="24"/>
        </w:rPr>
        <w:t>de los recursos,</w:t>
      </w:r>
      <w:r w:rsidR="004155EA">
        <w:rPr>
          <w:rFonts w:ascii="Arial" w:hAnsi="Arial" w:cs="Arial"/>
          <w:sz w:val="24"/>
          <w:szCs w:val="24"/>
        </w:rPr>
        <w:t xml:space="preserve"> corresponden a la misma acción</w:t>
      </w:r>
      <w:r w:rsidRPr="00884580">
        <w:rPr>
          <w:rFonts w:ascii="Arial" w:hAnsi="Arial" w:cs="Arial"/>
          <w:sz w:val="24"/>
          <w:szCs w:val="24"/>
        </w:rPr>
        <w:t>:</w:t>
      </w:r>
    </w:p>
    <w:p w:rsidR="00D1277C" w:rsidRDefault="00D1277C" w:rsidP="00D1277C">
      <w:pPr>
        <w:spacing w:after="0" w:line="360" w:lineRule="auto"/>
        <w:jc w:val="both"/>
        <w:rPr>
          <w:rFonts w:ascii="Arial" w:hAnsi="Arial" w:cs="Arial"/>
          <w:sz w:val="24"/>
          <w:szCs w:val="24"/>
        </w:rPr>
      </w:pPr>
    </w:p>
    <w:p w:rsidR="00884580" w:rsidRDefault="00884580"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rPr>
      </w:pPr>
      <w:r w:rsidRPr="008C4516">
        <w:rPr>
          <w:noProof/>
          <w:lang w:eastAsia="es-MX"/>
        </w:rPr>
        <w:lastRenderedPageBreak/>
        <w:drawing>
          <wp:inline distT="0" distB="0" distL="0" distR="0" wp14:anchorId="648D401F" wp14:editId="19E1C4A6">
            <wp:extent cx="4965786" cy="236948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962" r="5396"/>
                    <a:stretch/>
                  </pic:blipFill>
                  <pic:spPr bwMode="auto">
                    <a:xfrm>
                      <a:off x="0" y="0"/>
                      <a:ext cx="4974754" cy="2373768"/>
                    </a:xfrm>
                    <a:prstGeom prst="rect">
                      <a:avLst/>
                    </a:prstGeom>
                    <a:noFill/>
                    <a:ln>
                      <a:noFill/>
                    </a:ln>
                    <a:extLst>
                      <a:ext uri="{53640926-AAD7-44D8-BBD7-CCE9431645EC}">
                        <a14:shadowObscured xmlns:a14="http://schemas.microsoft.com/office/drawing/2010/main"/>
                      </a:ext>
                    </a:extLst>
                  </pic:spPr>
                </pic:pic>
              </a:graphicData>
            </a:graphic>
          </wp:inline>
        </w:drawing>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Los indicadores antes mencionados, cuentan con Fichas Técnicas las cuales se aprecian en el Anexo 1. La descripción detallada de los componentes de cada indicador se presenta en las fichas técnicas, en las que, además del objetivo, fórmula y variables, se plasman: unidad de medida, interpretación, dimensión, frecuencia, parámetros para su evaluación (adecuado, bueno, suficiente, insuficiente y crítico) y la base jurídica que sustenta el indicador.</w:t>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Se debe mencionar que dadas las condiciones del FONE y la coordinación para su aplicación por parte de las instituciones responsables a nivel federal y estatal, el Fondo no fue incorporado a los indicadores ejecutados por la SEPF, por lo que durante 2014 de los ocho Fondos de Aportaciones se evaluaron siete (considerando el FAIS en sus ámbitos Estatal y Municipal).</w:t>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A continuación se presenta cuadro resumen con los indicadores y Fondos fiscalizados actualmente por la SEPF</w:t>
      </w:r>
      <w:r w:rsidR="00610E7A" w:rsidRPr="00D962AE">
        <w:rPr>
          <w:rFonts w:ascii="Arial" w:hAnsi="Arial" w:cs="Arial"/>
          <w:sz w:val="24"/>
          <w:szCs w:val="24"/>
        </w:rPr>
        <w:t>, los cuales son elaborados por el área antes mencionada</w:t>
      </w:r>
      <w:r w:rsidRPr="00D962AE">
        <w:rPr>
          <w:rFonts w:ascii="Arial" w:hAnsi="Arial" w:cs="Arial"/>
          <w:sz w:val="24"/>
          <w:szCs w:val="24"/>
        </w:rPr>
        <w:t>:</w:t>
      </w:r>
    </w:p>
    <w:p w:rsidR="00D1277C" w:rsidRDefault="00D1277C" w:rsidP="00D1277C">
      <w:pPr>
        <w:spacing w:after="0" w:line="360" w:lineRule="auto"/>
        <w:jc w:val="both"/>
        <w:rPr>
          <w:rFonts w:ascii="Arial" w:hAnsi="Arial" w:cs="Arial"/>
          <w:sz w:val="24"/>
          <w:szCs w:val="24"/>
        </w:rPr>
      </w:pPr>
    </w:p>
    <w:p w:rsidR="00D962AE" w:rsidRDefault="00D962AE" w:rsidP="00D1277C">
      <w:pPr>
        <w:spacing w:after="0" w:line="360" w:lineRule="auto"/>
        <w:jc w:val="both"/>
        <w:rPr>
          <w:rFonts w:ascii="Arial" w:hAnsi="Arial" w:cs="Arial"/>
          <w:sz w:val="24"/>
          <w:szCs w:val="24"/>
        </w:rPr>
      </w:pPr>
    </w:p>
    <w:p w:rsidR="00D962AE" w:rsidRPr="00D962AE" w:rsidRDefault="00D962AE" w:rsidP="00D1277C">
      <w:pPr>
        <w:spacing w:after="0" w:line="360" w:lineRule="auto"/>
        <w:jc w:val="both"/>
        <w:rPr>
          <w:rFonts w:ascii="Arial" w:hAnsi="Arial" w:cs="Arial"/>
          <w:sz w:val="24"/>
          <w:szCs w:val="24"/>
        </w:rPr>
      </w:pPr>
    </w:p>
    <w:p w:rsidR="00371B5E" w:rsidRPr="00371B5E" w:rsidRDefault="00371B5E" w:rsidP="0050647C">
      <w:pPr>
        <w:pStyle w:val="Epgrafe"/>
        <w:keepNext/>
        <w:spacing w:after="0"/>
        <w:jc w:val="center"/>
        <w:rPr>
          <w:rFonts w:ascii="Arial" w:hAnsi="Arial" w:cs="Arial"/>
          <w:color w:val="auto"/>
          <w:sz w:val="24"/>
          <w:szCs w:val="24"/>
        </w:rPr>
      </w:pPr>
      <w:bookmarkStart w:id="10" w:name="_Toc510526018"/>
      <w:r w:rsidRPr="00371B5E">
        <w:rPr>
          <w:rFonts w:ascii="Arial" w:hAnsi="Arial" w:cs="Arial"/>
          <w:color w:val="auto"/>
          <w:sz w:val="24"/>
          <w:szCs w:val="24"/>
        </w:rPr>
        <w:lastRenderedPageBreak/>
        <w:t xml:space="preserve">Tabla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Tabla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11</w:t>
      </w:r>
      <w:bookmarkEnd w:id="10"/>
      <w:r w:rsidRPr="00371B5E">
        <w:rPr>
          <w:rFonts w:ascii="Arial" w:hAnsi="Arial" w:cs="Arial"/>
          <w:color w:val="auto"/>
          <w:sz w:val="24"/>
          <w:szCs w:val="24"/>
        </w:rPr>
        <w:fldChar w:fldCharType="end"/>
      </w:r>
    </w:p>
    <w:tbl>
      <w:tblPr>
        <w:tblStyle w:val="Listaclara-nfasis3"/>
        <w:tblW w:w="9033" w:type="dxa"/>
        <w:jc w:val="center"/>
        <w:tblLayout w:type="fixed"/>
        <w:tblLook w:val="04A0" w:firstRow="1" w:lastRow="0" w:firstColumn="1" w:lastColumn="0" w:noHBand="0" w:noVBand="1"/>
      </w:tblPr>
      <w:tblGrid>
        <w:gridCol w:w="676"/>
        <w:gridCol w:w="10"/>
        <w:gridCol w:w="1399"/>
        <w:gridCol w:w="1409"/>
        <w:gridCol w:w="2822"/>
        <w:gridCol w:w="113"/>
        <w:gridCol w:w="1186"/>
        <w:gridCol w:w="113"/>
        <w:gridCol w:w="1297"/>
        <w:gridCol w:w="8"/>
      </w:tblGrid>
      <w:tr w:rsidR="00D1277C" w:rsidRPr="00C731BE" w:rsidTr="00D1277C">
        <w:trPr>
          <w:gridAfter w:val="1"/>
          <w:cnfStyle w:val="100000000000" w:firstRow="1" w:lastRow="0" w:firstColumn="0" w:lastColumn="0" w:oddVBand="0" w:evenVBand="0" w:oddHBand="0" w:evenHBand="0" w:firstRowFirstColumn="0" w:firstRowLastColumn="0" w:lastRowFirstColumn="0" w:lastRowLastColumn="0"/>
          <w:wAfter w:w="8" w:type="dxa"/>
          <w:trHeight w:val="684"/>
          <w:jc w:val="center"/>
        </w:trPr>
        <w:tc>
          <w:tcPr>
            <w:cnfStyle w:val="001000000000" w:firstRow="0" w:lastRow="0" w:firstColumn="1" w:lastColumn="0" w:oddVBand="0" w:evenVBand="0" w:oddHBand="0" w:evenHBand="0" w:firstRowFirstColumn="0" w:firstRowLastColumn="0" w:lastRowFirstColumn="0" w:lastRowLastColumn="0"/>
            <w:tcW w:w="676" w:type="dxa"/>
            <w:tcBorders>
              <w:left w:val="nil"/>
              <w:bottom w:val="single" w:sz="8" w:space="0" w:color="9BBB59" w:themeColor="accent3"/>
            </w:tcBorders>
            <w:vAlign w:val="center"/>
            <w:hideMark/>
          </w:tcPr>
          <w:p w:rsidR="00D1277C" w:rsidRPr="00E40169" w:rsidRDefault="00D1277C" w:rsidP="00D1277C">
            <w:pPr>
              <w:jc w:val="center"/>
              <w:rPr>
                <w:rFonts w:ascii="Lato" w:eastAsia="Times New Roman" w:hAnsi="Lato" w:cs="Times New Roman"/>
                <w:b w:val="0"/>
                <w:bCs w:val="0"/>
                <w:color w:val="FFFFFF"/>
                <w:sz w:val="18"/>
                <w:szCs w:val="18"/>
              </w:rPr>
            </w:pPr>
            <w:r w:rsidRPr="00E40169">
              <w:rPr>
                <w:rFonts w:ascii="Lato" w:eastAsia="Times New Roman" w:hAnsi="Lato" w:cs="Times New Roman"/>
                <w:b w:val="0"/>
                <w:bCs w:val="0"/>
                <w:color w:val="FFFFFF"/>
                <w:sz w:val="18"/>
                <w:szCs w:val="18"/>
              </w:rPr>
              <w:t>Núm.</w:t>
            </w:r>
          </w:p>
        </w:tc>
        <w:tc>
          <w:tcPr>
            <w:tcW w:w="1409" w:type="dxa"/>
            <w:gridSpan w:val="2"/>
            <w:tcBorders>
              <w:bottom w:val="single" w:sz="8" w:space="0" w:color="9BBB59" w:themeColor="accent3"/>
            </w:tcBorders>
            <w:vAlign w:val="center"/>
            <w:hideMark/>
          </w:tcPr>
          <w:p w:rsidR="00D1277C" w:rsidRPr="00E40169"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sz w:val="18"/>
                <w:szCs w:val="18"/>
              </w:rPr>
            </w:pPr>
            <w:r w:rsidRPr="00E40169">
              <w:rPr>
                <w:rFonts w:ascii="Lato" w:eastAsia="Times New Roman" w:hAnsi="Lato" w:cs="Times New Roman"/>
                <w:color w:val="FFFFFF"/>
                <w:sz w:val="18"/>
                <w:szCs w:val="18"/>
              </w:rPr>
              <w:t>Indicadores</w:t>
            </w:r>
          </w:p>
        </w:tc>
        <w:tc>
          <w:tcPr>
            <w:tcW w:w="1409" w:type="dxa"/>
            <w:tcBorders>
              <w:bottom w:val="single" w:sz="8" w:space="0" w:color="9BBB59" w:themeColor="accent3"/>
            </w:tcBorders>
            <w:vAlign w:val="center"/>
            <w:hideMark/>
          </w:tcPr>
          <w:p w:rsidR="00D1277C" w:rsidRPr="00E40169"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sz w:val="18"/>
                <w:szCs w:val="18"/>
              </w:rPr>
            </w:pPr>
            <w:r w:rsidRPr="00E40169">
              <w:rPr>
                <w:rFonts w:ascii="Lato" w:eastAsia="Times New Roman" w:hAnsi="Lato" w:cs="Times New Roman"/>
                <w:color w:val="FFFFFF"/>
                <w:sz w:val="18"/>
                <w:szCs w:val="18"/>
              </w:rPr>
              <w:t>Entidad Fiscalizables</w:t>
            </w:r>
          </w:p>
        </w:tc>
        <w:tc>
          <w:tcPr>
            <w:tcW w:w="2935" w:type="dxa"/>
            <w:gridSpan w:val="2"/>
            <w:tcBorders>
              <w:bottom w:val="single" w:sz="8" w:space="0" w:color="9BBB59" w:themeColor="accent3"/>
            </w:tcBorders>
            <w:vAlign w:val="center"/>
            <w:hideMark/>
          </w:tcPr>
          <w:p w:rsidR="00D1277C" w:rsidRPr="00E40169"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sz w:val="18"/>
                <w:szCs w:val="18"/>
              </w:rPr>
            </w:pPr>
            <w:r w:rsidRPr="00E40169">
              <w:rPr>
                <w:rFonts w:ascii="Lato" w:eastAsia="Times New Roman" w:hAnsi="Lato" w:cs="Times New Roman"/>
                <w:color w:val="FFFFFF"/>
                <w:sz w:val="18"/>
                <w:szCs w:val="18"/>
              </w:rPr>
              <w:t>Fondos de Aportaciones</w:t>
            </w:r>
          </w:p>
        </w:tc>
        <w:tc>
          <w:tcPr>
            <w:tcW w:w="1299" w:type="dxa"/>
            <w:gridSpan w:val="2"/>
            <w:tcBorders>
              <w:bottom w:val="single" w:sz="8" w:space="0" w:color="9BBB59" w:themeColor="accent3"/>
            </w:tcBorders>
            <w:vAlign w:val="center"/>
            <w:hideMark/>
          </w:tcPr>
          <w:p w:rsidR="00D1277C" w:rsidRPr="00E40169"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sz w:val="18"/>
                <w:szCs w:val="18"/>
              </w:rPr>
            </w:pPr>
            <w:r w:rsidRPr="00E40169">
              <w:rPr>
                <w:rFonts w:ascii="Lato" w:eastAsia="Times New Roman" w:hAnsi="Lato" w:cs="Times New Roman"/>
                <w:color w:val="FFFFFF"/>
                <w:sz w:val="18"/>
                <w:szCs w:val="18"/>
              </w:rPr>
              <w:t>Frecuencia de medición</w:t>
            </w:r>
          </w:p>
        </w:tc>
        <w:tc>
          <w:tcPr>
            <w:tcW w:w="1297" w:type="dxa"/>
            <w:tcBorders>
              <w:bottom w:val="single" w:sz="8" w:space="0" w:color="9BBB59" w:themeColor="accent3"/>
            </w:tcBorders>
            <w:vAlign w:val="center"/>
            <w:hideMark/>
          </w:tcPr>
          <w:p w:rsidR="00D1277C" w:rsidRPr="00E40169"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FFFFFF"/>
                <w:sz w:val="18"/>
                <w:szCs w:val="18"/>
              </w:rPr>
            </w:pPr>
            <w:r w:rsidRPr="00E40169">
              <w:rPr>
                <w:rFonts w:ascii="Lato" w:eastAsia="Times New Roman" w:hAnsi="Lato" w:cs="Times New Roman"/>
                <w:color w:val="FFFFFF"/>
                <w:sz w:val="18"/>
                <w:szCs w:val="18"/>
              </w:rPr>
              <w:t>Fichas técnicas</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734"/>
          <w:jc w:val="center"/>
        </w:trPr>
        <w:tc>
          <w:tcPr>
            <w:cnfStyle w:val="001000000000" w:firstRow="0" w:lastRow="0" w:firstColumn="1" w:lastColumn="0" w:oddVBand="0" w:evenVBand="0" w:oddHBand="0" w:evenHBand="0" w:firstRowFirstColumn="0" w:firstRowLastColumn="0" w:lastRowFirstColumn="0" w:lastRowLastColumn="0"/>
            <w:tcW w:w="676" w:type="dxa"/>
            <w:vMerge w:val="restart"/>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r w:rsidRPr="003A0D59">
              <w:rPr>
                <w:rFonts w:ascii="Lato" w:eastAsia="Times New Roman" w:hAnsi="Lato" w:cs="Times New Roman"/>
                <w:b w:val="0"/>
                <w:color w:val="000000"/>
                <w:sz w:val="17"/>
                <w:szCs w:val="17"/>
              </w:rPr>
              <w:t>1</w:t>
            </w:r>
          </w:p>
        </w:tc>
        <w:tc>
          <w:tcPr>
            <w:tcW w:w="1409" w:type="dxa"/>
            <w:gridSpan w:val="2"/>
            <w:vMerge w:val="restart"/>
            <w:tcBorders>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r w:rsidRPr="003A0D59">
              <w:rPr>
                <w:rFonts w:ascii="Lato" w:eastAsia="Times New Roman" w:hAnsi="Lato" w:cs="Times New Roman"/>
                <w:bCs/>
                <w:color w:val="000000"/>
                <w:sz w:val="17"/>
                <w:szCs w:val="17"/>
              </w:rPr>
              <w:t>Transferencia</w:t>
            </w: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SHCP</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FASSA, FAM, FAIS (FISE y FISM), FORTAMUN, FAETA, FASP y FAFEF</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Pr>
                <w:rFonts w:ascii="Lato" w:eastAsia="Times New Roman" w:hAnsi="Lato" w:cs="Times New Roman"/>
                <w:color w:val="000000"/>
                <w:sz w:val="17"/>
                <w:szCs w:val="17"/>
              </w:rPr>
              <w:t>7</w:t>
            </w:r>
          </w:p>
        </w:tc>
      </w:tr>
      <w:tr w:rsidR="00D1277C" w:rsidRPr="003A0D59" w:rsidTr="00D1277C">
        <w:trPr>
          <w:gridAfter w:val="1"/>
          <w:wAfter w:w="8" w:type="dxa"/>
          <w:trHeight w:val="528"/>
          <w:jc w:val="center"/>
        </w:trPr>
        <w:tc>
          <w:tcPr>
            <w:cnfStyle w:val="001000000000" w:firstRow="0" w:lastRow="0" w:firstColumn="1" w:lastColumn="0" w:oddVBand="0" w:evenVBand="0" w:oddHBand="0" w:evenHBand="0" w:firstRowFirstColumn="0" w:firstRowLastColumn="0" w:lastRowFirstColumn="0" w:lastRowLastColumn="0"/>
            <w:tcW w:w="676" w:type="dxa"/>
            <w:vMerge/>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SEFIN</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FASSA, FISM, FORTAMUN y FAETA</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Pr>
                <w:rFonts w:ascii="Lato" w:eastAsia="Times New Roman" w:hAnsi="Lato" w:cs="Times New Roman"/>
                <w:color w:val="000000"/>
                <w:sz w:val="17"/>
                <w:szCs w:val="17"/>
              </w:rPr>
              <w:t>4</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734"/>
          <w:jc w:val="center"/>
        </w:trPr>
        <w:tc>
          <w:tcPr>
            <w:cnfStyle w:val="001000000000" w:firstRow="0" w:lastRow="0" w:firstColumn="1" w:lastColumn="0" w:oddVBand="0" w:evenVBand="0" w:oddHBand="0" w:evenHBand="0" w:firstRowFirstColumn="0" w:firstRowLastColumn="0" w:lastRowFirstColumn="0" w:lastRowLastColumn="0"/>
            <w:tcW w:w="676" w:type="dxa"/>
            <w:vMerge w:val="restart"/>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r w:rsidRPr="003A0D59">
              <w:rPr>
                <w:rFonts w:ascii="Lato" w:eastAsia="Times New Roman" w:hAnsi="Lato" w:cs="Times New Roman"/>
                <w:b w:val="0"/>
                <w:color w:val="000000"/>
                <w:sz w:val="17"/>
                <w:szCs w:val="17"/>
              </w:rPr>
              <w:t>2</w:t>
            </w:r>
          </w:p>
        </w:tc>
        <w:tc>
          <w:tcPr>
            <w:tcW w:w="1409" w:type="dxa"/>
            <w:gridSpan w:val="2"/>
            <w:vMerge w:val="restart"/>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r w:rsidRPr="003A0D59">
              <w:rPr>
                <w:rFonts w:ascii="Lato" w:eastAsia="Times New Roman" w:hAnsi="Lato" w:cs="Times New Roman"/>
                <w:bCs/>
                <w:color w:val="000000"/>
                <w:sz w:val="17"/>
                <w:szCs w:val="17"/>
              </w:rPr>
              <w:t>Depósito</w:t>
            </w: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SHCP</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FASSA, FAM, FAIS (FISE y FISM), FORTAMUN, FAETA, FASP y FAFEF</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Pr>
                <w:rFonts w:ascii="Lato" w:eastAsia="Times New Roman" w:hAnsi="Lato" w:cs="Times New Roman"/>
                <w:color w:val="000000"/>
                <w:sz w:val="17"/>
                <w:szCs w:val="17"/>
              </w:rPr>
              <w:t>7</w:t>
            </w:r>
          </w:p>
        </w:tc>
      </w:tr>
      <w:tr w:rsidR="00D1277C" w:rsidRPr="003A0D59" w:rsidTr="00D1277C">
        <w:trPr>
          <w:gridAfter w:val="1"/>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p>
        </w:tc>
        <w:tc>
          <w:tcPr>
            <w:tcW w:w="1409" w:type="dxa"/>
            <w:vMerge w:val="restart"/>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SEFIN</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FASSA, FAETA</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Pr>
                <w:rFonts w:ascii="Lato" w:eastAsia="Times New Roman" w:hAnsi="Lato" w:cs="Times New Roman"/>
                <w:color w:val="000000"/>
                <w:sz w:val="17"/>
                <w:szCs w:val="17"/>
              </w:rPr>
              <w:t>2</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p>
        </w:tc>
        <w:tc>
          <w:tcPr>
            <w:tcW w:w="1409" w:type="dxa"/>
            <w:vMerge/>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 w:val="17"/>
                <w:szCs w:val="17"/>
              </w:rPr>
            </w:pPr>
            <w:r w:rsidRPr="003A0D59">
              <w:rPr>
                <w:rFonts w:ascii="Lato" w:eastAsia="Times New Roman" w:hAnsi="Lato" w:cs="Times New Roman"/>
                <w:sz w:val="17"/>
                <w:szCs w:val="17"/>
              </w:rPr>
              <w:t>FISM, FORTAMUN, FAM y FASP</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 w:val="17"/>
                <w:szCs w:val="17"/>
              </w:rPr>
            </w:pPr>
            <w:r w:rsidRPr="003A0D59">
              <w:rPr>
                <w:rFonts w:ascii="Lato" w:eastAsia="Times New Roman" w:hAnsi="Lato" w:cs="Times New Roman"/>
                <w:sz w:val="17"/>
                <w:szCs w:val="17"/>
              </w:rPr>
              <w:t>Trimestral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4</w:t>
            </w:r>
          </w:p>
        </w:tc>
      </w:tr>
      <w:tr w:rsidR="00D1277C" w:rsidRPr="003A0D59" w:rsidTr="00D1277C">
        <w:trPr>
          <w:gridAfter w:val="1"/>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val="restart"/>
            <w:tcBorders>
              <w:top w:val="single" w:sz="8" w:space="0" w:color="9BBB59" w:themeColor="accent3"/>
              <w:left w:val="nil"/>
              <w:bottom w:val="single" w:sz="8" w:space="0" w:color="9BBB59" w:themeColor="accent3"/>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r w:rsidRPr="003A0D59">
              <w:rPr>
                <w:rFonts w:ascii="Lato" w:eastAsia="Times New Roman" w:hAnsi="Lato" w:cs="Times New Roman"/>
                <w:b w:val="0"/>
                <w:color w:val="000000"/>
                <w:sz w:val="17"/>
                <w:szCs w:val="17"/>
              </w:rPr>
              <w:t>3</w:t>
            </w:r>
          </w:p>
        </w:tc>
        <w:tc>
          <w:tcPr>
            <w:tcW w:w="1409" w:type="dxa"/>
            <w:gridSpan w:val="2"/>
            <w:vMerge w:val="restart"/>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r w:rsidRPr="003A0D59">
              <w:rPr>
                <w:rFonts w:ascii="Lato" w:eastAsia="Times New Roman" w:hAnsi="Lato" w:cs="Times New Roman"/>
                <w:bCs/>
                <w:color w:val="000000"/>
                <w:sz w:val="17"/>
                <w:szCs w:val="17"/>
              </w:rPr>
              <w:t>Ejercicio</w:t>
            </w: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SEFIN</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FISE</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Trimestral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w:t>
            </w:r>
            <w:r>
              <w:rPr>
                <w:rFonts w:ascii="Lato" w:eastAsia="Times New Roman" w:hAnsi="Lato" w:cs="Times New Roman"/>
                <w:color w:val="000000"/>
                <w:sz w:val="17"/>
                <w:szCs w:val="17"/>
              </w:rPr>
              <w:t>GG</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FASP</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Trimestral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top w:val="single" w:sz="8" w:space="0" w:color="9BBB59" w:themeColor="accent3"/>
              <w:left w:val="nil"/>
              <w:bottom w:val="single" w:sz="8" w:space="0" w:color="9BBB59" w:themeColor="accent3"/>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DIFEM</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FAM</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Trimestral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ISEM</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FASSA</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vMerge/>
            <w:tcBorders>
              <w:top w:val="single" w:sz="8" w:space="0" w:color="9BBB59" w:themeColor="accent3"/>
              <w:left w:val="nil"/>
              <w:bottom w:val="single" w:sz="8" w:space="0" w:color="9BBB59" w:themeColor="accent3"/>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p>
        </w:tc>
        <w:tc>
          <w:tcPr>
            <w:tcW w:w="1409" w:type="dxa"/>
            <w:gridSpan w:val="2"/>
            <w:vMerge/>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CONALEP</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FAETA</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cnfStyle w:val="000000100000" w:firstRow="0" w:lastRow="0" w:firstColumn="0" w:lastColumn="0" w:oddVBand="0" w:evenVBand="0" w:oddHBand="1" w:evenHBand="0" w:firstRowFirstColumn="0" w:firstRowLastColumn="0" w:lastRowFirstColumn="0" w:lastRowLastColumn="0"/>
          <w:wAfter w:w="8" w:type="dxa"/>
          <w:trHeight w:val="278"/>
          <w:jc w:val="center"/>
        </w:trPr>
        <w:tc>
          <w:tcPr>
            <w:cnfStyle w:val="001000000000" w:firstRow="0" w:lastRow="0" w:firstColumn="1" w:lastColumn="0" w:oddVBand="0" w:evenVBand="0" w:oddHBand="0" w:evenHBand="0" w:firstRowFirstColumn="0" w:firstRowLastColumn="0" w:lastRowFirstColumn="0" w:lastRowLastColumn="0"/>
            <w:tcW w:w="676" w:type="dxa"/>
            <w:tcBorders>
              <w:left w:val="nil"/>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r w:rsidRPr="003A0D59">
              <w:rPr>
                <w:rFonts w:ascii="Lato" w:eastAsia="Times New Roman" w:hAnsi="Lato" w:cs="Times New Roman"/>
                <w:b w:val="0"/>
                <w:color w:val="000000"/>
                <w:sz w:val="17"/>
                <w:szCs w:val="17"/>
              </w:rPr>
              <w:t>4</w:t>
            </w:r>
          </w:p>
        </w:tc>
        <w:tc>
          <w:tcPr>
            <w:tcW w:w="1409" w:type="dxa"/>
            <w:gridSpan w:val="2"/>
            <w:tcBorders>
              <w:top w:val="single" w:sz="6" w:space="0" w:color="9BBB59" w:themeColor="accent3"/>
              <w:left w:val="nil"/>
              <w:bottom w:val="single" w:sz="6"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Cs/>
                <w:color w:val="000000"/>
                <w:sz w:val="17"/>
                <w:szCs w:val="17"/>
              </w:rPr>
            </w:pPr>
            <w:r w:rsidRPr="003A0D59">
              <w:rPr>
                <w:rFonts w:ascii="Lato" w:eastAsia="Times New Roman" w:hAnsi="Lato" w:cs="Times New Roman"/>
                <w:bCs/>
                <w:color w:val="000000"/>
                <w:sz w:val="17"/>
                <w:szCs w:val="17"/>
              </w:rPr>
              <w:t>Destino</w:t>
            </w: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SEFIN</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FAFEF</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Mensual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A0D59" w:rsidTr="00D1277C">
        <w:trPr>
          <w:gridAfter w:val="1"/>
          <w:wAfter w:w="8" w:type="dxa"/>
          <w:trHeight w:val="515"/>
          <w:jc w:val="center"/>
        </w:trPr>
        <w:tc>
          <w:tcPr>
            <w:cnfStyle w:val="001000000000" w:firstRow="0" w:lastRow="0" w:firstColumn="1" w:lastColumn="0" w:oddVBand="0" w:evenVBand="0" w:oddHBand="0" w:evenHBand="0" w:firstRowFirstColumn="0" w:firstRowLastColumn="0" w:lastRowFirstColumn="0" w:lastRowLastColumn="0"/>
            <w:tcW w:w="686" w:type="dxa"/>
            <w:gridSpan w:val="2"/>
            <w:tcBorders>
              <w:top w:val="single" w:sz="8" w:space="0" w:color="9BBB59" w:themeColor="accent3"/>
              <w:left w:val="nil"/>
              <w:bottom w:val="single" w:sz="4" w:space="0" w:color="9BBB59" w:themeColor="accent3"/>
              <w:right w:val="nil"/>
            </w:tcBorders>
            <w:vAlign w:val="center"/>
            <w:hideMark/>
          </w:tcPr>
          <w:p w:rsidR="00D1277C" w:rsidRPr="003A0D59" w:rsidRDefault="00D1277C" w:rsidP="00D1277C">
            <w:pPr>
              <w:jc w:val="center"/>
              <w:rPr>
                <w:rFonts w:ascii="Lato" w:eastAsia="Times New Roman" w:hAnsi="Lato" w:cs="Times New Roman"/>
                <w:b w:val="0"/>
                <w:color w:val="000000"/>
                <w:sz w:val="17"/>
                <w:szCs w:val="17"/>
              </w:rPr>
            </w:pPr>
            <w:r w:rsidRPr="003A0D59">
              <w:rPr>
                <w:rFonts w:ascii="Lato" w:eastAsia="Times New Roman" w:hAnsi="Lato" w:cs="Times New Roman"/>
                <w:b w:val="0"/>
                <w:color w:val="000000"/>
                <w:sz w:val="17"/>
                <w:szCs w:val="17"/>
              </w:rPr>
              <w:t>5</w:t>
            </w:r>
          </w:p>
        </w:tc>
        <w:tc>
          <w:tcPr>
            <w:tcW w:w="139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Cs/>
                <w:color w:val="000000"/>
                <w:sz w:val="17"/>
                <w:szCs w:val="17"/>
              </w:rPr>
            </w:pPr>
            <w:r w:rsidRPr="003A0D59">
              <w:rPr>
                <w:rFonts w:ascii="Lato" w:eastAsia="Times New Roman" w:hAnsi="Lato" w:cs="Times New Roman"/>
                <w:bCs/>
                <w:color w:val="000000"/>
                <w:sz w:val="17"/>
                <w:szCs w:val="17"/>
              </w:rPr>
              <w:t>Trámite de Autorización</w:t>
            </w:r>
          </w:p>
        </w:tc>
        <w:tc>
          <w:tcPr>
            <w:tcW w:w="1409"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SEFIN</w:t>
            </w:r>
          </w:p>
        </w:tc>
        <w:tc>
          <w:tcPr>
            <w:tcW w:w="2935"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FISE</w:t>
            </w:r>
          </w:p>
        </w:tc>
        <w:tc>
          <w:tcPr>
            <w:tcW w:w="1299" w:type="dxa"/>
            <w:gridSpan w:val="2"/>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Trimestral</w:t>
            </w:r>
          </w:p>
        </w:tc>
        <w:tc>
          <w:tcPr>
            <w:tcW w:w="1297" w:type="dxa"/>
            <w:tcBorders>
              <w:top w:val="single" w:sz="4" w:space="0" w:color="9BBB59" w:themeColor="accent3"/>
              <w:left w:val="nil"/>
              <w:bottom w:val="single" w:sz="4" w:space="0" w:color="9BBB59" w:themeColor="accent3"/>
              <w:right w:val="nil"/>
            </w:tcBorders>
            <w:vAlign w:val="center"/>
            <w:hideMark/>
          </w:tcPr>
          <w:p w:rsidR="00D1277C" w:rsidRPr="003A0D59" w:rsidRDefault="00D1277C" w:rsidP="00D1277C">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sz w:val="17"/>
                <w:szCs w:val="17"/>
              </w:rPr>
            </w:pPr>
            <w:r w:rsidRPr="003A0D59">
              <w:rPr>
                <w:rFonts w:ascii="Lato" w:eastAsia="Times New Roman" w:hAnsi="Lato" w:cs="Times New Roman"/>
                <w:color w:val="000000"/>
                <w:sz w:val="17"/>
                <w:szCs w:val="17"/>
              </w:rPr>
              <w:t>1</w:t>
            </w:r>
          </w:p>
        </w:tc>
      </w:tr>
      <w:tr w:rsidR="00D1277C" w:rsidRPr="00374294" w:rsidTr="00D1277C">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316" w:type="dxa"/>
            <w:gridSpan w:val="5"/>
            <w:tcBorders>
              <w:top w:val="single" w:sz="4" w:space="0" w:color="9BBB59" w:themeColor="accent3"/>
              <w:left w:val="nil"/>
              <w:bottom w:val="nil"/>
              <w:right w:val="nil"/>
            </w:tcBorders>
            <w:vAlign w:val="center"/>
            <w:hideMark/>
          </w:tcPr>
          <w:p w:rsidR="00D1277C" w:rsidRPr="003A0D59" w:rsidRDefault="00D1277C" w:rsidP="00D1277C">
            <w:pPr>
              <w:jc w:val="center"/>
              <w:rPr>
                <w:rFonts w:ascii="Calibri" w:eastAsia="Times New Roman" w:hAnsi="Calibri" w:cs="Times New Roman"/>
                <w:color w:val="000000"/>
                <w:sz w:val="17"/>
                <w:szCs w:val="17"/>
              </w:rPr>
            </w:pPr>
          </w:p>
        </w:tc>
        <w:tc>
          <w:tcPr>
            <w:tcW w:w="1299" w:type="dxa"/>
            <w:gridSpan w:val="2"/>
            <w:tcBorders>
              <w:top w:val="single" w:sz="4" w:space="0" w:color="9BBB59" w:themeColor="accent3"/>
              <w:left w:val="nil"/>
              <w:bottom w:val="single" w:sz="4" w:space="0" w:color="9BBB59" w:themeColor="accent3"/>
              <w:right w:val="nil"/>
            </w:tcBorders>
            <w:shd w:val="clear" w:color="auto" w:fill="9BBB59" w:themeFill="accent3"/>
            <w:vAlign w:val="center"/>
            <w:hideMark/>
          </w:tcPr>
          <w:p w:rsidR="00D1277C" w:rsidRPr="00726E95"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9"/>
                <w:szCs w:val="19"/>
              </w:rPr>
            </w:pPr>
            <w:r w:rsidRPr="00726E95">
              <w:rPr>
                <w:rFonts w:ascii="Calibri" w:eastAsia="Times New Roman" w:hAnsi="Calibri" w:cs="Times New Roman"/>
                <w:b/>
                <w:bCs/>
                <w:color w:val="FFFFFF" w:themeColor="background1"/>
                <w:sz w:val="19"/>
                <w:szCs w:val="19"/>
              </w:rPr>
              <w:t>Total</w:t>
            </w:r>
          </w:p>
        </w:tc>
        <w:tc>
          <w:tcPr>
            <w:tcW w:w="1418" w:type="dxa"/>
            <w:gridSpan w:val="3"/>
            <w:tcBorders>
              <w:top w:val="single" w:sz="4" w:space="0" w:color="9BBB59" w:themeColor="accent3"/>
              <w:left w:val="nil"/>
              <w:bottom w:val="single" w:sz="4" w:space="0" w:color="9BBB59" w:themeColor="accent3"/>
              <w:right w:val="nil"/>
            </w:tcBorders>
            <w:shd w:val="clear" w:color="auto" w:fill="9BBB59" w:themeFill="accent3"/>
            <w:vAlign w:val="center"/>
            <w:hideMark/>
          </w:tcPr>
          <w:p w:rsidR="00D1277C" w:rsidRPr="00726E95"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19"/>
                <w:szCs w:val="19"/>
              </w:rPr>
            </w:pPr>
            <w:r w:rsidRPr="00726E95">
              <w:rPr>
                <w:rFonts w:ascii="Calibri" w:eastAsia="Times New Roman" w:hAnsi="Calibri" w:cs="Times New Roman"/>
                <w:b/>
                <w:bCs/>
                <w:color w:val="FFFFFF" w:themeColor="background1"/>
                <w:sz w:val="19"/>
                <w:szCs w:val="19"/>
              </w:rPr>
              <w:t>31</w:t>
            </w:r>
          </w:p>
        </w:tc>
      </w:tr>
    </w:tbl>
    <w:p w:rsidR="00A77F67" w:rsidRPr="00D9679D" w:rsidRDefault="00A77F67" w:rsidP="00A77F67">
      <w:pPr>
        <w:spacing w:after="0" w:line="240" w:lineRule="auto"/>
        <w:rPr>
          <w:rFonts w:ascii="Arial" w:hAnsi="Arial" w:cs="Arial"/>
          <w:sz w:val="8"/>
          <w:szCs w:val="6"/>
        </w:rPr>
      </w:pPr>
    </w:p>
    <w:tbl>
      <w:tblPr>
        <w:tblStyle w:val="Tablaconcuadrcula"/>
        <w:tblW w:w="817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A77F67" w:rsidRPr="00AC03A8" w:rsidTr="00A77F67">
        <w:trPr>
          <w:trHeight w:val="206"/>
        </w:trPr>
        <w:tc>
          <w:tcPr>
            <w:tcW w:w="784" w:type="dxa"/>
          </w:tcPr>
          <w:p w:rsidR="00A77F67" w:rsidRPr="00AC03A8" w:rsidRDefault="00A77F67"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A77F67" w:rsidRPr="00AC03A8" w:rsidRDefault="00A77F67" w:rsidP="006C0578">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6C0578">
              <w:rPr>
                <w:rFonts w:ascii="Arial" w:hAnsi="Arial" w:cs="Arial"/>
                <w:sz w:val="16"/>
                <w:szCs w:val="16"/>
                <w:lang w:val="es-MX"/>
              </w:rPr>
              <w:t>propia</w:t>
            </w:r>
            <w:r w:rsidRPr="00AC03A8">
              <w:rPr>
                <w:rFonts w:ascii="Arial" w:hAnsi="Arial" w:cs="Arial"/>
                <w:sz w:val="16"/>
                <w:szCs w:val="16"/>
                <w:lang w:val="es-MX"/>
              </w:rPr>
              <w:t>.</w:t>
            </w:r>
          </w:p>
        </w:tc>
      </w:tr>
    </w:tbl>
    <w:p w:rsidR="00D1277C" w:rsidRDefault="00D1277C" w:rsidP="00D1277C">
      <w:pPr>
        <w:spacing w:after="0" w:line="360" w:lineRule="auto"/>
        <w:jc w:val="both"/>
        <w:rPr>
          <w:rFonts w:ascii="Arial" w:hAnsi="Arial" w:cs="Arial"/>
          <w:sz w:val="24"/>
          <w:szCs w:val="24"/>
        </w:rPr>
      </w:pPr>
    </w:p>
    <w:p w:rsidR="003E4F44" w:rsidRDefault="003E4F44"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2F38C9" w:rsidRPr="002F38C9" w:rsidRDefault="002F38C9" w:rsidP="003E4F44">
      <w:pPr>
        <w:spacing w:after="0" w:line="360" w:lineRule="auto"/>
        <w:ind w:firstLine="709"/>
        <w:rPr>
          <w:rFonts w:ascii="Arial" w:hAnsi="Arial" w:cs="Arial"/>
          <w:b/>
          <w:sz w:val="24"/>
          <w:szCs w:val="24"/>
        </w:rPr>
      </w:pPr>
      <w:r w:rsidRPr="002F38C9">
        <w:rPr>
          <w:rFonts w:ascii="Arial" w:hAnsi="Arial" w:cs="Arial"/>
          <w:b/>
          <w:sz w:val="24"/>
          <w:szCs w:val="24"/>
        </w:rPr>
        <w:lastRenderedPageBreak/>
        <w:t>3.3.1 Transferencia y depósito de los recursos</w:t>
      </w:r>
    </w:p>
    <w:p w:rsidR="002F38C9" w:rsidRPr="00D962AE" w:rsidRDefault="002F38C9"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sz w:val="24"/>
          <w:szCs w:val="24"/>
        </w:rPr>
      </w:pPr>
      <w:r w:rsidRPr="00D962AE">
        <w:rPr>
          <w:rFonts w:ascii="Arial" w:hAnsi="Arial" w:cs="Arial"/>
          <w:sz w:val="24"/>
          <w:szCs w:val="24"/>
        </w:rPr>
        <w:t>Para el indicador de trasferencia de los recursos se evalúa la oportunidad con la que la SHCP transfiere los recursos de los Fondos de Aportaciones a las cuentas bancarias del gobierno estatal; a su vez, se evalúa que la Secretaría de Finanzas, Tesorería o su equivalente en el gobierno estatal transfiera los recursos a las unidades ejecutoras o municipios (días).</w:t>
      </w:r>
    </w:p>
    <w:p w:rsidR="00D962AE" w:rsidRPr="00D962AE" w:rsidRDefault="00D962AE"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El resultado de los indicadores que integran esta evaluación supone que a menor número de días transcurridos, mayor eficacia en la transferencia de los recursos.</w:t>
      </w:r>
    </w:p>
    <w:p w:rsidR="00D962AE" w:rsidRPr="00D962AE" w:rsidRDefault="00D962AE"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Parámetros de evaluación:</w:t>
      </w:r>
    </w:p>
    <w:tbl>
      <w:tblPr>
        <w:tblStyle w:val="Listaclara-nfasis2"/>
        <w:tblW w:w="8788" w:type="dxa"/>
        <w:jc w:val="center"/>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984"/>
        <w:gridCol w:w="1134"/>
        <w:gridCol w:w="1134"/>
        <w:gridCol w:w="1134"/>
        <w:gridCol w:w="1134"/>
        <w:gridCol w:w="1134"/>
        <w:gridCol w:w="1134"/>
      </w:tblGrid>
      <w:tr w:rsidR="00D1277C" w:rsidRPr="008158F5" w:rsidTr="00D1277C">
        <w:trPr>
          <w:cnfStyle w:val="100000000000" w:firstRow="1" w:lastRow="0" w:firstColumn="0" w:lastColumn="0" w:oddVBand="0" w:evenVBand="0" w:oddHBand="0" w:evenHBand="0" w:firstRowFirstColumn="0" w:firstRowLastColumn="0" w:lastRowFirstColumn="0" w:lastRowLastColumn="0"/>
          <w:trHeight w:val="454"/>
          <w:jc w:val="center"/>
        </w:trPr>
        <w:tc>
          <w:tcPr>
            <w:tcW w:w="1984" w:type="dxa"/>
            <w:shd w:val="clear" w:color="auto" w:fill="B2B2B2"/>
            <w:vAlign w:val="center"/>
            <w:hideMark/>
          </w:tcPr>
          <w:p w:rsidR="00D1277C" w:rsidRPr="00084289" w:rsidRDefault="00D1277C" w:rsidP="00D1277C">
            <w:pPr>
              <w:jc w:val="center"/>
              <w:rPr>
                <w:rFonts w:ascii="Lato" w:hAnsi="Lato"/>
                <w:color w:val="auto"/>
                <w:sz w:val="16"/>
                <w:szCs w:val="16"/>
              </w:rPr>
            </w:pPr>
            <w:r w:rsidRPr="00084289">
              <w:rPr>
                <w:rFonts w:ascii="Lato" w:hAnsi="Lato"/>
                <w:bCs w:val="0"/>
                <w:color w:val="auto"/>
                <w:sz w:val="16"/>
                <w:szCs w:val="16"/>
              </w:rPr>
              <w:t>Fondo de Aportaciones</w:t>
            </w:r>
          </w:p>
        </w:tc>
        <w:tc>
          <w:tcPr>
            <w:tcW w:w="1134" w:type="dxa"/>
            <w:shd w:val="clear" w:color="auto" w:fill="00B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Parámetro aceptado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Adecuado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Bueno</w:t>
            </w:r>
          </w:p>
        </w:tc>
        <w:tc>
          <w:tcPr>
            <w:tcW w:w="1134" w:type="dxa"/>
            <w:shd w:val="clear" w:color="auto" w:fill="FFFF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Insuficiente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Crítico</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984" w:type="dxa"/>
            <w:tcBorders>
              <w:top w:val="none" w:sz="0" w:space="0" w:color="auto"/>
              <w:left w:val="none" w:sz="0" w:space="0" w:color="auto"/>
              <w:bottom w:val="none" w:sz="0" w:space="0" w:color="auto"/>
            </w:tcBorders>
            <w:vAlign w:val="center"/>
          </w:tcPr>
          <w:p w:rsidR="00D1277C" w:rsidRPr="00084289" w:rsidRDefault="00D1277C" w:rsidP="00D1277C">
            <w:pPr>
              <w:jc w:val="center"/>
              <w:rPr>
                <w:rFonts w:ascii="Lato" w:hAnsi="Lato"/>
                <w:b/>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right w:val="none" w:sz="0" w:space="0" w:color="auto"/>
            </w:tcBorders>
            <w:vAlign w:val="center"/>
          </w:tcPr>
          <w:p w:rsidR="00D1277C" w:rsidRPr="00084289" w:rsidRDefault="00D1277C" w:rsidP="00D1277C">
            <w:pPr>
              <w:jc w:val="center"/>
              <w:rPr>
                <w:rFonts w:ascii="Lato" w:hAnsi="Lato"/>
                <w:sz w:val="6"/>
                <w:szCs w:val="6"/>
              </w:rPr>
            </w:pPr>
          </w:p>
        </w:tc>
      </w:tr>
      <w:tr w:rsidR="00D1277C" w:rsidRPr="008158F5" w:rsidTr="00D1277C">
        <w:trPr>
          <w:trHeight w:val="446"/>
          <w:jc w:val="center"/>
        </w:trPr>
        <w:tc>
          <w:tcPr>
            <w:tcW w:w="1984" w:type="dxa"/>
            <w:vAlign w:val="center"/>
            <w:hideMark/>
          </w:tcPr>
          <w:p w:rsidR="00D1277C" w:rsidRPr="008158F5" w:rsidRDefault="00D1277C" w:rsidP="00D1277C">
            <w:pPr>
              <w:spacing w:line="276" w:lineRule="auto"/>
              <w:jc w:val="center"/>
              <w:rPr>
                <w:rFonts w:ascii="Lato" w:hAnsi="Lato"/>
                <w:b/>
                <w:sz w:val="16"/>
                <w:szCs w:val="16"/>
              </w:rPr>
            </w:pPr>
            <w:r w:rsidRPr="008158F5">
              <w:rPr>
                <w:rFonts w:ascii="Lato" w:hAnsi="Lato"/>
                <w:b/>
                <w:sz w:val="16"/>
                <w:szCs w:val="16"/>
              </w:rPr>
              <w:t>FAM</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0 a 2</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0</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1</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2</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3-4</w:t>
            </w:r>
          </w:p>
        </w:tc>
        <w:tc>
          <w:tcPr>
            <w:tcW w:w="1134" w:type="dxa"/>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5 o más</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964"/>
          <w:jc w:val="center"/>
        </w:trPr>
        <w:tc>
          <w:tcPr>
            <w:tcW w:w="1984" w:type="dxa"/>
            <w:tcBorders>
              <w:top w:val="none" w:sz="0" w:space="0" w:color="auto"/>
              <w:left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b/>
                <w:sz w:val="16"/>
                <w:szCs w:val="16"/>
              </w:rPr>
            </w:pPr>
            <w:r w:rsidRPr="008158F5">
              <w:rPr>
                <w:rFonts w:ascii="Lato" w:hAnsi="Lato"/>
                <w:b/>
                <w:sz w:val="16"/>
                <w:szCs w:val="16"/>
              </w:rPr>
              <w:t>FASSA, FAIS</w:t>
            </w:r>
            <w:r>
              <w:rPr>
                <w:rFonts w:ascii="Lato" w:hAnsi="Lato"/>
                <w:b/>
                <w:sz w:val="16"/>
                <w:szCs w:val="16"/>
              </w:rPr>
              <w:t xml:space="preserve"> (FISE y FISM)</w:t>
            </w:r>
            <w:r w:rsidRPr="008158F5">
              <w:rPr>
                <w:rFonts w:ascii="Lato" w:hAnsi="Lato"/>
                <w:b/>
                <w:sz w:val="16"/>
                <w:szCs w:val="16"/>
              </w:rPr>
              <w:t>, FORTAMUNDF, FAETA, FASP, FAFEF</w:t>
            </w:r>
            <w:r>
              <w:rPr>
                <w:rFonts w:ascii="Lato" w:hAnsi="Lato"/>
                <w:b/>
                <w:sz w:val="16"/>
                <w:szCs w:val="16"/>
              </w:rPr>
              <w:t>*</w:t>
            </w:r>
            <w:r w:rsidRPr="008158F5">
              <w:rPr>
                <w:rFonts w:ascii="Lato" w:hAnsi="Lato"/>
                <w:b/>
                <w:sz w:val="16"/>
                <w:szCs w:val="16"/>
              </w:rPr>
              <w:t>.</w:t>
            </w:r>
          </w:p>
        </w:tc>
        <w:tc>
          <w:tcPr>
            <w:tcW w:w="1134" w:type="dxa"/>
            <w:tcBorders>
              <w:top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0 a 2</w:t>
            </w:r>
          </w:p>
        </w:tc>
        <w:tc>
          <w:tcPr>
            <w:tcW w:w="1134" w:type="dxa"/>
            <w:tcBorders>
              <w:top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0</w:t>
            </w:r>
          </w:p>
        </w:tc>
        <w:tc>
          <w:tcPr>
            <w:tcW w:w="1134" w:type="dxa"/>
            <w:tcBorders>
              <w:top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1</w:t>
            </w:r>
          </w:p>
        </w:tc>
        <w:tc>
          <w:tcPr>
            <w:tcW w:w="1134" w:type="dxa"/>
            <w:tcBorders>
              <w:top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2</w:t>
            </w:r>
          </w:p>
        </w:tc>
        <w:tc>
          <w:tcPr>
            <w:tcW w:w="1134" w:type="dxa"/>
            <w:tcBorders>
              <w:top w:val="none" w:sz="0" w:space="0" w:color="auto"/>
              <w:bottom w:val="none" w:sz="0" w:space="0" w:color="auto"/>
            </w:tcBorders>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3-5</w:t>
            </w:r>
          </w:p>
        </w:tc>
        <w:tc>
          <w:tcPr>
            <w:tcW w:w="1134" w:type="dxa"/>
            <w:tcBorders>
              <w:top w:val="none" w:sz="0" w:space="0" w:color="auto"/>
              <w:bottom w:val="none" w:sz="0" w:space="0" w:color="auto"/>
              <w:right w:val="none" w:sz="0" w:space="0" w:color="auto"/>
            </w:tcBorders>
            <w:vAlign w:val="center"/>
            <w:hideMark/>
          </w:tcPr>
          <w:p w:rsidR="00D1277C" w:rsidRPr="008158F5" w:rsidRDefault="00D1277C" w:rsidP="00D1277C">
            <w:pPr>
              <w:spacing w:line="276" w:lineRule="auto"/>
              <w:jc w:val="center"/>
              <w:rPr>
                <w:rFonts w:ascii="Lato" w:hAnsi="Lato"/>
                <w:sz w:val="16"/>
                <w:szCs w:val="16"/>
              </w:rPr>
            </w:pPr>
            <w:r w:rsidRPr="008158F5">
              <w:rPr>
                <w:rFonts w:ascii="Lato" w:hAnsi="Lato"/>
                <w:sz w:val="16"/>
                <w:szCs w:val="16"/>
              </w:rPr>
              <w:t>6 o más</w:t>
            </w:r>
          </w:p>
        </w:tc>
      </w:tr>
    </w:tbl>
    <w:p w:rsidR="00D1277C" w:rsidRPr="00D962AE" w:rsidRDefault="00D1277C" w:rsidP="00610E7A">
      <w:pPr>
        <w:spacing w:after="0" w:line="240" w:lineRule="auto"/>
        <w:jc w:val="both"/>
        <w:rPr>
          <w:rFonts w:ascii="Arial" w:hAnsi="Arial" w:cs="Arial"/>
          <w:sz w:val="16"/>
        </w:rPr>
      </w:pPr>
      <w:r w:rsidRPr="00D962AE">
        <w:rPr>
          <w:rFonts w:ascii="Arial" w:hAnsi="Arial" w:cs="Arial"/>
          <w:b/>
          <w:sz w:val="16"/>
        </w:rPr>
        <w:t>*Nota:</w:t>
      </w:r>
      <w:r w:rsidRPr="00D962AE">
        <w:rPr>
          <w:rFonts w:ascii="Arial" w:hAnsi="Arial" w:cs="Arial"/>
          <w:sz w:val="16"/>
        </w:rPr>
        <w:t xml:space="preserve"> Con respecto al FAFEF, la evaluación corresponde únicamente a la transferencia de la SHCP al gobierno estatal.</w:t>
      </w:r>
    </w:p>
    <w:p w:rsidR="00610E7A" w:rsidRPr="00D962AE" w:rsidRDefault="00610E7A" w:rsidP="00610E7A">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610E7A" w:rsidRPr="00D962AE" w:rsidTr="00610E7A">
        <w:trPr>
          <w:trHeight w:val="206"/>
        </w:trPr>
        <w:tc>
          <w:tcPr>
            <w:tcW w:w="784" w:type="dxa"/>
          </w:tcPr>
          <w:p w:rsidR="00610E7A" w:rsidRPr="00D962AE" w:rsidRDefault="00610E7A" w:rsidP="000E1BD6">
            <w:pPr>
              <w:spacing w:line="240" w:lineRule="auto"/>
              <w:ind w:left="-96" w:right="-250" w:hanging="14"/>
              <w:rPr>
                <w:rFonts w:ascii="Arial" w:hAnsi="Arial" w:cs="Arial"/>
                <w:b/>
                <w:sz w:val="16"/>
                <w:szCs w:val="16"/>
                <w:lang w:val="es-MX"/>
              </w:rPr>
            </w:pPr>
            <w:r w:rsidRPr="00D962AE">
              <w:rPr>
                <w:rFonts w:ascii="Arial" w:hAnsi="Arial" w:cs="Arial"/>
                <w:b/>
                <w:sz w:val="16"/>
                <w:szCs w:val="16"/>
                <w:lang w:val="es-MX"/>
              </w:rPr>
              <w:t>FUENTE:</w:t>
            </w:r>
          </w:p>
        </w:tc>
        <w:tc>
          <w:tcPr>
            <w:tcW w:w="7394" w:type="dxa"/>
          </w:tcPr>
          <w:p w:rsidR="00610E7A" w:rsidRPr="00D962AE" w:rsidRDefault="00610E7A" w:rsidP="000E1BD6">
            <w:pPr>
              <w:spacing w:line="240" w:lineRule="auto"/>
              <w:ind w:left="-96" w:right="-94"/>
              <w:rPr>
                <w:rFonts w:ascii="Arial" w:hAnsi="Arial" w:cs="Arial"/>
                <w:sz w:val="16"/>
                <w:szCs w:val="16"/>
                <w:lang w:val="es-MX"/>
              </w:rPr>
            </w:pPr>
            <w:r w:rsidRPr="00D962AE">
              <w:rPr>
                <w:rFonts w:ascii="Arial" w:hAnsi="Arial" w:cs="Arial"/>
                <w:sz w:val="16"/>
                <w:szCs w:val="16"/>
                <w:lang w:val="es-MX"/>
              </w:rPr>
              <w:t>Elaboración del OSFEM.</w:t>
            </w:r>
          </w:p>
        </w:tc>
      </w:tr>
    </w:tbl>
    <w:p w:rsidR="00D1277C" w:rsidRPr="00D962AE" w:rsidRDefault="00D1277C" w:rsidP="00D962AE">
      <w:pPr>
        <w:spacing w:after="0" w:line="360" w:lineRule="auto"/>
        <w:jc w:val="both"/>
        <w:rPr>
          <w:rFonts w:ascii="Arial" w:hAnsi="Arial" w:cs="Arial"/>
          <w:sz w:val="24"/>
          <w:szCs w:val="24"/>
        </w:rPr>
      </w:pPr>
    </w:p>
    <w:p w:rsidR="00D1277C" w:rsidRPr="00D962AE" w:rsidRDefault="00D1277C" w:rsidP="00D962AE">
      <w:pPr>
        <w:spacing w:after="0" w:line="360" w:lineRule="auto"/>
        <w:jc w:val="both"/>
        <w:rPr>
          <w:rFonts w:ascii="Arial" w:hAnsi="Arial" w:cs="Arial"/>
          <w:sz w:val="24"/>
          <w:szCs w:val="24"/>
        </w:rPr>
      </w:pPr>
      <w:r w:rsidRPr="00D962AE">
        <w:rPr>
          <w:rFonts w:ascii="Arial" w:hAnsi="Arial" w:cs="Arial"/>
          <w:sz w:val="24"/>
          <w:szCs w:val="24"/>
        </w:rPr>
        <w:t>Elementos del indicador:</w:t>
      </w:r>
    </w:p>
    <w:tbl>
      <w:tblPr>
        <w:tblStyle w:val="Listaclara-nfasis3"/>
        <w:tblW w:w="8751" w:type="dxa"/>
        <w:jc w:val="center"/>
        <w:tblInd w:w="447"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834"/>
        <w:gridCol w:w="1926"/>
        <w:gridCol w:w="1984"/>
        <w:gridCol w:w="914"/>
        <w:gridCol w:w="1022"/>
        <w:gridCol w:w="1071"/>
      </w:tblGrid>
      <w:tr w:rsidR="00D1277C" w:rsidRPr="00122B63" w:rsidTr="00D1277C">
        <w:trPr>
          <w:cnfStyle w:val="100000000000" w:firstRow="1" w:lastRow="0" w:firstColumn="0" w:lastColumn="0" w:oddVBand="0" w:evenVBand="0" w:oddHBand="0" w:evenHBand="0" w:firstRowFirstColumn="0" w:firstRowLastColumn="0" w:lastRowFirstColumn="0" w:lastRowLastColumn="0"/>
          <w:trHeight w:val="460"/>
          <w:jc w:val="center"/>
        </w:trPr>
        <w:tc>
          <w:tcPr>
            <w:tcW w:w="1834" w:type="dxa"/>
            <w:tcBorders>
              <w:bottom w:val="single" w:sz="8" w:space="0" w:color="B2B2B2"/>
            </w:tcBorders>
            <w:shd w:val="clear" w:color="auto" w:fill="B2B2B2"/>
            <w:vAlign w:val="center"/>
            <w:hideMark/>
          </w:tcPr>
          <w:p w:rsidR="00D1277C" w:rsidRPr="00122B63" w:rsidRDefault="00D1277C" w:rsidP="00D1277C">
            <w:pPr>
              <w:spacing w:line="276" w:lineRule="auto"/>
              <w:ind w:left="52"/>
              <w:jc w:val="center"/>
              <w:rPr>
                <w:rFonts w:ascii="Lato" w:hAnsi="Lato"/>
                <w:sz w:val="16"/>
                <w:szCs w:val="16"/>
              </w:rPr>
            </w:pPr>
            <w:r w:rsidRPr="00122B63">
              <w:rPr>
                <w:rFonts w:ascii="Lato" w:hAnsi="Lato"/>
                <w:sz w:val="16"/>
                <w:szCs w:val="16"/>
              </w:rPr>
              <w:t>Nombre del indicador</w:t>
            </w:r>
          </w:p>
        </w:tc>
        <w:tc>
          <w:tcPr>
            <w:tcW w:w="1926"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Objetivo</w:t>
            </w:r>
          </w:p>
        </w:tc>
        <w:tc>
          <w:tcPr>
            <w:tcW w:w="1984"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Fórmula y variables</w:t>
            </w:r>
          </w:p>
        </w:tc>
        <w:tc>
          <w:tcPr>
            <w:tcW w:w="914"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Unidad de medida</w:t>
            </w:r>
          </w:p>
        </w:tc>
        <w:tc>
          <w:tcPr>
            <w:tcW w:w="1022"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Dimensión</w:t>
            </w:r>
          </w:p>
        </w:tc>
        <w:tc>
          <w:tcPr>
            <w:tcW w:w="1071"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Frecuencia</w:t>
            </w:r>
          </w:p>
        </w:tc>
      </w:tr>
      <w:tr w:rsidR="00D1277C" w:rsidRPr="00122B63"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834" w:type="dxa"/>
            <w:tcBorders>
              <w:top w:val="single" w:sz="8" w:space="0" w:color="B2B2B2"/>
              <w:left w:val="nil"/>
              <w:bottom w:val="single" w:sz="8" w:space="0" w:color="B2B2B2"/>
            </w:tcBorders>
            <w:vAlign w:val="center"/>
          </w:tcPr>
          <w:p w:rsidR="00D1277C" w:rsidRPr="008158F5" w:rsidRDefault="00D1277C" w:rsidP="00D1277C">
            <w:pPr>
              <w:jc w:val="center"/>
              <w:rPr>
                <w:rFonts w:ascii="Lato" w:hAnsi="Lato"/>
                <w:sz w:val="4"/>
                <w:szCs w:val="4"/>
              </w:rPr>
            </w:pPr>
          </w:p>
        </w:tc>
        <w:tc>
          <w:tcPr>
            <w:tcW w:w="1926"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984" w:type="dxa"/>
            <w:tcBorders>
              <w:top w:val="single" w:sz="8" w:space="0" w:color="B2B2B2"/>
              <w:bottom w:val="single" w:sz="8" w:space="0" w:color="B2B2B2"/>
            </w:tcBorders>
            <w:vAlign w:val="center"/>
          </w:tcPr>
          <w:p w:rsidR="00D1277C" w:rsidRPr="008158F5" w:rsidRDefault="00D1277C" w:rsidP="00D1277C">
            <w:pPr>
              <w:jc w:val="center"/>
              <w:rPr>
                <w:rFonts w:ascii="Lato" w:hAnsi="Lato"/>
                <w:b/>
                <w:bCs/>
                <w:sz w:val="4"/>
                <w:szCs w:val="4"/>
              </w:rPr>
            </w:pPr>
          </w:p>
        </w:tc>
        <w:tc>
          <w:tcPr>
            <w:tcW w:w="914"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022"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071" w:type="dxa"/>
            <w:tcBorders>
              <w:top w:val="single" w:sz="8" w:space="0" w:color="B2B2B2"/>
              <w:bottom w:val="single" w:sz="8" w:space="0" w:color="B2B2B2"/>
              <w:right w:val="nil"/>
            </w:tcBorders>
            <w:vAlign w:val="center"/>
          </w:tcPr>
          <w:p w:rsidR="00D1277C" w:rsidRPr="008158F5" w:rsidRDefault="00D1277C" w:rsidP="00D1277C">
            <w:pPr>
              <w:jc w:val="center"/>
              <w:rPr>
                <w:rFonts w:ascii="Lato" w:hAnsi="Lato"/>
                <w:sz w:val="4"/>
                <w:szCs w:val="4"/>
              </w:rPr>
            </w:pPr>
          </w:p>
        </w:tc>
      </w:tr>
      <w:tr w:rsidR="00D1277C" w:rsidRPr="00122B63" w:rsidTr="00D1277C">
        <w:trPr>
          <w:trHeight w:val="1684"/>
          <w:jc w:val="center"/>
        </w:trPr>
        <w:tc>
          <w:tcPr>
            <w:tcW w:w="1834" w:type="dxa"/>
            <w:tcBorders>
              <w:top w:val="single" w:sz="8" w:space="0" w:color="B2B2B2"/>
              <w:bottom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122B63">
              <w:rPr>
                <w:rFonts w:ascii="Lato" w:hAnsi="Lato"/>
                <w:sz w:val="16"/>
                <w:szCs w:val="16"/>
              </w:rPr>
              <w:t>Eficacia de la SHCP en la transferencia de los recursos del Fondo de Aportaciones</w:t>
            </w:r>
            <w:r>
              <w:rPr>
                <w:rFonts w:ascii="Lato" w:hAnsi="Lato"/>
                <w:sz w:val="16"/>
                <w:szCs w:val="16"/>
              </w:rPr>
              <w:t>.</w:t>
            </w:r>
          </w:p>
        </w:tc>
        <w:tc>
          <w:tcPr>
            <w:tcW w:w="1926" w:type="dxa"/>
            <w:tcBorders>
              <w:top w:val="single" w:sz="8" w:space="0" w:color="B2B2B2"/>
              <w:bottom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122B63">
              <w:rPr>
                <w:rFonts w:ascii="Lato" w:hAnsi="Lato"/>
                <w:sz w:val="16"/>
                <w:szCs w:val="16"/>
              </w:rPr>
              <w:t>Determinar el cumplimiento de la SHCP en la transferencia de los recursos del Fondo al GEM, según lo establecido en el DOF</w:t>
            </w:r>
            <w:r>
              <w:rPr>
                <w:rFonts w:ascii="Lato" w:hAnsi="Lato"/>
                <w:sz w:val="16"/>
                <w:szCs w:val="16"/>
              </w:rPr>
              <w:t>.</w:t>
            </w:r>
          </w:p>
        </w:tc>
        <w:tc>
          <w:tcPr>
            <w:tcW w:w="1984" w:type="dxa"/>
            <w:vMerge w:val="restart"/>
            <w:tcBorders>
              <w:top w:val="single" w:sz="8" w:space="0" w:color="B2B2B2"/>
            </w:tcBorders>
            <w:vAlign w:val="center"/>
            <w:hideMark/>
          </w:tcPr>
          <w:p w:rsidR="00D1277C" w:rsidRDefault="00D1277C" w:rsidP="00D1277C">
            <w:pPr>
              <w:jc w:val="center"/>
              <w:rPr>
                <w:rFonts w:ascii="Lato" w:hAnsi="Lato"/>
                <w:b/>
                <w:bCs/>
                <w:sz w:val="16"/>
                <w:szCs w:val="16"/>
              </w:rPr>
            </w:pPr>
            <w:proofErr w:type="spellStart"/>
            <w:r w:rsidRPr="00122B63">
              <w:rPr>
                <w:rFonts w:ascii="Lato" w:hAnsi="Lato"/>
                <w:b/>
                <w:bCs/>
                <w:sz w:val="16"/>
                <w:szCs w:val="16"/>
              </w:rPr>
              <w:t>Fd</w:t>
            </w:r>
            <w:proofErr w:type="spellEnd"/>
            <w:r w:rsidRPr="00122B63">
              <w:rPr>
                <w:rFonts w:ascii="Lato" w:hAnsi="Lato"/>
                <w:b/>
                <w:bCs/>
                <w:sz w:val="16"/>
                <w:szCs w:val="16"/>
              </w:rPr>
              <w:t xml:space="preserve"> – </w:t>
            </w:r>
            <w:proofErr w:type="spellStart"/>
            <w:r w:rsidRPr="00122B63">
              <w:rPr>
                <w:rFonts w:ascii="Lato" w:hAnsi="Lato"/>
                <w:b/>
                <w:bCs/>
                <w:sz w:val="16"/>
                <w:szCs w:val="16"/>
              </w:rPr>
              <w:t>Fp</w:t>
            </w:r>
            <w:proofErr w:type="spellEnd"/>
            <w:r w:rsidRPr="00122B63">
              <w:rPr>
                <w:rFonts w:ascii="Lato" w:hAnsi="Lato"/>
                <w:b/>
                <w:bCs/>
                <w:sz w:val="16"/>
                <w:szCs w:val="16"/>
              </w:rPr>
              <w:t xml:space="preserve"> = </w:t>
            </w:r>
            <w:proofErr w:type="spellStart"/>
            <w:r w:rsidRPr="00122B63">
              <w:rPr>
                <w:rFonts w:ascii="Lato" w:hAnsi="Lato"/>
                <w:b/>
                <w:bCs/>
                <w:sz w:val="16"/>
                <w:szCs w:val="16"/>
              </w:rPr>
              <w:t>Dnt</w:t>
            </w:r>
            <w:proofErr w:type="spellEnd"/>
          </w:p>
          <w:p w:rsidR="00D1277C" w:rsidRPr="00122B63" w:rsidRDefault="00D1277C" w:rsidP="00D1277C">
            <w:pPr>
              <w:spacing w:line="276" w:lineRule="auto"/>
              <w:jc w:val="center"/>
              <w:rPr>
                <w:rFonts w:ascii="Lato" w:hAnsi="Lato"/>
                <w:sz w:val="16"/>
                <w:szCs w:val="16"/>
              </w:rPr>
            </w:pPr>
          </w:p>
          <w:p w:rsidR="00D1277C" w:rsidRPr="00122B63" w:rsidRDefault="00D1277C" w:rsidP="00D1277C">
            <w:pPr>
              <w:spacing w:line="276" w:lineRule="auto"/>
              <w:jc w:val="both"/>
              <w:rPr>
                <w:rFonts w:ascii="Lato" w:hAnsi="Lato"/>
                <w:sz w:val="16"/>
                <w:szCs w:val="16"/>
              </w:rPr>
            </w:pPr>
            <w:proofErr w:type="spellStart"/>
            <w:r w:rsidRPr="00122B63">
              <w:rPr>
                <w:rFonts w:ascii="Lato" w:hAnsi="Lato"/>
                <w:b/>
                <w:bCs/>
                <w:sz w:val="16"/>
                <w:szCs w:val="16"/>
              </w:rPr>
              <w:t>Fd</w:t>
            </w:r>
            <w:proofErr w:type="spellEnd"/>
            <w:r w:rsidRPr="00122B63">
              <w:rPr>
                <w:rFonts w:ascii="Lato" w:hAnsi="Lato"/>
                <w:b/>
                <w:bCs/>
                <w:sz w:val="16"/>
                <w:szCs w:val="16"/>
              </w:rPr>
              <w:t>:</w:t>
            </w:r>
            <w:r w:rsidRPr="00122B63">
              <w:rPr>
                <w:rFonts w:ascii="Lato" w:hAnsi="Lato"/>
                <w:sz w:val="16"/>
                <w:szCs w:val="16"/>
              </w:rPr>
              <w:t xml:space="preserve"> Fecha depósito o transferencia electrónica</w:t>
            </w:r>
          </w:p>
          <w:p w:rsidR="00D1277C" w:rsidRPr="00122B63" w:rsidRDefault="00D1277C" w:rsidP="00D1277C">
            <w:pPr>
              <w:spacing w:line="276" w:lineRule="auto"/>
              <w:jc w:val="both"/>
              <w:rPr>
                <w:rFonts w:ascii="Lato" w:hAnsi="Lato"/>
                <w:sz w:val="16"/>
                <w:szCs w:val="16"/>
              </w:rPr>
            </w:pPr>
            <w:proofErr w:type="spellStart"/>
            <w:r w:rsidRPr="00122B63">
              <w:rPr>
                <w:rFonts w:ascii="Lato" w:hAnsi="Lato"/>
                <w:b/>
                <w:bCs/>
                <w:sz w:val="16"/>
                <w:szCs w:val="16"/>
              </w:rPr>
              <w:t>Fp</w:t>
            </w:r>
            <w:proofErr w:type="spellEnd"/>
            <w:r w:rsidRPr="00122B63">
              <w:rPr>
                <w:rFonts w:ascii="Lato" w:hAnsi="Lato"/>
                <w:b/>
                <w:bCs/>
                <w:sz w:val="16"/>
                <w:szCs w:val="16"/>
              </w:rPr>
              <w:t xml:space="preserve">: </w:t>
            </w:r>
            <w:r w:rsidRPr="00122B63">
              <w:rPr>
                <w:rFonts w:ascii="Lato" w:hAnsi="Lato"/>
                <w:sz w:val="16"/>
                <w:szCs w:val="16"/>
              </w:rPr>
              <w:t>Fecha Programada publicada en el acuerdo del ejercicio fiscal correspondiente, del DOF.</w:t>
            </w:r>
          </w:p>
          <w:p w:rsidR="00D1277C" w:rsidRPr="00122B63" w:rsidRDefault="00D1277C" w:rsidP="00D1277C">
            <w:pPr>
              <w:spacing w:line="276" w:lineRule="auto"/>
              <w:jc w:val="both"/>
              <w:rPr>
                <w:rFonts w:ascii="Lato" w:hAnsi="Lato"/>
                <w:sz w:val="16"/>
                <w:szCs w:val="16"/>
              </w:rPr>
            </w:pPr>
            <w:proofErr w:type="spellStart"/>
            <w:r w:rsidRPr="00122B63">
              <w:rPr>
                <w:rFonts w:ascii="Lato" w:hAnsi="Lato"/>
                <w:b/>
                <w:bCs/>
                <w:sz w:val="16"/>
                <w:szCs w:val="16"/>
              </w:rPr>
              <w:t>Dnt</w:t>
            </w:r>
            <w:proofErr w:type="spellEnd"/>
            <w:r w:rsidRPr="00122B63">
              <w:rPr>
                <w:rFonts w:ascii="Lato" w:hAnsi="Lato"/>
                <w:b/>
                <w:bCs/>
                <w:sz w:val="16"/>
                <w:szCs w:val="16"/>
              </w:rPr>
              <w:t xml:space="preserve">: </w:t>
            </w:r>
            <w:r w:rsidRPr="00122B63">
              <w:rPr>
                <w:rFonts w:ascii="Lato" w:hAnsi="Lato"/>
                <w:sz w:val="16"/>
                <w:szCs w:val="16"/>
              </w:rPr>
              <w:t>Días naturales transcurridos.</w:t>
            </w:r>
          </w:p>
        </w:tc>
        <w:tc>
          <w:tcPr>
            <w:tcW w:w="914" w:type="dxa"/>
            <w:vMerge w:val="restart"/>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Días</w:t>
            </w:r>
          </w:p>
        </w:tc>
        <w:tc>
          <w:tcPr>
            <w:tcW w:w="1022" w:type="dxa"/>
            <w:vMerge w:val="restart"/>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Eficacia</w:t>
            </w:r>
          </w:p>
        </w:tc>
        <w:tc>
          <w:tcPr>
            <w:tcW w:w="1071" w:type="dxa"/>
            <w:vMerge w:val="restart"/>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Trimestral</w:t>
            </w:r>
          </w:p>
        </w:tc>
      </w:tr>
      <w:tr w:rsidR="00D1277C" w:rsidRPr="00122B63" w:rsidTr="00D1277C">
        <w:trPr>
          <w:cnfStyle w:val="000000100000" w:firstRow="0" w:lastRow="0" w:firstColumn="0" w:lastColumn="0" w:oddVBand="0" w:evenVBand="0" w:oddHBand="1" w:evenHBand="0" w:firstRowFirstColumn="0" w:firstRowLastColumn="0" w:lastRowFirstColumn="0" w:lastRowLastColumn="0"/>
          <w:trHeight w:val="1238"/>
          <w:jc w:val="center"/>
        </w:trPr>
        <w:tc>
          <w:tcPr>
            <w:tcW w:w="1834" w:type="dxa"/>
            <w:tcBorders>
              <w:top w:val="single" w:sz="8" w:space="0" w:color="B2B2B2"/>
              <w:left w:val="nil"/>
              <w:bottom w:val="single" w:sz="8" w:space="0" w:color="B2B2B2"/>
            </w:tcBorders>
            <w:vAlign w:val="center"/>
          </w:tcPr>
          <w:p w:rsidR="00D1277C" w:rsidRPr="00122B63" w:rsidRDefault="00D1277C" w:rsidP="00D1277C">
            <w:pPr>
              <w:jc w:val="both"/>
              <w:rPr>
                <w:rFonts w:ascii="Lato" w:hAnsi="Lato"/>
                <w:sz w:val="16"/>
                <w:szCs w:val="16"/>
              </w:rPr>
            </w:pPr>
            <w:r w:rsidRPr="00122B63">
              <w:rPr>
                <w:rFonts w:ascii="Lato" w:hAnsi="Lato"/>
                <w:sz w:val="16"/>
                <w:szCs w:val="16"/>
              </w:rPr>
              <w:t xml:space="preserve">Eficacia del </w:t>
            </w:r>
            <w:r>
              <w:rPr>
                <w:rFonts w:ascii="Lato" w:hAnsi="Lato"/>
                <w:sz w:val="16"/>
                <w:szCs w:val="16"/>
              </w:rPr>
              <w:t>GEM</w:t>
            </w:r>
            <w:r w:rsidRPr="00122B63">
              <w:rPr>
                <w:rFonts w:ascii="Lato" w:hAnsi="Lato"/>
                <w:sz w:val="16"/>
                <w:szCs w:val="16"/>
              </w:rPr>
              <w:t xml:space="preserve"> en la transferencia de los recursos del Fondo de Aportaciones</w:t>
            </w:r>
            <w:r>
              <w:rPr>
                <w:rFonts w:ascii="Lato" w:hAnsi="Lato"/>
                <w:sz w:val="16"/>
                <w:szCs w:val="16"/>
              </w:rPr>
              <w:t>.</w:t>
            </w:r>
          </w:p>
        </w:tc>
        <w:tc>
          <w:tcPr>
            <w:tcW w:w="1926" w:type="dxa"/>
            <w:tcBorders>
              <w:top w:val="single" w:sz="8" w:space="0" w:color="B2B2B2"/>
              <w:bottom w:val="single" w:sz="8" w:space="0" w:color="B2B2B2"/>
            </w:tcBorders>
            <w:vAlign w:val="center"/>
          </w:tcPr>
          <w:p w:rsidR="00D1277C" w:rsidRPr="00122B63" w:rsidRDefault="00D1277C" w:rsidP="00D1277C">
            <w:pPr>
              <w:jc w:val="both"/>
              <w:rPr>
                <w:rFonts w:ascii="Lato" w:hAnsi="Lato"/>
                <w:sz w:val="16"/>
                <w:szCs w:val="16"/>
              </w:rPr>
            </w:pPr>
            <w:r w:rsidRPr="00207A9B">
              <w:rPr>
                <w:rFonts w:ascii="Lato" w:hAnsi="Lato"/>
                <w:sz w:val="16"/>
                <w:szCs w:val="16"/>
              </w:rPr>
              <w:t>Determinar la oportunidad del GEM en la transferencia de los recursos.</w:t>
            </w:r>
          </w:p>
        </w:tc>
        <w:tc>
          <w:tcPr>
            <w:tcW w:w="1984" w:type="dxa"/>
            <w:vMerge/>
            <w:tcBorders>
              <w:bottom w:val="single" w:sz="8" w:space="0" w:color="B2B2B2"/>
            </w:tcBorders>
            <w:vAlign w:val="center"/>
          </w:tcPr>
          <w:p w:rsidR="00D1277C" w:rsidRPr="00122B63" w:rsidRDefault="00D1277C" w:rsidP="00D1277C">
            <w:pPr>
              <w:jc w:val="center"/>
              <w:rPr>
                <w:rFonts w:ascii="Lato" w:hAnsi="Lato"/>
                <w:b/>
                <w:bCs/>
                <w:sz w:val="16"/>
                <w:szCs w:val="16"/>
              </w:rPr>
            </w:pPr>
          </w:p>
        </w:tc>
        <w:tc>
          <w:tcPr>
            <w:tcW w:w="914" w:type="dxa"/>
            <w:vMerge/>
            <w:tcBorders>
              <w:bottom w:val="single" w:sz="8" w:space="0" w:color="B2B2B2"/>
            </w:tcBorders>
            <w:vAlign w:val="center"/>
          </w:tcPr>
          <w:p w:rsidR="00D1277C" w:rsidRPr="00122B63" w:rsidRDefault="00D1277C" w:rsidP="00D1277C">
            <w:pPr>
              <w:jc w:val="center"/>
              <w:rPr>
                <w:rFonts w:ascii="Lato" w:hAnsi="Lato"/>
                <w:sz w:val="16"/>
                <w:szCs w:val="16"/>
              </w:rPr>
            </w:pPr>
          </w:p>
        </w:tc>
        <w:tc>
          <w:tcPr>
            <w:tcW w:w="1022" w:type="dxa"/>
            <w:vMerge/>
            <w:tcBorders>
              <w:bottom w:val="single" w:sz="8" w:space="0" w:color="B2B2B2"/>
            </w:tcBorders>
            <w:vAlign w:val="center"/>
          </w:tcPr>
          <w:p w:rsidR="00D1277C" w:rsidRPr="00122B63" w:rsidRDefault="00D1277C" w:rsidP="00D1277C">
            <w:pPr>
              <w:jc w:val="center"/>
              <w:rPr>
                <w:rFonts w:ascii="Lato" w:hAnsi="Lato"/>
                <w:sz w:val="16"/>
                <w:szCs w:val="16"/>
              </w:rPr>
            </w:pPr>
          </w:p>
        </w:tc>
        <w:tc>
          <w:tcPr>
            <w:tcW w:w="1071" w:type="dxa"/>
            <w:vMerge/>
            <w:tcBorders>
              <w:bottom w:val="single" w:sz="8" w:space="0" w:color="B2B2B2"/>
              <w:right w:val="nil"/>
            </w:tcBorders>
            <w:vAlign w:val="center"/>
          </w:tcPr>
          <w:p w:rsidR="00D1277C" w:rsidRPr="00122B63" w:rsidRDefault="00D1277C" w:rsidP="00D1277C">
            <w:pPr>
              <w:jc w:val="center"/>
              <w:rPr>
                <w:rFonts w:ascii="Lato" w:hAnsi="Lato"/>
                <w:sz w:val="16"/>
                <w:szCs w:val="16"/>
              </w:rPr>
            </w:pPr>
          </w:p>
        </w:tc>
      </w:tr>
    </w:tbl>
    <w:p w:rsidR="00E277DB" w:rsidRPr="00D962AE"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D962AE" w:rsidTr="000E1BD6">
        <w:trPr>
          <w:trHeight w:val="206"/>
        </w:trPr>
        <w:tc>
          <w:tcPr>
            <w:tcW w:w="784" w:type="dxa"/>
          </w:tcPr>
          <w:p w:rsidR="00E277DB" w:rsidRPr="00D962AE" w:rsidRDefault="00E277DB" w:rsidP="000E1BD6">
            <w:pPr>
              <w:spacing w:line="240" w:lineRule="auto"/>
              <w:ind w:left="-96" w:right="-250" w:hanging="14"/>
              <w:rPr>
                <w:rFonts w:ascii="Arial" w:hAnsi="Arial" w:cs="Arial"/>
                <w:b/>
                <w:sz w:val="16"/>
                <w:szCs w:val="16"/>
                <w:lang w:val="es-MX"/>
              </w:rPr>
            </w:pPr>
            <w:r w:rsidRPr="00D962AE">
              <w:rPr>
                <w:rFonts w:ascii="Arial" w:hAnsi="Arial" w:cs="Arial"/>
                <w:b/>
                <w:sz w:val="16"/>
                <w:szCs w:val="16"/>
                <w:lang w:val="es-MX"/>
              </w:rPr>
              <w:t>FUENTE:</w:t>
            </w:r>
          </w:p>
        </w:tc>
        <w:tc>
          <w:tcPr>
            <w:tcW w:w="7394" w:type="dxa"/>
          </w:tcPr>
          <w:p w:rsidR="00E277DB" w:rsidRPr="00D962AE" w:rsidRDefault="00E277DB" w:rsidP="000E1BD6">
            <w:pPr>
              <w:spacing w:line="240" w:lineRule="auto"/>
              <w:ind w:left="-96" w:right="-94"/>
              <w:rPr>
                <w:rFonts w:ascii="Arial" w:hAnsi="Arial" w:cs="Arial"/>
                <w:sz w:val="16"/>
                <w:szCs w:val="16"/>
                <w:lang w:val="es-MX"/>
              </w:rPr>
            </w:pPr>
            <w:r w:rsidRPr="00D962AE">
              <w:rPr>
                <w:rFonts w:ascii="Arial" w:hAnsi="Arial" w:cs="Arial"/>
                <w:sz w:val="16"/>
                <w:szCs w:val="16"/>
                <w:lang w:val="es-MX"/>
              </w:rPr>
              <w:t xml:space="preserve">Elaboración </w:t>
            </w:r>
            <w:r w:rsidR="00473EE4" w:rsidRPr="00D962AE">
              <w:rPr>
                <w:rFonts w:ascii="Arial" w:hAnsi="Arial" w:cs="Arial"/>
                <w:sz w:val="16"/>
                <w:szCs w:val="16"/>
                <w:lang w:val="es-MX"/>
              </w:rPr>
              <w:t>propia</w:t>
            </w:r>
            <w:r w:rsidRPr="00D962AE">
              <w:rPr>
                <w:rFonts w:ascii="Arial" w:hAnsi="Arial" w:cs="Arial"/>
                <w:sz w:val="16"/>
                <w:szCs w:val="16"/>
                <w:lang w:val="es-MX"/>
              </w:rPr>
              <w:t>.</w:t>
            </w:r>
          </w:p>
        </w:tc>
      </w:tr>
    </w:tbl>
    <w:p w:rsidR="00D1277C" w:rsidRDefault="00D1277C" w:rsidP="00D1277C">
      <w:pPr>
        <w:spacing w:after="0" w:line="360" w:lineRule="auto"/>
        <w:jc w:val="both"/>
        <w:rPr>
          <w:rFonts w:ascii="Arial" w:hAnsi="Arial" w:cs="Arial"/>
        </w:rPr>
      </w:pPr>
    </w:p>
    <w:p w:rsidR="00E61CCB" w:rsidRPr="00D962AE" w:rsidRDefault="00E61CCB" w:rsidP="00D1277C">
      <w:pPr>
        <w:spacing w:after="0" w:line="360" w:lineRule="auto"/>
        <w:jc w:val="both"/>
        <w:rPr>
          <w:rFonts w:ascii="Arial" w:hAnsi="Arial" w:cs="Arial"/>
        </w:rPr>
      </w:pPr>
    </w:p>
    <w:p w:rsidR="00D1277C" w:rsidRPr="00D962AE" w:rsidRDefault="00D1277C" w:rsidP="00D1277C">
      <w:pPr>
        <w:spacing w:after="0" w:line="360" w:lineRule="auto"/>
        <w:jc w:val="both"/>
        <w:rPr>
          <w:rFonts w:ascii="Arial" w:hAnsi="Arial" w:cs="Arial"/>
        </w:rPr>
      </w:pPr>
      <w:r w:rsidRPr="00D962AE">
        <w:rPr>
          <w:rFonts w:ascii="Arial" w:hAnsi="Arial" w:cs="Arial"/>
        </w:rPr>
        <w:t>Medios de verificación:</w:t>
      </w:r>
    </w:p>
    <w:tbl>
      <w:tblPr>
        <w:tblStyle w:val="Listaclara-nfasis3"/>
        <w:tblW w:w="8373" w:type="dxa"/>
        <w:jc w:val="center"/>
        <w:tblBorders>
          <w:left w:val="none" w:sz="0" w:space="0" w:color="auto"/>
          <w:right w:val="none" w:sz="0" w:space="0" w:color="auto"/>
          <w:insideH w:val="single" w:sz="8" w:space="0" w:color="9BBB59" w:themeColor="accent3"/>
        </w:tblBorders>
        <w:tblLayout w:type="fixed"/>
        <w:tblLook w:val="0420" w:firstRow="1" w:lastRow="0" w:firstColumn="0" w:lastColumn="0" w:noHBand="0" w:noVBand="1"/>
      </w:tblPr>
      <w:tblGrid>
        <w:gridCol w:w="2791"/>
        <w:gridCol w:w="2791"/>
        <w:gridCol w:w="2791"/>
      </w:tblGrid>
      <w:tr w:rsidR="00D1277C" w:rsidRPr="00496472" w:rsidTr="00D1277C">
        <w:trPr>
          <w:cnfStyle w:val="100000000000" w:firstRow="1" w:lastRow="0" w:firstColumn="0" w:lastColumn="0" w:oddVBand="0" w:evenVBand="0" w:oddHBand="0" w:evenHBand="0" w:firstRowFirstColumn="0" w:firstRowLastColumn="0" w:lastRowFirstColumn="0" w:lastRowLastColumn="0"/>
          <w:trHeight w:val="267"/>
          <w:jc w:val="center"/>
        </w:trPr>
        <w:tc>
          <w:tcPr>
            <w:tcW w:w="2791" w:type="dxa"/>
            <w:tcBorders>
              <w:bottom w:val="single" w:sz="8" w:space="0" w:color="9BBB59" w:themeColor="accent3"/>
            </w:tcBorders>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1</w:t>
            </w:r>
          </w:p>
        </w:tc>
        <w:tc>
          <w:tcPr>
            <w:tcW w:w="2791" w:type="dxa"/>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2</w:t>
            </w:r>
          </w:p>
        </w:tc>
        <w:tc>
          <w:tcPr>
            <w:tcW w:w="2791" w:type="dxa"/>
            <w:tcBorders>
              <w:top w:val="nil"/>
              <w:right w:val="single" w:sz="18" w:space="0" w:color="FFFFFF"/>
            </w:tcBorders>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3</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2791" w:type="dxa"/>
            <w:tcBorders>
              <w:left w:val="nil"/>
            </w:tcBorders>
            <w:vAlign w:val="center"/>
          </w:tcPr>
          <w:p w:rsidR="00D1277C" w:rsidRPr="00496472" w:rsidRDefault="00D1277C" w:rsidP="00D1277C">
            <w:pPr>
              <w:jc w:val="center"/>
              <w:rPr>
                <w:rFonts w:ascii="Lato" w:hAnsi="Lato"/>
                <w:b/>
                <w:bCs/>
                <w:i/>
                <w:iCs/>
                <w:sz w:val="2"/>
                <w:szCs w:val="2"/>
              </w:rPr>
            </w:pPr>
          </w:p>
        </w:tc>
        <w:tc>
          <w:tcPr>
            <w:tcW w:w="2791" w:type="dxa"/>
            <w:vAlign w:val="center"/>
          </w:tcPr>
          <w:p w:rsidR="00D1277C" w:rsidRPr="00496472" w:rsidRDefault="00D1277C" w:rsidP="00D1277C">
            <w:pPr>
              <w:jc w:val="center"/>
              <w:rPr>
                <w:rFonts w:ascii="Lato" w:hAnsi="Lato"/>
                <w:b/>
                <w:bCs/>
                <w:i/>
                <w:iCs/>
                <w:sz w:val="2"/>
                <w:szCs w:val="2"/>
              </w:rPr>
            </w:pPr>
          </w:p>
        </w:tc>
        <w:tc>
          <w:tcPr>
            <w:tcW w:w="2791" w:type="dxa"/>
            <w:tcBorders>
              <w:right w:val="single" w:sz="18" w:space="0" w:color="FFFFFF"/>
            </w:tcBorders>
            <w:vAlign w:val="center"/>
          </w:tcPr>
          <w:p w:rsidR="00D1277C" w:rsidRPr="00496472" w:rsidRDefault="00D1277C" w:rsidP="00D1277C">
            <w:pPr>
              <w:jc w:val="center"/>
              <w:rPr>
                <w:rFonts w:ascii="Lato" w:hAnsi="Lato"/>
                <w:b/>
                <w:bCs/>
                <w:i/>
                <w:iCs/>
                <w:sz w:val="2"/>
                <w:szCs w:val="2"/>
              </w:rPr>
            </w:pPr>
          </w:p>
        </w:tc>
      </w:tr>
      <w:tr w:rsidR="00D1277C" w:rsidRPr="00496472" w:rsidTr="00D1277C">
        <w:trPr>
          <w:trHeight w:val="572"/>
          <w:jc w:val="center"/>
        </w:trPr>
        <w:tc>
          <w:tcPr>
            <w:tcW w:w="2791" w:type="dxa"/>
            <w:tcBorders>
              <w:bottom w:val="single" w:sz="8" w:space="0" w:color="9BBB59" w:themeColor="accent3"/>
            </w:tcBorders>
            <w:shd w:val="clear" w:color="auto" w:fill="F2F2F2" w:themeFill="background1" w:themeFillShade="F2"/>
            <w:vAlign w:val="center"/>
            <w:hideMark/>
          </w:tcPr>
          <w:p w:rsidR="00D1277C" w:rsidRPr="00496472" w:rsidRDefault="00D1277C" w:rsidP="00D1277C">
            <w:pPr>
              <w:jc w:val="center"/>
              <w:rPr>
                <w:rFonts w:ascii="Lato" w:hAnsi="Lato"/>
                <w:sz w:val="16"/>
                <w:szCs w:val="16"/>
              </w:rPr>
            </w:pPr>
            <w:proofErr w:type="spellStart"/>
            <w:r w:rsidRPr="00496472">
              <w:rPr>
                <w:rFonts w:ascii="Lato" w:hAnsi="Lato"/>
                <w:b/>
                <w:bCs/>
                <w:i/>
                <w:iCs/>
                <w:sz w:val="16"/>
                <w:szCs w:val="16"/>
              </w:rPr>
              <w:t>Fd</w:t>
            </w:r>
            <w:proofErr w:type="spellEnd"/>
            <w:r w:rsidRPr="00496472">
              <w:rPr>
                <w:rFonts w:ascii="Lato" w:hAnsi="Lato"/>
                <w:b/>
                <w:bCs/>
                <w:i/>
                <w:iCs/>
                <w:sz w:val="16"/>
                <w:szCs w:val="16"/>
              </w:rPr>
              <w:t xml:space="preserve">: </w:t>
            </w:r>
            <w:r w:rsidRPr="00496472">
              <w:rPr>
                <w:rFonts w:ascii="Lato" w:hAnsi="Lato"/>
                <w:i/>
                <w:iCs/>
                <w:sz w:val="16"/>
                <w:szCs w:val="16"/>
              </w:rPr>
              <w:t>Fecha de Depósito o transferencia electrónica</w:t>
            </w:r>
          </w:p>
        </w:tc>
        <w:tc>
          <w:tcPr>
            <w:tcW w:w="2791" w:type="dxa"/>
            <w:shd w:val="clear" w:color="auto" w:fill="F2F2F2" w:themeFill="background1" w:themeFillShade="F2"/>
            <w:vAlign w:val="center"/>
            <w:hideMark/>
          </w:tcPr>
          <w:p w:rsidR="00D1277C" w:rsidRPr="00496472" w:rsidRDefault="00D1277C" w:rsidP="00D1277C">
            <w:pPr>
              <w:jc w:val="center"/>
              <w:rPr>
                <w:rFonts w:ascii="Lato" w:hAnsi="Lato"/>
                <w:sz w:val="16"/>
                <w:szCs w:val="16"/>
              </w:rPr>
            </w:pPr>
            <w:proofErr w:type="spellStart"/>
            <w:r w:rsidRPr="00496472">
              <w:rPr>
                <w:rFonts w:ascii="Lato" w:hAnsi="Lato"/>
                <w:b/>
                <w:bCs/>
                <w:i/>
                <w:iCs/>
                <w:sz w:val="16"/>
                <w:szCs w:val="16"/>
              </w:rPr>
              <w:t>Fp</w:t>
            </w:r>
            <w:proofErr w:type="spellEnd"/>
            <w:r w:rsidRPr="00496472">
              <w:rPr>
                <w:rFonts w:ascii="Lato" w:hAnsi="Lato"/>
                <w:b/>
                <w:bCs/>
                <w:i/>
                <w:iCs/>
                <w:sz w:val="16"/>
                <w:szCs w:val="16"/>
              </w:rPr>
              <w:t>:</w:t>
            </w:r>
            <w:r w:rsidRPr="00496472">
              <w:rPr>
                <w:rFonts w:ascii="Lato" w:hAnsi="Lato"/>
                <w:i/>
                <w:iCs/>
                <w:sz w:val="16"/>
                <w:szCs w:val="16"/>
              </w:rPr>
              <w:t xml:space="preserve"> Fecha Programada publicada en el DOF</w:t>
            </w:r>
          </w:p>
        </w:tc>
        <w:tc>
          <w:tcPr>
            <w:tcW w:w="2791" w:type="dxa"/>
            <w:tcBorders>
              <w:right w:val="single" w:sz="18" w:space="0" w:color="FFFFFF"/>
            </w:tcBorders>
            <w:shd w:val="clear" w:color="auto" w:fill="F2F2F2" w:themeFill="background1" w:themeFillShade="F2"/>
            <w:vAlign w:val="center"/>
            <w:hideMark/>
          </w:tcPr>
          <w:p w:rsidR="00D1277C" w:rsidRPr="00496472" w:rsidRDefault="00D1277C" w:rsidP="00D1277C">
            <w:pPr>
              <w:jc w:val="center"/>
              <w:rPr>
                <w:rFonts w:ascii="Lato" w:hAnsi="Lato"/>
                <w:sz w:val="16"/>
                <w:szCs w:val="16"/>
              </w:rPr>
            </w:pPr>
            <w:proofErr w:type="spellStart"/>
            <w:r w:rsidRPr="00496472">
              <w:rPr>
                <w:rFonts w:ascii="Lato" w:hAnsi="Lato"/>
                <w:b/>
                <w:bCs/>
                <w:i/>
                <w:iCs/>
                <w:sz w:val="16"/>
                <w:szCs w:val="16"/>
              </w:rPr>
              <w:t>Dnt</w:t>
            </w:r>
            <w:proofErr w:type="spellEnd"/>
            <w:r w:rsidRPr="00496472">
              <w:rPr>
                <w:rFonts w:ascii="Lato" w:hAnsi="Lato"/>
                <w:b/>
                <w:bCs/>
                <w:i/>
                <w:iCs/>
                <w:sz w:val="16"/>
                <w:szCs w:val="16"/>
              </w:rPr>
              <w:t xml:space="preserve">: </w:t>
            </w:r>
            <w:r w:rsidRPr="00496472">
              <w:rPr>
                <w:rFonts w:ascii="Lato" w:hAnsi="Lato"/>
                <w:i/>
                <w:iCs/>
                <w:sz w:val="16"/>
                <w:szCs w:val="16"/>
              </w:rPr>
              <w:t>Días naturales transcurridos.</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1960"/>
          <w:jc w:val="center"/>
        </w:trPr>
        <w:tc>
          <w:tcPr>
            <w:tcW w:w="2791" w:type="dxa"/>
            <w:tcBorders>
              <w:left w:val="nil"/>
            </w:tcBorders>
            <w:vAlign w:val="center"/>
            <w:hideMark/>
          </w:tcPr>
          <w:p w:rsidR="00D1277C" w:rsidRPr="00496472" w:rsidRDefault="00D1277C" w:rsidP="00D1277C">
            <w:pPr>
              <w:spacing w:line="276" w:lineRule="auto"/>
              <w:jc w:val="both"/>
              <w:rPr>
                <w:rFonts w:ascii="Lato" w:hAnsi="Lato"/>
                <w:sz w:val="16"/>
                <w:szCs w:val="16"/>
              </w:rPr>
            </w:pPr>
            <w:r w:rsidRPr="00496472">
              <w:rPr>
                <w:rFonts w:ascii="Lato" w:hAnsi="Lato"/>
                <w:sz w:val="16"/>
                <w:szCs w:val="16"/>
              </w:rPr>
              <w:t>Recibo oficial de depósito de los recursos (póliza de ingreso o comprobante similar) y estado de cuenta bancario en el que se radicaron los recursos  (cuenta específica).</w:t>
            </w:r>
          </w:p>
        </w:tc>
        <w:tc>
          <w:tcPr>
            <w:tcW w:w="2791" w:type="dxa"/>
            <w:vAlign w:val="center"/>
            <w:hideMark/>
          </w:tcPr>
          <w:p w:rsidR="00D1277C" w:rsidRPr="00496472" w:rsidRDefault="00D1277C" w:rsidP="00D1277C">
            <w:pPr>
              <w:spacing w:line="276" w:lineRule="auto"/>
              <w:jc w:val="both"/>
              <w:rPr>
                <w:rFonts w:ascii="Lato" w:hAnsi="Lato"/>
                <w:sz w:val="16"/>
                <w:szCs w:val="16"/>
              </w:rPr>
            </w:pPr>
            <w:r w:rsidRPr="00496472">
              <w:rPr>
                <w:rFonts w:ascii="Lato" w:hAnsi="Lato"/>
                <w:sz w:val="16"/>
                <w:szCs w:val="16"/>
              </w:rPr>
              <w:t>Acuerdo por el que se da a conocer a los Gobiernos de las Entidades Federativas la distribución y calendarización para la ministración de los recursos del Ramo General 33 Aportaciones Federales del ejercicio fiscal correspondiente, publicado en el Diario Oficial de la Federación.</w:t>
            </w:r>
          </w:p>
        </w:tc>
        <w:tc>
          <w:tcPr>
            <w:tcW w:w="2791" w:type="dxa"/>
            <w:tcBorders>
              <w:right w:val="single" w:sz="18" w:space="0" w:color="FFFFFF"/>
            </w:tcBorders>
            <w:vAlign w:val="center"/>
            <w:hideMark/>
          </w:tcPr>
          <w:p w:rsidR="00D1277C" w:rsidRPr="00496472" w:rsidRDefault="00D1277C" w:rsidP="00D1277C">
            <w:pPr>
              <w:spacing w:line="276" w:lineRule="auto"/>
              <w:ind w:right="45"/>
              <w:jc w:val="both"/>
              <w:rPr>
                <w:rFonts w:ascii="Lato" w:hAnsi="Lato"/>
                <w:sz w:val="16"/>
                <w:szCs w:val="16"/>
              </w:rPr>
            </w:pPr>
            <w:r w:rsidRPr="00496472">
              <w:rPr>
                <w:rFonts w:ascii="Lato" w:hAnsi="Lato"/>
                <w:sz w:val="16"/>
                <w:szCs w:val="16"/>
              </w:rPr>
              <w:t>Resultado de la resta de Variable 1 menos Variable 2.</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962AE" w:rsidRDefault="00D962AE" w:rsidP="00D1277C">
      <w:pPr>
        <w:spacing w:after="0" w:line="360" w:lineRule="auto"/>
        <w:jc w:val="both"/>
        <w:rPr>
          <w:rFonts w:ascii="Arial" w:hAnsi="Arial" w:cs="Arial"/>
        </w:rPr>
      </w:pPr>
    </w:p>
    <w:p w:rsidR="00D962AE" w:rsidRDefault="00D962AE" w:rsidP="00D1277C">
      <w:pPr>
        <w:spacing w:after="0" w:line="360" w:lineRule="auto"/>
        <w:jc w:val="both"/>
        <w:rPr>
          <w:rFonts w:ascii="Arial" w:hAnsi="Arial" w:cs="Arial"/>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El indicador de depósito de los recursos evalúa el porcentaje de eficiencia con la que la SHCP lleva a cabo el depósito de los montos asignados de los Fondos a las cuentas bancarias determinadas por Gobierno Estatal; a su vez, se evalúa que la Secretaría de Finanzas, Tesorería o su equivalente en el gobierno estatal realiza el depósito de los montos asignados en las cuentas bancarias de las Entidades Ejecutoras de cada uno de los Fondos.</w:t>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El resultado de los indicadores que integran esta evaluación supone que a mayor porcentaje obtenido, mayor eficacia en el monto depositado con respecto al monto asignado.</w:t>
      </w:r>
    </w:p>
    <w:p w:rsidR="00D1277C" w:rsidRDefault="00D1277C" w:rsidP="00D1277C">
      <w:pPr>
        <w:spacing w:after="0" w:line="360" w:lineRule="auto"/>
        <w:jc w:val="both"/>
        <w:rPr>
          <w:rFonts w:ascii="Arial" w:hAnsi="Arial" w:cs="Arial"/>
          <w:sz w:val="24"/>
          <w:szCs w:val="24"/>
        </w:rPr>
      </w:pPr>
    </w:p>
    <w:p w:rsidR="00E61CCB" w:rsidRPr="00D962AE" w:rsidRDefault="00E61CCB"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Parámetros de evaluación:</w:t>
      </w:r>
    </w:p>
    <w:tbl>
      <w:tblPr>
        <w:tblStyle w:val="Listaclara-nfasis2"/>
        <w:tblW w:w="8788" w:type="dxa"/>
        <w:jc w:val="center"/>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984"/>
        <w:gridCol w:w="1134"/>
        <w:gridCol w:w="1134"/>
        <w:gridCol w:w="1134"/>
        <w:gridCol w:w="1134"/>
        <w:gridCol w:w="1134"/>
        <w:gridCol w:w="1134"/>
      </w:tblGrid>
      <w:tr w:rsidR="00D1277C" w:rsidRPr="008158F5" w:rsidTr="00D1277C">
        <w:trPr>
          <w:cnfStyle w:val="100000000000" w:firstRow="1" w:lastRow="0" w:firstColumn="0" w:lastColumn="0" w:oddVBand="0" w:evenVBand="0" w:oddHBand="0" w:evenHBand="0" w:firstRowFirstColumn="0" w:firstRowLastColumn="0" w:lastRowFirstColumn="0" w:lastRowLastColumn="0"/>
          <w:trHeight w:val="454"/>
          <w:jc w:val="center"/>
        </w:trPr>
        <w:tc>
          <w:tcPr>
            <w:tcW w:w="1984" w:type="dxa"/>
            <w:shd w:val="clear" w:color="auto" w:fill="B2B2B2"/>
            <w:vAlign w:val="center"/>
            <w:hideMark/>
          </w:tcPr>
          <w:p w:rsidR="00D1277C" w:rsidRPr="00084289" w:rsidRDefault="00D1277C" w:rsidP="00D1277C">
            <w:pPr>
              <w:jc w:val="center"/>
              <w:rPr>
                <w:rFonts w:ascii="Lato" w:hAnsi="Lato"/>
                <w:color w:val="auto"/>
                <w:sz w:val="16"/>
                <w:szCs w:val="16"/>
              </w:rPr>
            </w:pPr>
            <w:r w:rsidRPr="00084289">
              <w:rPr>
                <w:rFonts w:ascii="Lato" w:hAnsi="Lato"/>
                <w:bCs w:val="0"/>
                <w:color w:val="auto"/>
                <w:sz w:val="16"/>
                <w:szCs w:val="16"/>
              </w:rPr>
              <w:t>Fondo de Aportaciones</w:t>
            </w:r>
          </w:p>
        </w:tc>
        <w:tc>
          <w:tcPr>
            <w:tcW w:w="1134" w:type="dxa"/>
            <w:shd w:val="clear" w:color="auto" w:fill="00B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Parámetro aceptado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Adecuado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Bueno</w:t>
            </w:r>
          </w:p>
        </w:tc>
        <w:tc>
          <w:tcPr>
            <w:tcW w:w="1134" w:type="dxa"/>
            <w:shd w:val="clear" w:color="auto" w:fill="FFFF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Insuficiente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Crítico</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60"/>
          <w:jc w:val="center"/>
        </w:trPr>
        <w:tc>
          <w:tcPr>
            <w:tcW w:w="1984" w:type="dxa"/>
            <w:tcBorders>
              <w:top w:val="none" w:sz="0" w:space="0" w:color="auto"/>
              <w:left w:val="none" w:sz="0" w:space="0" w:color="auto"/>
              <w:bottom w:val="none" w:sz="0" w:space="0" w:color="auto"/>
            </w:tcBorders>
            <w:vAlign w:val="center"/>
          </w:tcPr>
          <w:p w:rsidR="00D1277C" w:rsidRPr="00084289" w:rsidRDefault="00D1277C" w:rsidP="00D1277C">
            <w:pPr>
              <w:jc w:val="center"/>
              <w:rPr>
                <w:rFonts w:ascii="Lato" w:hAnsi="Lato"/>
                <w:b/>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right w:val="none" w:sz="0" w:space="0" w:color="auto"/>
            </w:tcBorders>
            <w:vAlign w:val="center"/>
          </w:tcPr>
          <w:p w:rsidR="00D1277C" w:rsidRPr="00084289" w:rsidRDefault="00D1277C" w:rsidP="00D1277C">
            <w:pPr>
              <w:jc w:val="center"/>
              <w:rPr>
                <w:rFonts w:ascii="Lato" w:hAnsi="Lato"/>
                <w:sz w:val="6"/>
                <w:szCs w:val="6"/>
              </w:rPr>
            </w:pPr>
          </w:p>
        </w:tc>
      </w:tr>
      <w:tr w:rsidR="00D1277C" w:rsidRPr="008158F5" w:rsidTr="00D1277C">
        <w:trPr>
          <w:trHeight w:val="964"/>
          <w:jc w:val="center"/>
        </w:trPr>
        <w:tc>
          <w:tcPr>
            <w:tcW w:w="1984" w:type="dxa"/>
            <w:vAlign w:val="center"/>
            <w:hideMark/>
          </w:tcPr>
          <w:p w:rsidR="00D1277C" w:rsidRPr="008158F5" w:rsidRDefault="00D1277C" w:rsidP="00D1277C">
            <w:pPr>
              <w:spacing w:line="276" w:lineRule="auto"/>
              <w:jc w:val="center"/>
              <w:rPr>
                <w:rFonts w:ascii="Lato" w:hAnsi="Lato"/>
                <w:b/>
                <w:sz w:val="16"/>
                <w:szCs w:val="16"/>
              </w:rPr>
            </w:pPr>
            <w:r w:rsidRPr="008158F5">
              <w:rPr>
                <w:rFonts w:ascii="Lato" w:hAnsi="Lato"/>
                <w:b/>
                <w:sz w:val="16"/>
                <w:szCs w:val="16"/>
              </w:rPr>
              <w:t>FASSA</w:t>
            </w:r>
            <w:r>
              <w:rPr>
                <w:rFonts w:ascii="Lato" w:hAnsi="Lato"/>
                <w:b/>
                <w:sz w:val="16"/>
                <w:szCs w:val="16"/>
              </w:rPr>
              <w:t xml:space="preserve">, FAM, </w:t>
            </w:r>
            <w:r w:rsidRPr="008158F5">
              <w:rPr>
                <w:rFonts w:ascii="Lato" w:hAnsi="Lato"/>
                <w:b/>
                <w:sz w:val="16"/>
                <w:szCs w:val="16"/>
              </w:rPr>
              <w:t>FAIS</w:t>
            </w:r>
            <w:r>
              <w:rPr>
                <w:rFonts w:ascii="Lato" w:hAnsi="Lato"/>
                <w:b/>
                <w:sz w:val="16"/>
                <w:szCs w:val="16"/>
              </w:rPr>
              <w:t xml:space="preserve">, FORTAMUNDF, </w:t>
            </w:r>
            <w:r w:rsidRPr="008158F5">
              <w:rPr>
                <w:rFonts w:ascii="Lato" w:hAnsi="Lato"/>
                <w:b/>
                <w:sz w:val="16"/>
                <w:szCs w:val="16"/>
              </w:rPr>
              <w:t>FAETA, FASP, FAFEF</w:t>
            </w:r>
            <w:r>
              <w:rPr>
                <w:rFonts w:ascii="Lato" w:hAnsi="Lato"/>
                <w:b/>
                <w:sz w:val="16"/>
                <w:szCs w:val="16"/>
              </w:rPr>
              <w:t>*</w:t>
            </w:r>
            <w:r w:rsidRPr="008158F5">
              <w:rPr>
                <w:rFonts w:ascii="Lato" w:hAnsi="Lato"/>
                <w:b/>
                <w:sz w:val="16"/>
                <w:szCs w:val="16"/>
              </w:rPr>
              <w:t>.</w:t>
            </w:r>
          </w:p>
        </w:tc>
        <w:tc>
          <w:tcPr>
            <w:tcW w:w="1134" w:type="dxa"/>
            <w:vAlign w:val="center"/>
            <w:hideMark/>
          </w:tcPr>
          <w:p w:rsidR="00D1277C" w:rsidRPr="000D5F14" w:rsidRDefault="00D1277C" w:rsidP="00D1277C">
            <w:pPr>
              <w:spacing w:line="276" w:lineRule="auto"/>
              <w:jc w:val="center"/>
              <w:rPr>
                <w:rFonts w:ascii="Lato" w:hAnsi="Lato"/>
                <w:sz w:val="16"/>
                <w:szCs w:val="16"/>
              </w:rPr>
            </w:pPr>
            <w:r w:rsidRPr="000D5F14">
              <w:rPr>
                <w:rFonts w:ascii="Lato" w:hAnsi="Lato"/>
                <w:sz w:val="16"/>
                <w:szCs w:val="16"/>
              </w:rPr>
              <w:t>90.01-100</w:t>
            </w:r>
          </w:p>
        </w:tc>
        <w:tc>
          <w:tcPr>
            <w:tcW w:w="1134" w:type="dxa"/>
            <w:vAlign w:val="center"/>
            <w:hideMark/>
          </w:tcPr>
          <w:p w:rsidR="00D1277C" w:rsidRPr="000D5F14" w:rsidRDefault="00D1277C" w:rsidP="00D1277C">
            <w:pPr>
              <w:spacing w:line="276" w:lineRule="auto"/>
              <w:jc w:val="center"/>
              <w:rPr>
                <w:rFonts w:ascii="Lato" w:hAnsi="Lato"/>
                <w:sz w:val="16"/>
                <w:szCs w:val="16"/>
              </w:rPr>
            </w:pPr>
            <w:r w:rsidRPr="000D5F14">
              <w:rPr>
                <w:rFonts w:ascii="Lato" w:hAnsi="Lato"/>
                <w:sz w:val="16"/>
                <w:szCs w:val="16"/>
              </w:rPr>
              <w:t>99.01-100</w:t>
            </w:r>
          </w:p>
        </w:tc>
        <w:tc>
          <w:tcPr>
            <w:tcW w:w="1134" w:type="dxa"/>
            <w:vAlign w:val="center"/>
            <w:hideMark/>
          </w:tcPr>
          <w:p w:rsidR="00D1277C" w:rsidRPr="000D5F14" w:rsidRDefault="00D1277C" w:rsidP="00D1277C">
            <w:pPr>
              <w:pStyle w:val="NormalWeb"/>
              <w:spacing w:before="0" w:beforeAutospacing="0" w:after="0" w:afterAutospacing="0"/>
              <w:jc w:val="center"/>
              <w:rPr>
                <w:rFonts w:ascii="Lato" w:hAnsi="Lato" w:cs="Arial"/>
                <w:sz w:val="36"/>
                <w:szCs w:val="36"/>
              </w:rPr>
            </w:pPr>
            <w:r w:rsidRPr="000D5F14">
              <w:rPr>
                <w:rFonts w:ascii="Lato" w:hAnsi="Lato" w:cs="Arial"/>
                <w:color w:val="000000" w:themeColor="text1"/>
                <w:kern w:val="24"/>
                <w:sz w:val="18"/>
                <w:szCs w:val="18"/>
              </w:rPr>
              <w:t>95.01-99</w:t>
            </w:r>
          </w:p>
        </w:tc>
        <w:tc>
          <w:tcPr>
            <w:tcW w:w="1134" w:type="dxa"/>
            <w:vAlign w:val="center"/>
            <w:hideMark/>
          </w:tcPr>
          <w:p w:rsidR="00D1277C" w:rsidRPr="000D5F14" w:rsidRDefault="00D1277C" w:rsidP="00D1277C">
            <w:pPr>
              <w:pStyle w:val="NormalWeb"/>
              <w:spacing w:before="0" w:beforeAutospacing="0" w:after="0" w:afterAutospacing="0"/>
              <w:jc w:val="center"/>
              <w:rPr>
                <w:rFonts w:ascii="Lato" w:hAnsi="Lato" w:cs="Arial"/>
                <w:sz w:val="36"/>
                <w:szCs w:val="36"/>
              </w:rPr>
            </w:pPr>
            <w:r w:rsidRPr="000D5F14">
              <w:rPr>
                <w:rFonts w:ascii="Lato" w:hAnsi="Lato" w:cs="Arial"/>
                <w:color w:val="000000" w:themeColor="text1"/>
                <w:kern w:val="24"/>
                <w:sz w:val="18"/>
                <w:szCs w:val="18"/>
              </w:rPr>
              <w:t>90.01-95</w:t>
            </w:r>
          </w:p>
        </w:tc>
        <w:tc>
          <w:tcPr>
            <w:tcW w:w="1134" w:type="dxa"/>
            <w:vAlign w:val="center"/>
            <w:hideMark/>
          </w:tcPr>
          <w:p w:rsidR="00D1277C" w:rsidRPr="000D5F14" w:rsidRDefault="00D1277C" w:rsidP="00D1277C">
            <w:pPr>
              <w:pStyle w:val="NormalWeb"/>
              <w:spacing w:before="0" w:beforeAutospacing="0" w:after="0" w:afterAutospacing="0"/>
              <w:jc w:val="center"/>
              <w:rPr>
                <w:rFonts w:ascii="Lato" w:hAnsi="Lato" w:cs="Arial"/>
                <w:sz w:val="36"/>
                <w:szCs w:val="36"/>
              </w:rPr>
            </w:pPr>
            <w:r w:rsidRPr="000D5F14">
              <w:rPr>
                <w:rFonts w:ascii="Lato" w:hAnsi="Lato" w:cs="Arial"/>
                <w:color w:val="000000" w:themeColor="text1"/>
                <w:kern w:val="24"/>
                <w:sz w:val="18"/>
                <w:szCs w:val="18"/>
              </w:rPr>
              <w:t>60.01-90</w:t>
            </w:r>
          </w:p>
        </w:tc>
        <w:tc>
          <w:tcPr>
            <w:tcW w:w="1134" w:type="dxa"/>
            <w:vAlign w:val="center"/>
            <w:hideMark/>
          </w:tcPr>
          <w:p w:rsidR="00D1277C" w:rsidRPr="000D5F14" w:rsidRDefault="00D1277C" w:rsidP="00D1277C">
            <w:pPr>
              <w:pStyle w:val="NormalWeb"/>
              <w:spacing w:before="0" w:beforeAutospacing="0" w:after="0" w:afterAutospacing="0"/>
              <w:jc w:val="center"/>
              <w:rPr>
                <w:rFonts w:ascii="Lato" w:hAnsi="Lato" w:cs="Arial"/>
                <w:sz w:val="36"/>
                <w:szCs w:val="36"/>
              </w:rPr>
            </w:pPr>
            <w:r w:rsidRPr="000D5F14">
              <w:rPr>
                <w:rFonts w:ascii="Lato" w:hAnsi="Lato" w:cs="Arial"/>
                <w:color w:val="000000" w:themeColor="text1"/>
                <w:kern w:val="24"/>
                <w:sz w:val="18"/>
                <w:szCs w:val="18"/>
              </w:rPr>
              <w:t>0-60</w:t>
            </w:r>
          </w:p>
        </w:tc>
      </w:tr>
    </w:tbl>
    <w:p w:rsidR="00D1277C" w:rsidRPr="00FB2A28" w:rsidRDefault="00D1277C" w:rsidP="00E277DB">
      <w:pPr>
        <w:spacing w:after="0" w:line="240" w:lineRule="auto"/>
        <w:jc w:val="both"/>
        <w:rPr>
          <w:rFonts w:ascii="Arial" w:hAnsi="Arial" w:cs="Arial"/>
          <w:sz w:val="16"/>
        </w:rPr>
      </w:pPr>
      <w:r w:rsidRPr="00FB2A28">
        <w:rPr>
          <w:rFonts w:ascii="Arial" w:hAnsi="Arial" w:cs="Arial"/>
          <w:b/>
          <w:sz w:val="16"/>
        </w:rPr>
        <w:t>*Nota:</w:t>
      </w:r>
      <w:r w:rsidRPr="00FB2A28">
        <w:rPr>
          <w:rFonts w:ascii="Arial" w:hAnsi="Arial" w:cs="Arial"/>
          <w:sz w:val="16"/>
        </w:rPr>
        <w:t xml:space="preserve"> Con respecto al FAFEF, la evalu</w:t>
      </w:r>
      <w:r>
        <w:rPr>
          <w:rFonts w:ascii="Arial" w:hAnsi="Arial" w:cs="Arial"/>
          <w:sz w:val="16"/>
        </w:rPr>
        <w:t>a</w:t>
      </w:r>
      <w:r w:rsidRPr="00FB2A28">
        <w:rPr>
          <w:rFonts w:ascii="Arial" w:hAnsi="Arial" w:cs="Arial"/>
          <w:sz w:val="16"/>
        </w:rPr>
        <w:t>ción corresponde</w:t>
      </w:r>
      <w:r>
        <w:rPr>
          <w:rFonts w:ascii="Arial" w:hAnsi="Arial" w:cs="Arial"/>
          <w:sz w:val="16"/>
        </w:rPr>
        <w:t xml:space="preserve"> únicamente</w:t>
      </w:r>
      <w:r w:rsidRPr="00FB2A28">
        <w:rPr>
          <w:rFonts w:ascii="Arial" w:hAnsi="Arial" w:cs="Arial"/>
          <w:sz w:val="16"/>
        </w:rPr>
        <w:t xml:space="preserve"> a la transferencia de la SHCP al gobierno estatal.</w:t>
      </w:r>
    </w:p>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Elaboración del OSFEM.</w:t>
            </w:r>
          </w:p>
        </w:tc>
      </w:tr>
    </w:tbl>
    <w:p w:rsidR="00E277DB" w:rsidRPr="00D962AE" w:rsidRDefault="00E277DB" w:rsidP="00E277DB">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lastRenderedPageBreak/>
        <w:t>Elementos del indicador:</w:t>
      </w:r>
    </w:p>
    <w:tbl>
      <w:tblPr>
        <w:tblStyle w:val="Listaclara-nfasis3"/>
        <w:tblW w:w="8696" w:type="dxa"/>
        <w:jc w:val="center"/>
        <w:tblInd w:w="114"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800"/>
        <w:gridCol w:w="1794"/>
        <w:gridCol w:w="1943"/>
        <w:gridCol w:w="1131"/>
        <w:gridCol w:w="982"/>
        <w:gridCol w:w="1046"/>
      </w:tblGrid>
      <w:tr w:rsidR="00D1277C" w:rsidRPr="00122B63" w:rsidTr="00E277DB">
        <w:trPr>
          <w:cnfStyle w:val="100000000000" w:firstRow="1" w:lastRow="0" w:firstColumn="0" w:lastColumn="0" w:oddVBand="0" w:evenVBand="0" w:oddHBand="0" w:evenHBand="0" w:firstRowFirstColumn="0" w:firstRowLastColumn="0" w:lastRowFirstColumn="0" w:lastRowLastColumn="0"/>
          <w:trHeight w:val="460"/>
          <w:jc w:val="center"/>
        </w:trPr>
        <w:tc>
          <w:tcPr>
            <w:tcW w:w="1800" w:type="dxa"/>
            <w:tcBorders>
              <w:bottom w:val="single" w:sz="8" w:space="0" w:color="B2B2B2"/>
            </w:tcBorders>
            <w:shd w:val="clear" w:color="auto" w:fill="B2B2B2"/>
            <w:vAlign w:val="center"/>
            <w:hideMark/>
          </w:tcPr>
          <w:p w:rsidR="00D1277C" w:rsidRPr="00122B63" w:rsidRDefault="00D1277C" w:rsidP="00D1277C">
            <w:pPr>
              <w:spacing w:line="276" w:lineRule="auto"/>
              <w:ind w:left="52"/>
              <w:jc w:val="center"/>
              <w:rPr>
                <w:rFonts w:ascii="Lato" w:hAnsi="Lato"/>
                <w:sz w:val="16"/>
                <w:szCs w:val="16"/>
              </w:rPr>
            </w:pPr>
            <w:r w:rsidRPr="00122B63">
              <w:rPr>
                <w:rFonts w:ascii="Lato" w:hAnsi="Lato"/>
                <w:sz w:val="16"/>
                <w:szCs w:val="16"/>
              </w:rPr>
              <w:t>Nombre del indicador</w:t>
            </w:r>
          </w:p>
        </w:tc>
        <w:tc>
          <w:tcPr>
            <w:tcW w:w="1794"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Objetivo</w:t>
            </w:r>
          </w:p>
        </w:tc>
        <w:tc>
          <w:tcPr>
            <w:tcW w:w="1943"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Fórmula y variables</w:t>
            </w:r>
          </w:p>
        </w:tc>
        <w:tc>
          <w:tcPr>
            <w:tcW w:w="1131"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Unidad de medida</w:t>
            </w:r>
          </w:p>
        </w:tc>
        <w:tc>
          <w:tcPr>
            <w:tcW w:w="982"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Dimensión</w:t>
            </w:r>
          </w:p>
        </w:tc>
        <w:tc>
          <w:tcPr>
            <w:tcW w:w="1046"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Frecuencia</w:t>
            </w:r>
          </w:p>
        </w:tc>
      </w:tr>
      <w:tr w:rsidR="00D1277C" w:rsidRPr="00122B63" w:rsidTr="00E277DB">
        <w:trPr>
          <w:cnfStyle w:val="000000100000" w:firstRow="0" w:lastRow="0" w:firstColumn="0" w:lastColumn="0" w:oddVBand="0" w:evenVBand="0" w:oddHBand="1" w:evenHBand="0" w:firstRowFirstColumn="0" w:firstRowLastColumn="0" w:lastRowFirstColumn="0" w:lastRowLastColumn="0"/>
          <w:trHeight w:val="57"/>
          <w:jc w:val="center"/>
        </w:trPr>
        <w:tc>
          <w:tcPr>
            <w:tcW w:w="1800" w:type="dxa"/>
            <w:tcBorders>
              <w:top w:val="single" w:sz="8" w:space="0" w:color="B2B2B2"/>
              <w:left w:val="nil"/>
              <w:bottom w:val="single" w:sz="8" w:space="0" w:color="B2B2B2"/>
            </w:tcBorders>
            <w:vAlign w:val="center"/>
          </w:tcPr>
          <w:p w:rsidR="00D1277C" w:rsidRPr="008158F5" w:rsidRDefault="00D1277C" w:rsidP="00D1277C">
            <w:pPr>
              <w:jc w:val="center"/>
              <w:rPr>
                <w:rFonts w:ascii="Lato" w:hAnsi="Lato"/>
                <w:sz w:val="4"/>
                <w:szCs w:val="4"/>
              </w:rPr>
            </w:pPr>
          </w:p>
        </w:tc>
        <w:tc>
          <w:tcPr>
            <w:tcW w:w="1794"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943" w:type="dxa"/>
            <w:tcBorders>
              <w:top w:val="single" w:sz="8" w:space="0" w:color="B2B2B2"/>
              <w:bottom w:val="single" w:sz="8" w:space="0" w:color="B2B2B2"/>
            </w:tcBorders>
            <w:vAlign w:val="center"/>
          </w:tcPr>
          <w:p w:rsidR="00D1277C" w:rsidRPr="008158F5" w:rsidRDefault="00D1277C" w:rsidP="00D1277C">
            <w:pPr>
              <w:jc w:val="center"/>
              <w:rPr>
                <w:rFonts w:ascii="Lato" w:hAnsi="Lato"/>
                <w:b/>
                <w:bCs/>
                <w:sz w:val="4"/>
                <w:szCs w:val="4"/>
              </w:rPr>
            </w:pPr>
          </w:p>
        </w:tc>
        <w:tc>
          <w:tcPr>
            <w:tcW w:w="1131"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982"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046" w:type="dxa"/>
            <w:tcBorders>
              <w:top w:val="single" w:sz="8" w:space="0" w:color="B2B2B2"/>
              <w:bottom w:val="single" w:sz="8" w:space="0" w:color="B2B2B2"/>
              <w:right w:val="nil"/>
            </w:tcBorders>
            <w:vAlign w:val="center"/>
          </w:tcPr>
          <w:p w:rsidR="00D1277C" w:rsidRPr="008158F5" w:rsidRDefault="00D1277C" w:rsidP="00D1277C">
            <w:pPr>
              <w:jc w:val="center"/>
              <w:rPr>
                <w:rFonts w:ascii="Lato" w:hAnsi="Lato"/>
                <w:sz w:val="4"/>
                <w:szCs w:val="4"/>
              </w:rPr>
            </w:pPr>
          </w:p>
        </w:tc>
      </w:tr>
      <w:tr w:rsidR="00D1277C" w:rsidRPr="00122B63" w:rsidTr="00E277DB">
        <w:trPr>
          <w:trHeight w:val="1995"/>
          <w:jc w:val="center"/>
        </w:trPr>
        <w:tc>
          <w:tcPr>
            <w:tcW w:w="1800" w:type="dxa"/>
            <w:tcBorders>
              <w:top w:val="single" w:sz="8" w:space="0" w:color="B2B2B2"/>
              <w:bottom w:val="single" w:sz="8" w:space="0" w:color="B2B2B2"/>
            </w:tcBorders>
            <w:vAlign w:val="center"/>
            <w:hideMark/>
          </w:tcPr>
          <w:p w:rsidR="00D1277C" w:rsidRPr="000D5F14" w:rsidRDefault="00D1277C" w:rsidP="00D1277C">
            <w:pPr>
              <w:spacing w:line="276" w:lineRule="auto"/>
              <w:jc w:val="both"/>
              <w:rPr>
                <w:rFonts w:ascii="Lato" w:hAnsi="Lato"/>
                <w:sz w:val="16"/>
                <w:szCs w:val="16"/>
              </w:rPr>
            </w:pPr>
            <w:r w:rsidRPr="000D5F14">
              <w:rPr>
                <w:rFonts w:ascii="Lato" w:hAnsi="Lato"/>
                <w:sz w:val="16"/>
                <w:szCs w:val="16"/>
              </w:rPr>
              <w:t>Eficacia de la SHCP en el depósito de los recursos del Fondo de Aportaciones</w:t>
            </w:r>
            <w:r>
              <w:rPr>
                <w:rFonts w:ascii="Lato" w:hAnsi="Lato"/>
                <w:sz w:val="16"/>
                <w:szCs w:val="16"/>
              </w:rPr>
              <w:t>.</w:t>
            </w:r>
          </w:p>
          <w:p w:rsidR="00D1277C" w:rsidRPr="00122B63" w:rsidRDefault="00D1277C" w:rsidP="00D1277C">
            <w:pPr>
              <w:spacing w:line="276" w:lineRule="auto"/>
              <w:jc w:val="both"/>
              <w:rPr>
                <w:rFonts w:ascii="Lato" w:hAnsi="Lato"/>
                <w:sz w:val="16"/>
                <w:szCs w:val="16"/>
              </w:rPr>
            </w:pPr>
          </w:p>
        </w:tc>
        <w:tc>
          <w:tcPr>
            <w:tcW w:w="1794" w:type="dxa"/>
            <w:tcBorders>
              <w:top w:val="single" w:sz="8" w:space="0" w:color="B2B2B2"/>
              <w:bottom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0D5F14">
              <w:rPr>
                <w:rFonts w:ascii="Lato" w:hAnsi="Lato"/>
                <w:sz w:val="16"/>
                <w:szCs w:val="16"/>
              </w:rPr>
              <w:t>Determinar el cumplimiento de la SHCP en el depósito de los recursos del Fondo al GEM, según lo establecido en el Acuerdo del DOF.</w:t>
            </w:r>
          </w:p>
        </w:tc>
        <w:tc>
          <w:tcPr>
            <w:tcW w:w="1943" w:type="dxa"/>
            <w:vMerge w:val="restart"/>
            <w:tcBorders>
              <w:top w:val="single" w:sz="8" w:space="0" w:color="B2B2B2"/>
            </w:tcBorders>
            <w:vAlign w:val="center"/>
            <w:hideMark/>
          </w:tcPr>
          <w:p w:rsidR="00D1277C" w:rsidRPr="000D5F14" w:rsidRDefault="00D1277C" w:rsidP="00D1277C">
            <w:pPr>
              <w:spacing w:line="276" w:lineRule="auto"/>
              <w:jc w:val="center"/>
              <w:rPr>
                <w:rFonts w:ascii="Lato" w:hAnsi="Lato"/>
                <w:b/>
                <w:bCs/>
                <w:sz w:val="16"/>
                <w:szCs w:val="16"/>
              </w:rPr>
            </w:pPr>
            <w:r w:rsidRPr="000D5F14">
              <w:rPr>
                <w:rFonts w:ascii="Lato" w:hAnsi="Lato"/>
                <w:b/>
                <w:bCs/>
                <w:sz w:val="16"/>
                <w:szCs w:val="16"/>
              </w:rPr>
              <w:t>(</w:t>
            </w:r>
            <w:proofErr w:type="spellStart"/>
            <w:r w:rsidRPr="000D5F14">
              <w:rPr>
                <w:rFonts w:ascii="Lato" w:hAnsi="Lato"/>
                <w:b/>
                <w:bCs/>
                <w:sz w:val="16"/>
                <w:szCs w:val="16"/>
              </w:rPr>
              <w:t>Mdt</w:t>
            </w:r>
            <w:proofErr w:type="spellEnd"/>
            <w:r w:rsidRPr="000D5F14">
              <w:rPr>
                <w:rFonts w:ascii="Lato" w:hAnsi="Lato"/>
                <w:b/>
                <w:bCs/>
                <w:sz w:val="16"/>
                <w:szCs w:val="16"/>
              </w:rPr>
              <w:t>/Mat) * 100</w:t>
            </w:r>
          </w:p>
          <w:p w:rsidR="00D1277C" w:rsidRPr="000D5F14" w:rsidRDefault="00D1277C" w:rsidP="00D1277C">
            <w:pPr>
              <w:spacing w:line="276" w:lineRule="auto"/>
              <w:jc w:val="center"/>
              <w:rPr>
                <w:rFonts w:ascii="Lato" w:hAnsi="Lato"/>
                <w:b/>
                <w:bCs/>
                <w:sz w:val="16"/>
                <w:szCs w:val="16"/>
              </w:rPr>
            </w:pPr>
          </w:p>
          <w:p w:rsidR="00D1277C" w:rsidRDefault="00D1277C" w:rsidP="00D1277C">
            <w:pPr>
              <w:spacing w:line="276" w:lineRule="auto"/>
              <w:jc w:val="both"/>
              <w:rPr>
                <w:rFonts w:ascii="Lato" w:hAnsi="Lato"/>
                <w:bCs/>
                <w:sz w:val="16"/>
                <w:szCs w:val="16"/>
              </w:rPr>
            </w:pPr>
            <w:proofErr w:type="spellStart"/>
            <w:r w:rsidRPr="000D5F14">
              <w:rPr>
                <w:rFonts w:ascii="Lato" w:hAnsi="Lato"/>
                <w:b/>
                <w:bCs/>
                <w:sz w:val="16"/>
                <w:szCs w:val="16"/>
              </w:rPr>
              <w:t>Mdt</w:t>
            </w:r>
            <w:proofErr w:type="spellEnd"/>
            <w:r w:rsidRPr="000D5F14">
              <w:rPr>
                <w:rFonts w:ascii="Lato" w:hAnsi="Lato"/>
                <w:b/>
                <w:bCs/>
                <w:sz w:val="16"/>
                <w:szCs w:val="16"/>
              </w:rPr>
              <w:t>:</w:t>
            </w:r>
            <w:r w:rsidRPr="000D5F14">
              <w:rPr>
                <w:rFonts w:ascii="Lato" w:hAnsi="Lato"/>
                <w:bCs/>
                <w:sz w:val="16"/>
                <w:szCs w:val="16"/>
              </w:rPr>
              <w:t xml:space="preserve"> Monto Depositado en el Trimestre de evaluación.</w:t>
            </w:r>
          </w:p>
          <w:p w:rsidR="00D1277C" w:rsidRPr="000D5F14" w:rsidRDefault="00D1277C" w:rsidP="00D1277C">
            <w:pPr>
              <w:spacing w:line="276" w:lineRule="auto"/>
              <w:jc w:val="both"/>
              <w:rPr>
                <w:rFonts w:ascii="Lato" w:hAnsi="Lato"/>
                <w:b/>
                <w:bCs/>
                <w:sz w:val="16"/>
                <w:szCs w:val="16"/>
              </w:rPr>
            </w:pPr>
          </w:p>
          <w:p w:rsidR="00D1277C" w:rsidRPr="000D5F14" w:rsidRDefault="00D1277C" w:rsidP="00D1277C">
            <w:pPr>
              <w:spacing w:line="276" w:lineRule="auto"/>
              <w:jc w:val="both"/>
              <w:rPr>
                <w:rFonts w:ascii="Lato" w:hAnsi="Lato"/>
                <w:bCs/>
                <w:sz w:val="16"/>
                <w:szCs w:val="16"/>
              </w:rPr>
            </w:pPr>
            <w:r w:rsidRPr="000D5F14">
              <w:rPr>
                <w:rFonts w:ascii="Lato" w:hAnsi="Lato"/>
                <w:b/>
                <w:bCs/>
                <w:sz w:val="16"/>
                <w:szCs w:val="16"/>
              </w:rPr>
              <w:t>Mat:</w:t>
            </w:r>
            <w:r w:rsidRPr="000D5F14">
              <w:rPr>
                <w:rFonts w:ascii="Lato" w:hAnsi="Lato"/>
                <w:bCs/>
                <w:sz w:val="16"/>
                <w:szCs w:val="16"/>
              </w:rPr>
              <w:t xml:space="preserve"> Monto Asignado en el Trimestre, publicado en el Acuerdo del ejercicio fiscal correspondiente, en el Diario Oficial de la Federación.</w:t>
            </w:r>
          </w:p>
        </w:tc>
        <w:tc>
          <w:tcPr>
            <w:tcW w:w="1131" w:type="dxa"/>
            <w:vMerge w:val="restart"/>
            <w:tcBorders>
              <w:top w:val="single" w:sz="8" w:space="0" w:color="B2B2B2"/>
            </w:tcBorders>
            <w:vAlign w:val="center"/>
            <w:hideMark/>
          </w:tcPr>
          <w:p w:rsidR="00D1277C" w:rsidRPr="000D5F14" w:rsidRDefault="00D1277C" w:rsidP="00D1277C">
            <w:pPr>
              <w:pStyle w:val="NormalWeb"/>
              <w:spacing w:before="0" w:beforeAutospacing="0" w:after="0" w:afterAutospacing="0"/>
              <w:jc w:val="center"/>
              <w:rPr>
                <w:rFonts w:ascii="Arial" w:hAnsi="Arial" w:cs="Arial"/>
                <w:sz w:val="36"/>
                <w:szCs w:val="36"/>
              </w:rPr>
            </w:pPr>
            <w:r w:rsidRPr="000D5F14">
              <w:rPr>
                <w:rFonts w:ascii="Calibri" w:hAnsi="Calibri" w:cs="Arial"/>
                <w:bCs/>
                <w:kern w:val="24"/>
                <w:sz w:val="20"/>
                <w:szCs w:val="20"/>
              </w:rPr>
              <w:t>Porcentaje</w:t>
            </w:r>
          </w:p>
        </w:tc>
        <w:tc>
          <w:tcPr>
            <w:tcW w:w="982" w:type="dxa"/>
            <w:vMerge w:val="restart"/>
            <w:tcBorders>
              <w:top w:val="single" w:sz="8" w:space="0" w:color="B2B2B2"/>
            </w:tcBorders>
            <w:vAlign w:val="center"/>
            <w:hideMark/>
          </w:tcPr>
          <w:p w:rsidR="00D1277C" w:rsidRPr="000D5F14" w:rsidRDefault="00D1277C" w:rsidP="00D1277C">
            <w:pPr>
              <w:pStyle w:val="NormalWeb"/>
              <w:spacing w:before="0" w:beforeAutospacing="0" w:after="0" w:afterAutospacing="0"/>
              <w:jc w:val="center"/>
              <w:rPr>
                <w:rFonts w:ascii="Arial" w:hAnsi="Arial" w:cs="Arial"/>
                <w:sz w:val="36"/>
                <w:szCs w:val="36"/>
              </w:rPr>
            </w:pPr>
            <w:r w:rsidRPr="000D5F14">
              <w:rPr>
                <w:rFonts w:ascii="Calibri" w:hAnsi="Calibri" w:cs="Arial"/>
                <w:bCs/>
                <w:kern w:val="24"/>
                <w:sz w:val="20"/>
                <w:szCs w:val="20"/>
              </w:rPr>
              <w:t>Eficacia</w:t>
            </w:r>
          </w:p>
        </w:tc>
        <w:tc>
          <w:tcPr>
            <w:tcW w:w="1046" w:type="dxa"/>
            <w:vMerge w:val="restart"/>
            <w:tcBorders>
              <w:top w:val="single" w:sz="8" w:space="0" w:color="B2B2B2"/>
            </w:tcBorders>
            <w:vAlign w:val="center"/>
            <w:hideMark/>
          </w:tcPr>
          <w:p w:rsidR="00D1277C" w:rsidRPr="000D5F14" w:rsidRDefault="00D1277C" w:rsidP="00D1277C">
            <w:pPr>
              <w:pStyle w:val="NormalWeb"/>
              <w:spacing w:before="0" w:beforeAutospacing="0" w:after="0" w:afterAutospacing="0"/>
              <w:jc w:val="center"/>
              <w:rPr>
                <w:rFonts w:ascii="Arial" w:hAnsi="Arial" w:cs="Arial"/>
                <w:sz w:val="36"/>
                <w:szCs w:val="36"/>
              </w:rPr>
            </w:pPr>
            <w:r w:rsidRPr="000D5F14">
              <w:rPr>
                <w:rFonts w:ascii="Calibri" w:hAnsi="Calibri" w:cs="Arial"/>
                <w:bCs/>
                <w:kern w:val="24"/>
                <w:sz w:val="20"/>
                <w:szCs w:val="20"/>
              </w:rPr>
              <w:t>Trimestral</w:t>
            </w:r>
          </w:p>
        </w:tc>
      </w:tr>
      <w:tr w:rsidR="00D1277C" w:rsidRPr="00122B63" w:rsidTr="00E277DB">
        <w:trPr>
          <w:cnfStyle w:val="000000100000" w:firstRow="0" w:lastRow="0" w:firstColumn="0" w:lastColumn="0" w:oddVBand="0" w:evenVBand="0" w:oddHBand="1" w:evenHBand="0" w:firstRowFirstColumn="0" w:firstRowLastColumn="0" w:lastRowFirstColumn="0" w:lastRowLastColumn="0"/>
          <w:trHeight w:val="1258"/>
          <w:jc w:val="center"/>
        </w:trPr>
        <w:tc>
          <w:tcPr>
            <w:tcW w:w="1800" w:type="dxa"/>
            <w:tcBorders>
              <w:top w:val="single" w:sz="8" w:space="0" w:color="B2B2B2"/>
              <w:left w:val="nil"/>
              <w:bottom w:val="single" w:sz="8" w:space="0" w:color="B2B2B2"/>
            </w:tcBorders>
            <w:vAlign w:val="center"/>
          </w:tcPr>
          <w:p w:rsidR="00D1277C" w:rsidRPr="000D5F14" w:rsidRDefault="00D1277C" w:rsidP="00D1277C">
            <w:pPr>
              <w:jc w:val="both"/>
              <w:rPr>
                <w:rFonts w:ascii="Lato" w:hAnsi="Lato"/>
                <w:sz w:val="16"/>
                <w:szCs w:val="16"/>
              </w:rPr>
            </w:pPr>
            <w:r w:rsidRPr="00F84CE9">
              <w:rPr>
                <w:rFonts w:ascii="Lato" w:hAnsi="Lato"/>
                <w:sz w:val="16"/>
                <w:szCs w:val="16"/>
              </w:rPr>
              <w:t>Eficacia del GEM en el depósito de los recursos del Fondo de Aportaciones</w:t>
            </w:r>
            <w:r>
              <w:rPr>
                <w:rFonts w:ascii="Lato" w:hAnsi="Lato"/>
                <w:sz w:val="16"/>
                <w:szCs w:val="16"/>
              </w:rPr>
              <w:t>.</w:t>
            </w:r>
          </w:p>
        </w:tc>
        <w:tc>
          <w:tcPr>
            <w:tcW w:w="1794" w:type="dxa"/>
            <w:tcBorders>
              <w:top w:val="single" w:sz="8" w:space="0" w:color="B2B2B2"/>
              <w:bottom w:val="single" w:sz="8" w:space="0" w:color="B2B2B2"/>
            </w:tcBorders>
            <w:vAlign w:val="center"/>
          </w:tcPr>
          <w:p w:rsidR="00D1277C" w:rsidRPr="000D5F14" w:rsidRDefault="00D1277C" w:rsidP="00D1277C">
            <w:pPr>
              <w:jc w:val="both"/>
              <w:rPr>
                <w:rFonts w:ascii="Lato" w:hAnsi="Lato"/>
                <w:sz w:val="16"/>
                <w:szCs w:val="16"/>
              </w:rPr>
            </w:pPr>
            <w:r w:rsidRPr="00F84CE9">
              <w:rPr>
                <w:rFonts w:ascii="Lato" w:hAnsi="Lato"/>
                <w:sz w:val="16"/>
                <w:szCs w:val="16"/>
              </w:rPr>
              <w:t>Determinar el porcentaje de la eficacia del GEM en el depósito de los recursos.</w:t>
            </w:r>
          </w:p>
        </w:tc>
        <w:tc>
          <w:tcPr>
            <w:tcW w:w="1943" w:type="dxa"/>
            <w:vMerge/>
            <w:tcBorders>
              <w:top w:val="single" w:sz="8" w:space="0" w:color="B2B2B2"/>
              <w:bottom w:val="single" w:sz="8" w:space="0" w:color="B2B2B2"/>
            </w:tcBorders>
            <w:vAlign w:val="center"/>
          </w:tcPr>
          <w:p w:rsidR="00D1277C" w:rsidRPr="000D5F14" w:rsidRDefault="00D1277C" w:rsidP="00D1277C">
            <w:pPr>
              <w:jc w:val="center"/>
              <w:rPr>
                <w:rFonts w:ascii="Lato" w:hAnsi="Lato"/>
                <w:b/>
                <w:bCs/>
                <w:sz w:val="16"/>
                <w:szCs w:val="16"/>
              </w:rPr>
            </w:pPr>
          </w:p>
        </w:tc>
        <w:tc>
          <w:tcPr>
            <w:tcW w:w="1131" w:type="dxa"/>
            <w:vMerge/>
            <w:tcBorders>
              <w:top w:val="single" w:sz="8" w:space="0" w:color="B2B2B2"/>
              <w:bottom w:val="single" w:sz="8" w:space="0" w:color="B2B2B2"/>
            </w:tcBorders>
            <w:vAlign w:val="center"/>
          </w:tcPr>
          <w:p w:rsidR="00D1277C" w:rsidRPr="000D5F14" w:rsidRDefault="00D1277C" w:rsidP="00D1277C">
            <w:pPr>
              <w:pStyle w:val="NormalWeb"/>
              <w:spacing w:before="0" w:beforeAutospacing="0" w:after="0" w:afterAutospacing="0"/>
              <w:jc w:val="center"/>
              <w:rPr>
                <w:rFonts w:ascii="Calibri" w:hAnsi="Calibri" w:cs="Arial"/>
                <w:bCs/>
                <w:kern w:val="24"/>
                <w:sz w:val="20"/>
                <w:szCs w:val="20"/>
              </w:rPr>
            </w:pPr>
          </w:p>
        </w:tc>
        <w:tc>
          <w:tcPr>
            <w:tcW w:w="982" w:type="dxa"/>
            <w:vMerge/>
            <w:tcBorders>
              <w:top w:val="single" w:sz="8" w:space="0" w:color="B2B2B2"/>
              <w:bottom w:val="single" w:sz="8" w:space="0" w:color="B2B2B2"/>
            </w:tcBorders>
            <w:vAlign w:val="center"/>
          </w:tcPr>
          <w:p w:rsidR="00D1277C" w:rsidRPr="000D5F14" w:rsidRDefault="00D1277C" w:rsidP="00D1277C">
            <w:pPr>
              <w:pStyle w:val="NormalWeb"/>
              <w:spacing w:before="0" w:beforeAutospacing="0" w:after="0" w:afterAutospacing="0"/>
              <w:jc w:val="center"/>
              <w:rPr>
                <w:rFonts w:ascii="Calibri" w:hAnsi="Calibri" w:cs="Arial"/>
                <w:bCs/>
                <w:kern w:val="24"/>
                <w:sz w:val="20"/>
                <w:szCs w:val="20"/>
              </w:rPr>
            </w:pPr>
          </w:p>
        </w:tc>
        <w:tc>
          <w:tcPr>
            <w:tcW w:w="1046" w:type="dxa"/>
            <w:vMerge/>
            <w:tcBorders>
              <w:top w:val="single" w:sz="8" w:space="0" w:color="B2B2B2"/>
              <w:bottom w:val="single" w:sz="8" w:space="0" w:color="B2B2B2"/>
              <w:right w:val="nil"/>
            </w:tcBorders>
            <w:vAlign w:val="center"/>
          </w:tcPr>
          <w:p w:rsidR="00D1277C" w:rsidRPr="000D5F14" w:rsidRDefault="00D1277C" w:rsidP="00D1277C">
            <w:pPr>
              <w:pStyle w:val="NormalWeb"/>
              <w:spacing w:before="0" w:beforeAutospacing="0" w:after="0" w:afterAutospacing="0"/>
              <w:jc w:val="center"/>
              <w:rPr>
                <w:rFonts w:ascii="Calibri" w:hAnsi="Calibri" w:cs="Arial"/>
                <w:bCs/>
                <w:kern w:val="24"/>
                <w:sz w:val="20"/>
                <w:szCs w:val="20"/>
              </w:rPr>
            </w:pP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E277DB" w:rsidRPr="00D962AE" w:rsidRDefault="00E277DB" w:rsidP="00E277DB">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Medios de verificación:</w:t>
      </w:r>
    </w:p>
    <w:tbl>
      <w:tblPr>
        <w:tblStyle w:val="Listaclara-nfasis3"/>
        <w:tblW w:w="7048" w:type="dxa"/>
        <w:jc w:val="center"/>
        <w:tblBorders>
          <w:left w:val="none" w:sz="0" w:space="0" w:color="auto"/>
          <w:right w:val="none" w:sz="0" w:space="0" w:color="auto"/>
          <w:insideH w:val="single" w:sz="8" w:space="0" w:color="9BBB59" w:themeColor="accent3"/>
        </w:tblBorders>
        <w:tblLayout w:type="fixed"/>
        <w:tblLook w:val="0420" w:firstRow="1" w:lastRow="0" w:firstColumn="0" w:lastColumn="0" w:noHBand="0" w:noVBand="1"/>
      </w:tblPr>
      <w:tblGrid>
        <w:gridCol w:w="3524"/>
        <w:gridCol w:w="3524"/>
      </w:tblGrid>
      <w:tr w:rsidR="00D1277C" w:rsidRPr="00496472" w:rsidTr="00D1277C">
        <w:trPr>
          <w:cnfStyle w:val="100000000000" w:firstRow="1" w:lastRow="0" w:firstColumn="0" w:lastColumn="0" w:oddVBand="0" w:evenVBand="0" w:oddHBand="0" w:evenHBand="0" w:firstRowFirstColumn="0" w:firstRowLastColumn="0" w:lastRowFirstColumn="0" w:lastRowLastColumn="0"/>
          <w:trHeight w:val="187"/>
          <w:jc w:val="center"/>
        </w:trPr>
        <w:tc>
          <w:tcPr>
            <w:tcW w:w="3524" w:type="dxa"/>
            <w:tcBorders>
              <w:bottom w:val="single" w:sz="8" w:space="0" w:color="9BBB59" w:themeColor="accent3"/>
            </w:tcBorders>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1</w:t>
            </w:r>
          </w:p>
        </w:tc>
        <w:tc>
          <w:tcPr>
            <w:tcW w:w="3524" w:type="dxa"/>
            <w:tcBorders>
              <w:bottom w:val="single" w:sz="8" w:space="0" w:color="9BBB59" w:themeColor="accent3"/>
            </w:tcBorders>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2</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40"/>
          <w:jc w:val="center"/>
        </w:trPr>
        <w:tc>
          <w:tcPr>
            <w:tcW w:w="3524" w:type="dxa"/>
            <w:tcBorders>
              <w:left w:val="nil"/>
            </w:tcBorders>
            <w:vAlign w:val="center"/>
          </w:tcPr>
          <w:p w:rsidR="00D1277C" w:rsidRPr="00496472" w:rsidRDefault="00D1277C" w:rsidP="00D1277C">
            <w:pPr>
              <w:jc w:val="center"/>
              <w:rPr>
                <w:rFonts w:ascii="Lato" w:hAnsi="Lato"/>
                <w:b/>
                <w:bCs/>
                <w:i/>
                <w:iCs/>
                <w:sz w:val="2"/>
                <w:szCs w:val="2"/>
              </w:rPr>
            </w:pPr>
          </w:p>
        </w:tc>
        <w:tc>
          <w:tcPr>
            <w:tcW w:w="3524" w:type="dxa"/>
            <w:tcBorders>
              <w:right w:val="nil"/>
            </w:tcBorders>
            <w:vAlign w:val="center"/>
          </w:tcPr>
          <w:p w:rsidR="00D1277C" w:rsidRPr="00496472" w:rsidRDefault="00D1277C" w:rsidP="00D1277C">
            <w:pPr>
              <w:jc w:val="center"/>
              <w:rPr>
                <w:rFonts w:ascii="Lato" w:hAnsi="Lato"/>
                <w:b/>
                <w:bCs/>
                <w:i/>
                <w:iCs/>
                <w:sz w:val="2"/>
                <w:szCs w:val="2"/>
              </w:rPr>
            </w:pPr>
          </w:p>
        </w:tc>
      </w:tr>
      <w:tr w:rsidR="00D1277C" w:rsidRPr="00496472" w:rsidTr="00D1277C">
        <w:trPr>
          <w:trHeight w:val="295"/>
          <w:jc w:val="center"/>
        </w:trPr>
        <w:tc>
          <w:tcPr>
            <w:tcW w:w="3524" w:type="dxa"/>
            <w:tcBorders>
              <w:bottom w:val="single" w:sz="8" w:space="0" w:color="9BBB59" w:themeColor="accent3"/>
            </w:tcBorders>
            <w:shd w:val="clear" w:color="auto" w:fill="F2F2F2" w:themeFill="background1" w:themeFillShade="F2"/>
            <w:vAlign w:val="center"/>
            <w:hideMark/>
          </w:tcPr>
          <w:p w:rsidR="00D1277C" w:rsidRPr="003D0E8D" w:rsidRDefault="00D1277C" w:rsidP="00D1277C">
            <w:pPr>
              <w:jc w:val="center"/>
              <w:rPr>
                <w:rFonts w:ascii="Lato" w:hAnsi="Lato"/>
                <w:b/>
                <w:bCs/>
                <w:i/>
                <w:iCs/>
                <w:sz w:val="16"/>
                <w:szCs w:val="16"/>
              </w:rPr>
            </w:pPr>
            <w:proofErr w:type="spellStart"/>
            <w:r w:rsidRPr="003D0E8D">
              <w:rPr>
                <w:rFonts w:ascii="Lato" w:hAnsi="Lato"/>
                <w:b/>
                <w:bCs/>
                <w:i/>
                <w:iCs/>
                <w:sz w:val="16"/>
                <w:szCs w:val="16"/>
              </w:rPr>
              <w:t>Mdt</w:t>
            </w:r>
            <w:proofErr w:type="spellEnd"/>
            <w:r w:rsidRPr="003D0E8D">
              <w:rPr>
                <w:rFonts w:ascii="Lato" w:hAnsi="Lato"/>
                <w:b/>
                <w:bCs/>
                <w:i/>
                <w:iCs/>
                <w:sz w:val="16"/>
                <w:szCs w:val="16"/>
              </w:rPr>
              <w:t xml:space="preserve">: </w:t>
            </w:r>
            <w:r w:rsidRPr="003D0E8D">
              <w:rPr>
                <w:rFonts w:ascii="Lato" w:hAnsi="Lato"/>
                <w:bCs/>
                <w:i/>
                <w:iCs/>
                <w:sz w:val="16"/>
                <w:szCs w:val="16"/>
              </w:rPr>
              <w:t>Monto Depositado en el Trimestre</w:t>
            </w:r>
          </w:p>
        </w:tc>
        <w:tc>
          <w:tcPr>
            <w:tcW w:w="3524" w:type="dxa"/>
            <w:tcBorders>
              <w:bottom w:val="single" w:sz="8" w:space="0" w:color="9BBB59" w:themeColor="accent3"/>
            </w:tcBorders>
            <w:shd w:val="clear" w:color="auto" w:fill="F2F2F2" w:themeFill="background1" w:themeFillShade="F2"/>
            <w:vAlign w:val="center"/>
            <w:hideMark/>
          </w:tcPr>
          <w:p w:rsidR="00D1277C" w:rsidRPr="003D0E8D" w:rsidRDefault="00D1277C" w:rsidP="00D1277C">
            <w:pPr>
              <w:jc w:val="center"/>
              <w:rPr>
                <w:rFonts w:ascii="Lato" w:hAnsi="Lato"/>
                <w:b/>
                <w:bCs/>
                <w:i/>
                <w:iCs/>
                <w:sz w:val="16"/>
                <w:szCs w:val="16"/>
              </w:rPr>
            </w:pPr>
            <w:r w:rsidRPr="003D0E8D">
              <w:rPr>
                <w:rFonts w:ascii="Lato" w:hAnsi="Lato"/>
                <w:b/>
                <w:bCs/>
                <w:i/>
                <w:iCs/>
                <w:sz w:val="16"/>
                <w:szCs w:val="16"/>
              </w:rPr>
              <w:t xml:space="preserve">Mat: </w:t>
            </w:r>
            <w:r w:rsidRPr="003D0E8D">
              <w:rPr>
                <w:rFonts w:ascii="Lato" w:hAnsi="Lato"/>
                <w:bCs/>
                <w:i/>
                <w:iCs/>
                <w:sz w:val="16"/>
                <w:szCs w:val="16"/>
              </w:rPr>
              <w:t>Monto Asignado en el Trimestre</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40"/>
          <w:jc w:val="center"/>
        </w:trPr>
        <w:tc>
          <w:tcPr>
            <w:tcW w:w="3524" w:type="dxa"/>
            <w:tcBorders>
              <w:left w:val="nil"/>
            </w:tcBorders>
            <w:vAlign w:val="center"/>
          </w:tcPr>
          <w:p w:rsidR="00D1277C" w:rsidRPr="00496472" w:rsidRDefault="00D1277C" w:rsidP="00D1277C">
            <w:pPr>
              <w:jc w:val="center"/>
              <w:rPr>
                <w:rFonts w:ascii="Lato" w:hAnsi="Lato"/>
                <w:sz w:val="4"/>
                <w:szCs w:val="4"/>
              </w:rPr>
            </w:pPr>
          </w:p>
        </w:tc>
        <w:tc>
          <w:tcPr>
            <w:tcW w:w="3524" w:type="dxa"/>
            <w:tcBorders>
              <w:right w:val="nil"/>
            </w:tcBorders>
            <w:vAlign w:val="center"/>
          </w:tcPr>
          <w:p w:rsidR="00D1277C" w:rsidRPr="00496472" w:rsidRDefault="00D1277C" w:rsidP="00D1277C">
            <w:pPr>
              <w:jc w:val="center"/>
              <w:rPr>
                <w:rFonts w:ascii="Lato" w:hAnsi="Lato"/>
                <w:sz w:val="4"/>
                <w:szCs w:val="4"/>
              </w:rPr>
            </w:pPr>
          </w:p>
        </w:tc>
      </w:tr>
      <w:tr w:rsidR="00D1277C" w:rsidRPr="00496472" w:rsidTr="00D1277C">
        <w:trPr>
          <w:trHeight w:val="1934"/>
          <w:jc w:val="center"/>
        </w:trPr>
        <w:tc>
          <w:tcPr>
            <w:tcW w:w="3524" w:type="dxa"/>
            <w:vAlign w:val="center"/>
            <w:hideMark/>
          </w:tcPr>
          <w:p w:rsidR="00D1277C" w:rsidRPr="00496472" w:rsidRDefault="00D1277C" w:rsidP="00D1277C">
            <w:pPr>
              <w:spacing w:line="276" w:lineRule="auto"/>
              <w:jc w:val="both"/>
              <w:rPr>
                <w:rFonts w:ascii="Lato" w:hAnsi="Lato"/>
                <w:sz w:val="16"/>
                <w:szCs w:val="16"/>
              </w:rPr>
            </w:pPr>
            <w:r w:rsidRPr="00496472">
              <w:rPr>
                <w:rFonts w:ascii="Lato" w:hAnsi="Lato"/>
                <w:sz w:val="16"/>
                <w:szCs w:val="16"/>
              </w:rPr>
              <w:t>Recibo oficial de depósito de los recursos (póliza de ingreso o comprobante similar) y estado de cuenta bancario en el que se radicaron los recursos (cuenta específica).</w:t>
            </w:r>
          </w:p>
        </w:tc>
        <w:tc>
          <w:tcPr>
            <w:tcW w:w="3524" w:type="dxa"/>
            <w:vAlign w:val="center"/>
            <w:hideMark/>
          </w:tcPr>
          <w:p w:rsidR="00D1277C" w:rsidRPr="00496472" w:rsidRDefault="00D1277C" w:rsidP="00D1277C">
            <w:pPr>
              <w:spacing w:line="276" w:lineRule="auto"/>
              <w:jc w:val="both"/>
              <w:rPr>
                <w:rFonts w:ascii="Lato" w:hAnsi="Lato"/>
                <w:sz w:val="16"/>
                <w:szCs w:val="16"/>
              </w:rPr>
            </w:pPr>
            <w:r w:rsidRPr="00496472">
              <w:rPr>
                <w:rFonts w:ascii="Lato" w:hAnsi="Lato"/>
                <w:sz w:val="16"/>
                <w:szCs w:val="16"/>
              </w:rPr>
              <w:t>Acuerdo por el que se da a conocer a los Gobiernos de las Entidades Federativas la distribución y calendarización para la ministración de los recursos del Ramo General 33 Aportaciones Federales del ejercicio fiscal correspondiente, publicado en el Diario Oficial de la Federación.</w:t>
            </w:r>
          </w:p>
        </w:tc>
      </w:tr>
    </w:tbl>
    <w:p w:rsidR="00E277DB" w:rsidRPr="00D9679D" w:rsidRDefault="00E277DB" w:rsidP="00E277DB">
      <w:pPr>
        <w:spacing w:after="0" w:line="240" w:lineRule="auto"/>
        <w:rPr>
          <w:rFonts w:ascii="Arial" w:hAnsi="Arial" w:cs="Arial"/>
          <w:sz w:val="8"/>
          <w:szCs w:val="6"/>
        </w:rPr>
      </w:pPr>
    </w:p>
    <w:tbl>
      <w:tblPr>
        <w:tblStyle w:val="Tablaconcuadrcula"/>
        <w:tblW w:w="7046" w:type="dxa"/>
        <w:tblInd w:w="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6262"/>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6262"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3F0088" w:rsidRPr="00D962AE" w:rsidRDefault="003F0088"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3E4F44" w:rsidRPr="003E4F44" w:rsidRDefault="003E4F44" w:rsidP="003E4F44">
      <w:pPr>
        <w:spacing w:after="0" w:line="360" w:lineRule="auto"/>
        <w:ind w:firstLine="708"/>
        <w:rPr>
          <w:rFonts w:ascii="Arial" w:hAnsi="Arial" w:cs="Arial"/>
          <w:b/>
          <w:sz w:val="24"/>
          <w:szCs w:val="24"/>
        </w:rPr>
      </w:pPr>
      <w:r w:rsidRPr="003E4F44">
        <w:rPr>
          <w:rFonts w:ascii="Arial" w:hAnsi="Arial" w:cs="Arial"/>
          <w:b/>
          <w:sz w:val="24"/>
          <w:szCs w:val="24"/>
        </w:rPr>
        <w:lastRenderedPageBreak/>
        <w:t>3.3.2 Ejercicio de los recursos</w:t>
      </w:r>
    </w:p>
    <w:p w:rsidR="003E4F44" w:rsidRPr="00D962AE" w:rsidRDefault="003E4F44"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sz w:val="24"/>
          <w:szCs w:val="24"/>
        </w:rPr>
      </w:pPr>
      <w:r w:rsidRPr="00D962AE">
        <w:rPr>
          <w:rFonts w:ascii="Arial" w:hAnsi="Arial" w:cs="Arial"/>
          <w:sz w:val="24"/>
          <w:szCs w:val="24"/>
        </w:rPr>
        <w:t>La etapa que a continuación se expone, consiste en la aplicación de 5 indicadores</w:t>
      </w:r>
      <w:r w:rsidR="00D962AE">
        <w:rPr>
          <w:rFonts w:ascii="Arial" w:hAnsi="Arial" w:cs="Arial"/>
          <w:sz w:val="24"/>
          <w:szCs w:val="24"/>
        </w:rPr>
        <w:t xml:space="preserve"> (</w:t>
      </w:r>
      <w:r w:rsidR="00371B5E">
        <w:rPr>
          <w:rFonts w:ascii="Arial" w:hAnsi="Arial" w:cs="Arial"/>
          <w:sz w:val="24"/>
          <w:szCs w:val="24"/>
        </w:rPr>
        <w:t>Tabla 12</w:t>
      </w:r>
      <w:r w:rsidR="00D962AE">
        <w:rPr>
          <w:rFonts w:ascii="Arial" w:hAnsi="Arial" w:cs="Arial"/>
          <w:sz w:val="24"/>
          <w:szCs w:val="24"/>
        </w:rPr>
        <w:t>),</w:t>
      </w:r>
      <w:r w:rsidRPr="00D962AE">
        <w:rPr>
          <w:rFonts w:ascii="Arial" w:hAnsi="Arial" w:cs="Arial"/>
          <w:sz w:val="24"/>
          <w:szCs w:val="24"/>
        </w:rPr>
        <w:t xml:space="preserve"> que permitirán determinar el desempeño de las unidades responsables respecto al gasto de los Fondos de Aportaciones que les corresponden. El resultado de los indicadores que integran esta evaluación supone que a mayor porcentaje obtenido, mayor eficacia en el ejercicio de los recursos.</w:t>
      </w:r>
    </w:p>
    <w:p w:rsidR="00D962AE" w:rsidRDefault="00D962AE" w:rsidP="00D1277C">
      <w:pPr>
        <w:spacing w:after="0" w:line="360" w:lineRule="auto"/>
        <w:jc w:val="both"/>
        <w:rPr>
          <w:rFonts w:ascii="Arial" w:hAnsi="Arial" w:cs="Arial"/>
          <w:sz w:val="24"/>
          <w:szCs w:val="24"/>
        </w:rPr>
      </w:pPr>
    </w:p>
    <w:p w:rsidR="00371B5E" w:rsidRPr="00371B5E" w:rsidRDefault="00371B5E" w:rsidP="0050647C">
      <w:pPr>
        <w:pStyle w:val="Epgrafe"/>
        <w:keepNext/>
        <w:spacing w:after="0"/>
        <w:jc w:val="center"/>
        <w:rPr>
          <w:rFonts w:ascii="Arial" w:hAnsi="Arial" w:cs="Arial"/>
          <w:color w:val="auto"/>
          <w:sz w:val="24"/>
          <w:szCs w:val="24"/>
        </w:rPr>
      </w:pPr>
      <w:bookmarkStart w:id="11" w:name="_Toc510526019"/>
      <w:r w:rsidRPr="00371B5E">
        <w:rPr>
          <w:rFonts w:ascii="Arial" w:hAnsi="Arial" w:cs="Arial"/>
          <w:color w:val="auto"/>
          <w:sz w:val="24"/>
          <w:szCs w:val="24"/>
        </w:rPr>
        <w:t xml:space="preserve">Tabla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Tabla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12</w:t>
      </w:r>
      <w:bookmarkEnd w:id="11"/>
      <w:r w:rsidRPr="00371B5E">
        <w:rPr>
          <w:rFonts w:ascii="Arial" w:hAnsi="Arial" w:cs="Arial"/>
          <w:color w:val="auto"/>
          <w:sz w:val="24"/>
          <w:szCs w:val="24"/>
        </w:rPr>
        <w:fldChar w:fldCharType="end"/>
      </w:r>
    </w:p>
    <w:tbl>
      <w:tblPr>
        <w:tblStyle w:val="Listaclara-nfasis3"/>
        <w:tblW w:w="5612" w:type="dxa"/>
        <w:jc w:val="center"/>
        <w:tblInd w:w="532" w:type="dxa"/>
        <w:tblBorders>
          <w:top w:val="single" w:sz="8" w:space="0" w:color="B2B2B2"/>
          <w:left w:val="none" w:sz="0" w:space="0" w:color="auto"/>
          <w:bottom w:val="single" w:sz="8" w:space="0" w:color="B2B2B2"/>
          <w:right w:val="none" w:sz="0" w:space="0" w:color="auto"/>
          <w:insideH w:val="single" w:sz="8" w:space="0" w:color="B2B2B2"/>
        </w:tblBorders>
        <w:tblLook w:val="04A0" w:firstRow="1" w:lastRow="0" w:firstColumn="1" w:lastColumn="0" w:noHBand="0" w:noVBand="1"/>
      </w:tblPr>
      <w:tblGrid>
        <w:gridCol w:w="2657"/>
        <w:gridCol w:w="2955"/>
      </w:tblGrid>
      <w:tr w:rsidR="00D1277C" w:rsidRPr="0053464E" w:rsidTr="00D1277C">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2657" w:type="dxa"/>
            <w:shd w:val="clear" w:color="auto" w:fill="B2B2B2"/>
            <w:vAlign w:val="center"/>
          </w:tcPr>
          <w:p w:rsidR="00D1277C" w:rsidRPr="00793448" w:rsidRDefault="00D1277C" w:rsidP="00D1277C">
            <w:pPr>
              <w:jc w:val="center"/>
              <w:rPr>
                <w:rFonts w:ascii="Lato" w:hAnsi="Lato"/>
                <w:sz w:val="18"/>
                <w:szCs w:val="16"/>
              </w:rPr>
            </w:pPr>
            <w:r w:rsidRPr="00793448">
              <w:rPr>
                <w:rFonts w:ascii="Lato" w:hAnsi="Lato"/>
                <w:sz w:val="18"/>
                <w:szCs w:val="16"/>
              </w:rPr>
              <w:t>Entidades Fiscalizables:</w:t>
            </w:r>
          </w:p>
        </w:tc>
        <w:tc>
          <w:tcPr>
            <w:tcW w:w="2955" w:type="dxa"/>
            <w:shd w:val="clear" w:color="auto" w:fill="B2B2B2"/>
            <w:vAlign w:val="center"/>
          </w:tcPr>
          <w:p w:rsidR="00D1277C" w:rsidRPr="00793448" w:rsidRDefault="00D1277C" w:rsidP="00D1277C">
            <w:pPr>
              <w:jc w:val="center"/>
              <w:cnfStyle w:val="100000000000" w:firstRow="1" w:lastRow="0" w:firstColumn="0" w:lastColumn="0" w:oddVBand="0" w:evenVBand="0" w:oddHBand="0" w:evenHBand="0" w:firstRowFirstColumn="0" w:firstRowLastColumn="0" w:lastRowFirstColumn="0" w:lastRowLastColumn="0"/>
              <w:rPr>
                <w:rFonts w:ascii="Lato" w:hAnsi="Lato"/>
                <w:sz w:val="18"/>
                <w:szCs w:val="16"/>
              </w:rPr>
            </w:pPr>
            <w:r w:rsidRPr="00793448">
              <w:rPr>
                <w:rFonts w:ascii="Lato" w:hAnsi="Lato"/>
                <w:sz w:val="18"/>
                <w:szCs w:val="16"/>
              </w:rPr>
              <w:t>Fondos de Aportaciones que se evalúan:</w:t>
            </w:r>
          </w:p>
        </w:tc>
      </w:tr>
      <w:tr w:rsidR="00D1277C" w:rsidRPr="0053464E" w:rsidTr="00D1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7" w:type="dxa"/>
            <w:tcBorders>
              <w:top w:val="none" w:sz="0" w:space="0" w:color="auto"/>
              <w:left w:val="none" w:sz="0" w:space="0" w:color="auto"/>
              <w:bottom w:val="none" w:sz="0" w:space="0" w:color="auto"/>
            </w:tcBorders>
          </w:tcPr>
          <w:p w:rsidR="00D1277C" w:rsidRPr="0053464E" w:rsidRDefault="00D1277C" w:rsidP="00D1277C">
            <w:pPr>
              <w:jc w:val="both"/>
              <w:rPr>
                <w:rFonts w:ascii="Lato" w:hAnsi="Lato"/>
                <w:sz w:val="4"/>
                <w:szCs w:val="4"/>
              </w:rPr>
            </w:pPr>
          </w:p>
        </w:tc>
        <w:tc>
          <w:tcPr>
            <w:tcW w:w="2955" w:type="dxa"/>
            <w:tcBorders>
              <w:top w:val="none" w:sz="0" w:space="0" w:color="auto"/>
              <w:bottom w:val="none" w:sz="0" w:space="0" w:color="auto"/>
              <w:right w:val="none" w:sz="0" w:space="0" w:color="auto"/>
            </w:tcBorders>
          </w:tcPr>
          <w:p w:rsidR="00D1277C" w:rsidRPr="0053464E" w:rsidRDefault="00D1277C" w:rsidP="00D1277C">
            <w:pPr>
              <w:jc w:val="center"/>
              <w:cnfStyle w:val="000000100000" w:firstRow="0" w:lastRow="0" w:firstColumn="0" w:lastColumn="0" w:oddVBand="0" w:evenVBand="0" w:oddHBand="1" w:evenHBand="0" w:firstRowFirstColumn="0" w:firstRowLastColumn="0" w:lastRowFirstColumn="0" w:lastRowLastColumn="0"/>
              <w:rPr>
                <w:rFonts w:ascii="Lato" w:hAnsi="Lato"/>
                <w:sz w:val="4"/>
                <w:szCs w:val="4"/>
              </w:rPr>
            </w:pPr>
          </w:p>
        </w:tc>
      </w:tr>
      <w:tr w:rsidR="00D1277C" w:rsidRPr="00B87B81" w:rsidTr="00D1277C">
        <w:trPr>
          <w:trHeight w:val="1498"/>
          <w:jc w:val="center"/>
        </w:trPr>
        <w:tc>
          <w:tcPr>
            <w:cnfStyle w:val="001000000000" w:firstRow="0" w:lastRow="0" w:firstColumn="1" w:lastColumn="0" w:oddVBand="0" w:evenVBand="0" w:oddHBand="0" w:evenHBand="0" w:firstRowFirstColumn="0" w:firstRowLastColumn="0" w:lastRowFirstColumn="0" w:lastRowLastColumn="0"/>
            <w:tcW w:w="2657" w:type="dxa"/>
            <w:vAlign w:val="center"/>
          </w:tcPr>
          <w:p w:rsidR="00D1277C" w:rsidRPr="00793448" w:rsidRDefault="00D1277C" w:rsidP="00D1277C">
            <w:pPr>
              <w:pStyle w:val="Prrafodelista"/>
              <w:numPr>
                <w:ilvl w:val="0"/>
                <w:numId w:val="9"/>
              </w:numPr>
              <w:spacing w:line="360" w:lineRule="auto"/>
              <w:ind w:left="573" w:hanging="210"/>
              <w:jc w:val="both"/>
              <w:rPr>
                <w:rFonts w:ascii="Lato" w:hAnsi="Lato"/>
                <w:sz w:val="16"/>
                <w:szCs w:val="16"/>
              </w:rPr>
            </w:pPr>
            <w:r w:rsidRPr="00793448">
              <w:rPr>
                <w:rFonts w:ascii="Lato" w:hAnsi="Lato"/>
                <w:sz w:val="16"/>
                <w:szCs w:val="16"/>
              </w:rPr>
              <w:t>SEFIN</w:t>
            </w:r>
          </w:p>
          <w:p w:rsidR="00D1277C" w:rsidRPr="00793448" w:rsidRDefault="00D1277C" w:rsidP="00D1277C">
            <w:pPr>
              <w:pStyle w:val="Prrafodelista"/>
              <w:numPr>
                <w:ilvl w:val="0"/>
                <w:numId w:val="9"/>
              </w:numPr>
              <w:spacing w:line="360" w:lineRule="auto"/>
              <w:ind w:left="573" w:hanging="210"/>
              <w:jc w:val="both"/>
              <w:rPr>
                <w:rFonts w:ascii="Lato" w:hAnsi="Lato"/>
                <w:sz w:val="16"/>
                <w:szCs w:val="16"/>
              </w:rPr>
            </w:pPr>
            <w:r w:rsidRPr="00793448">
              <w:rPr>
                <w:rFonts w:ascii="Lato" w:hAnsi="Lato"/>
                <w:sz w:val="16"/>
                <w:szCs w:val="16"/>
              </w:rPr>
              <w:t>SGG</w:t>
            </w:r>
          </w:p>
          <w:p w:rsidR="00D1277C" w:rsidRPr="00793448" w:rsidRDefault="00D1277C" w:rsidP="00D1277C">
            <w:pPr>
              <w:pStyle w:val="Prrafodelista"/>
              <w:numPr>
                <w:ilvl w:val="0"/>
                <w:numId w:val="9"/>
              </w:numPr>
              <w:spacing w:line="360" w:lineRule="auto"/>
              <w:ind w:left="573" w:hanging="210"/>
              <w:jc w:val="both"/>
              <w:rPr>
                <w:rFonts w:ascii="Lato" w:hAnsi="Lato"/>
                <w:sz w:val="16"/>
                <w:szCs w:val="16"/>
              </w:rPr>
            </w:pPr>
            <w:r w:rsidRPr="00793448">
              <w:rPr>
                <w:rFonts w:ascii="Lato" w:hAnsi="Lato"/>
                <w:sz w:val="16"/>
                <w:szCs w:val="16"/>
              </w:rPr>
              <w:t>DIFEM</w:t>
            </w:r>
          </w:p>
          <w:p w:rsidR="00D1277C" w:rsidRPr="00793448" w:rsidRDefault="00D1277C" w:rsidP="00D1277C">
            <w:pPr>
              <w:pStyle w:val="Prrafodelista"/>
              <w:numPr>
                <w:ilvl w:val="0"/>
                <w:numId w:val="9"/>
              </w:numPr>
              <w:spacing w:line="360" w:lineRule="auto"/>
              <w:ind w:left="573" w:hanging="210"/>
              <w:jc w:val="both"/>
              <w:rPr>
                <w:rFonts w:ascii="Lato" w:hAnsi="Lato"/>
                <w:sz w:val="16"/>
                <w:szCs w:val="16"/>
              </w:rPr>
            </w:pPr>
            <w:r w:rsidRPr="00793448">
              <w:rPr>
                <w:rFonts w:ascii="Lato" w:hAnsi="Lato"/>
                <w:sz w:val="16"/>
                <w:szCs w:val="16"/>
              </w:rPr>
              <w:t>ISEM</w:t>
            </w:r>
          </w:p>
          <w:p w:rsidR="00D1277C" w:rsidRPr="00793448" w:rsidRDefault="00D1277C" w:rsidP="00D1277C">
            <w:pPr>
              <w:pStyle w:val="Prrafodelista"/>
              <w:numPr>
                <w:ilvl w:val="0"/>
                <w:numId w:val="9"/>
              </w:numPr>
              <w:ind w:left="573" w:hanging="210"/>
              <w:jc w:val="both"/>
              <w:rPr>
                <w:rFonts w:ascii="Lato" w:hAnsi="Lato"/>
                <w:sz w:val="16"/>
                <w:szCs w:val="16"/>
              </w:rPr>
            </w:pPr>
            <w:r w:rsidRPr="00793448">
              <w:rPr>
                <w:rFonts w:ascii="Lato" w:hAnsi="Lato"/>
                <w:sz w:val="16"/>
                <w:szCs w:val="16"/>
              </w:rPr>
              <w:t>CONALEP</w:t>
            </w:r>
          </w:p>
        </w:tc>
        <w:tc>
          <w:tcPr>
            <w:tcW w:w="2955" w:type="dxa"/>
            <w:vAlign w:val="center"/>
          </w:tcPr>
          <w:p w:rsidR="00D1277C" w:rsidRPr="00793448" w:rsidRDefault="00D1277C" w:rsidP="00D1277C">
            <w:pPr>
              <w:pStyle w:val="Prrafodelista"/>
              <w:numPr>
                <w:ilvl w:val="0"/>
                <w:numId w:val="9"/>
              </w:numPr>
              <w:spacing w:line="360" w:lineRule="auto"/>
              <w:ind w:left="573" w:hanging="210"/>
              <w:jc w:val="both"/>
              <w:cnfStyle w:val="000000000000" w:firstRow="0" w:lastRow="0" w:firstColumn="0" w:lastColumn="0" w:oddVBand="0" w:evenVBand="0" w:oddHBand="0" w:evenHBand="0" w:firstRowFirstColumn="0" w:firstRowLastColumn="0" w:lastRowFirstColumn="0" w:lastRowLastColumn="0"/>
              <w:rPr>
                <w:rFonts w:ascii="Lato" w:hAnsi="Lato"/>
                <w:b/>
                <w:sz w:val="16"/>
                <w:szCs w:val="16"/>
              </w:rPr>
            </w:pPr>
            <w:r w:rsidRPr="00793448">
              <w:rPr>
                <w:rFonts w:ascii="Lato" w:hAnsi="Lato"/>
                <w:b/>
                <w:sz w:val="16"/>
                <w:szCs w:val="16"/>
              </w:rPr>
              <w:t>FISE</w:t>
            </w:r>
          </w:p>
          <w:p w:rsidR="00D1277C" w:rsidRPr="00793448" w:rsidRDefault="00D1277C" w:rsidP="00D1277C">
            <w:pPr>
              <w:pStyle w:val="Prrafodelista"/>
              <w:numPr>
                <w:ilvl w:val="0"/>
                <w:numId w:val="9"/>
              </w:numPr>
              <w:spacing w:line="360" w:lineRule="auto"/>
              <w:ind w:left="573" w:hanging="210"/>
              <w:jc w:val="both"/>
              <w:cnfStyle w:val="000000000000" w:firstRow="0" w:lastRow="0" w:firstColumn="0" w:lastColumn="0" w:oddVBand="0" w:evenVBand="0" w:oddHBand="0" w:evenHBand="0" w:firstRowFirstColumn="0" w:firstRowLastColumn="0" w:lastRowFirstColumn="0" w:lastRowLastColumn="0"/>
              <w:rPr>
                <w:rFonts w:ascii="Lato" w:hAnsi="Lato"/>
                <w:b/>
                <w:sz w:val="16"/>
                <w:szCs w:val="16"/>
              </w:rPr>
            </w:pPr>
            <w:r w:rsidRPr="00793448">
              <w:rPr>
                <w:rFonts w:ascii="Lato" w:hAnsi="Lato"/>
                <w:b/>
                <w:sz w:val="16"/>
                <w:szCs w:val="16"/>
              </w:rPr>
              <w:t>FASP</w:t>
            </w:r>
          </w:p>
          <w:p w:rsidR="00D1277C" w:rsidRPr="00793448" w:rsidRDefault="00D1277C" w:rsidP="00D1277C">
            <w:pPr>
              <w:pStyle w:val="Prrafodelista"/>
              <w:numPr>
                <w:ilvl w:val="0"/>
                <w:numId w:val="9"/>
              </w:numPr>
              <w:spacing w:line="360" w:lineRule="auto"/>
              <w:ind w:left="573" w:hanging="210"/>
              <w:jc w:val="both"/>
              <w:cnfStyle w:val="000000000000" w:firstRow="0" w:lastRow="0" w:firstColumn="0" w:lastColumn="0" w:oddVBand="0" w:evenVBand="0" w:oddHBand="0" w:evenHBand="0" w:firstRowFirstColumn="0" w:firstRowLastColumn="0" w:lastRowFirstColumn="0" w:lastRowLastColumn="0"/>
              <w:rPr>
                <w:rFonts w:ascii="Lato" w:hAnsi="Lato"/>
                <w:b/>
                <w:sz w:val="16"/>
                <w:szCs w:val="16"/>
              </w:rPr>
            </w:pPr>
            <w:r w:rsidRPr="00793448">
              <w:rPr>
                <w:rFonts w:ascii="Lato" w:hAnsi="Lato"/>
                <w:b/>
                <w:sz w:val="16"/>
                <w:szCs w:val="16"/>
              </w:rPr>
              <w:t>FAM</w:t>
            </w:r>
          </w:p>
          <w:p w:rsidR="00D1277C" w:rsidRPr="00793448" w:rsidRDefault="00D1277C" w:rsidP="00D1277C">
            <w:pPr>
              <w:pStyle w:val="Prrafodelista"/>
              <w:numPr>
                <w:ilvl w:val="0"/>
                <w:numId w:val="9"/>
              </w:numPr>
              <w:spacing w:line="360" w:lineRule="auto"/>
              <w:ind w:left="573" w:hanging="210"/>
              <w:jc w:val="both"/>
              <w:cnfStyle w:val="000000000000" w:firstRow="0" w:lastRow="0" w:firstColumn="0" w:lastColumn="0" w:oddVBand="0" w:evenVBand="0" w:oddHBand="0" w:evenHBand="0" w:firstRowFirstColumn="0" w:firstRowLastColumn="0" w:lastRowFirstColumn="0" w:lastRowLastColumn="0"/>
              <w:rPr>
                <w:rFonts w:ascii="Lato" w:hAnsi="Lato"/>
                <w:b/>
                <w:sz w:val="16"/>
                <w:szCs w:val="16"/>
              </w:rPr>
            </w:pPr>
            <w:r w:rsidRPr="00793448">
              <w:rPr>
                <w:rFonts w:ascii="Lato" w:hAnsi="Lato"/>
                <w:b/>
                <w:sz w:val="16"/>
                <w:szCs w:val="16"/>
              </w:rPr>
              <w:t>FASSA</w:t>
            </w:r>
          </w:p>
          <w:p w:rsidR="00D1277C" w:rsidRPr="00793448" w:rsidRDefault="00D1277C" w:rsidP="00D1277C">
            <w:pPr>
              <w:pStyle w:val="Prrafodelista"/>
              <w:numPr>
                <w:ilvl w:val="0"/>
                <w:numId w:val="9"/>
              </w:numPr>
              <w:ind w:left="573" w:hanging="210"/>
              <w:jc w:val="both"/>
              <w:cnfStyle w:val="000000000000" w:firstRow="0" w:lastRow="0" w:firstColumn="0" w:lastColumn="0" w:oddVBand="0" w:evenVBand="0" w:oddHBand="0" w:evenHBand="0" w:firstRowFirstColumn="0" w:firstRowLastColumn="0" w:lastRowFirstColumn="0" w:lastRowLastColumn="0"/>
              <w:rPr>
                <w:rFonts w:ascii="Lato" w:hAnsi="Lato"/>
                <w:b/>
                <w:sz w:val="16"/>
                <w:szCs w:val="16"/>
              </w:rPr>
            </w:pPr>
            <w:r w:rsidRPr="00793448">
              <w:rPr>
                <w:rFonts w:ascii="Lato" w:hAnsi="Lato"/>
                <w:b/>
                <w:sz w:val="16"/>
                <w:szCs w:val="16"/>
              </w:rPr>
              <w:t>FAETA</w:t>
            </w:r>
          </w:p>
        </w:tc>
      </w:tr>
    </w:tbl>
    <w:p w:rsidR="00E277DB" w:rsidRPr="00D9679D" w:rsidRDefault="00E277DB" w:rsidP="00E277DB">
      <w:pPr>
        <w:spacing w:after="0" w:line="240" w:lineRule="auto"/>
        <w:rPr>
          <w:rFonts w:ascii="Arial" w:hAnsi="Arial" w:cs="Arial"/>
          <w:sz w:val="8"/>
          <w:szCs w:val="6"/>
        </w:rPr>
      </w:pPr>
    </w:p>
    <w:tbl>
      <w:tblPr>
        <w:tblStyle w:val="Tablaconcuadrcula"/>
        <w:tblW w:w="4211" w:type="dxa"/>
        <w:tblInd w:w="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3427"/>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3427"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962AE" w:rsidRPr="00D962AE" w:rsidRDefault="00D962AE"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Parámetros de evaluación:</w:t>
      </w:r>
    </w:p>
    <w:tbl>
      <w:tblPr>
        <w:tblStyle w:val="Listaclara-nfasis2"/>
        <w:tblW w:w="8566" w:type="dxa"/>
        <w:jc w:val="center"/>
        <w:tblInd w:w="143"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834"/>
        <w:gridCol w:w="1158"/>
        <w:gridCol w:w="1180"/>
        <w:gridCol w:w="1069"/>
        <w:gridCol w:w="1249"/>
        <w:gridCol w:w="1074"/>
        <w:gridCol w:w="1002"/>
      </w:tblGrid>
      <w:tr w:rsidR="00D1277C" w:rsidRPr="008158F5" w:rsidTr="00D1277C">
        <w:trPr>
          <w:cnfStyle w:val="100000000000" w:firstRow="1" w:lastRow="0" w:firstColumn="0" w:lastColumn="0" w:oddVBand="0" w:evenVBand="0" w:oddHBand="0" w:evenHBand="0" w:firstRowFirstColumn="0" w:firstRowLastColumn="0" w:lastRowFirstColumn="0" w:lastRowLastColumn="0"/>
          <w:trHeight w:val="454"/>
          <w:jc w:val="center"/>
        </w:trPr>
        <w:tc>
          <w:tcPr>
            <w:tcW w:w="1834" w:type="dxa"/>
            <w:shd w:val="clear" w:color="auto" w:fill="B2B2B2"/>
            <w:vAlign w:val="center"/>
            <w:hideMark/>
          </w:tcPr>
          <w:p w:rsidR="00D1277C" w:rsidRPr="00084289" w:rsidRDefault="00D1277C" w:rsidP="00D1277C">
            <w:pPr>
              <w:jc w:val="center"/>
              <w:rPr>
                <w:rFonts w:ascii="Lato" w:hAnsi="Lato"/>
                <w:color w:val="auto"/>
                <w:sz w:val="16"/>
                <w:szCs w:val="16"/>
              </w:rPr>
            </w:pPr>
            <w:r w:rsidRPr="00084289">
              <w:rPr>
                <w:rFonts w:ascii="Lato" w:hAnsi="Lato"/>
                <w:bCs w:val="0"/>
                <w:color w:val="auto"/>
                <w:sz w:val="16"/>
                <w:szCs w:val="16"/>
              </w:rPr>
              <w:t>Fondo de Aportaciones</w:t>
            </w:r>
          </w:p>
        </w:tc>
        <w:tc>
          <w:tcPr>
            <w:tcW w:w="1158" w:type="dxa"/>
            <w:shd w:val="clear" w:color="auto" w:fill="00B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Parámetro aceptado</w:t>
            </w:r>
          </w:p>
        </w:tc>
        <w:tc>
          <w:tcPr>
            <w:tcW w:w="1180"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Adecuado</w:t>
            </w:r>
          </w:p>
        </w:tc>
        <w:tc>
          <w:tcPr>
            <w:tcW w:w="1069"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Bueno</w:t>
            </w:r>
          </w:p>
        </w:tc>
        <w:tc>
          <w:tcPr>
            <w:tcW w:w="1249" w:type="dxa"/>
            <w:shd w:val="clear" w:color="auto" w:fill="FFFF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Suficiente</w:t>
            </w:r>
          </w:p>
        </w:tc>
        <w:tc>
          <w:tcPr>
            <w:tcW w:w="107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Insuficiente</w:t>
            </w:r>
          </w:p>
        </w:tc>
        <w:tc>
          <w:tcPr>
            <w:tcW w:w="1002"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Crítico</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834" w:type="dxa"/>
            <w:tcBorders>
              <w:top w:val="none" w:sz="0" w:space="0" w:color="auto"/>
              <w:left w:val="none" w:sz="0" w:space="0" w:color="auto"/>
              <w:bottom w:val="none" w:sz="0" w:space="0" w:color="auto"/>
            </w:tcBorders>
            <w:vAlign w:val="center"/>
          </w:tcPr>
          <w:p w:rsidR="00D1277C" w:rsidRPr="00084289" w:rsidRDefault="00D1277C" w:rsidP="00D1277C">
            <w:pPr>
              <w:jc w:val="center"/>
              <w:rPr>
                <w:rFonts w:ascii="Lato" w:hAnsi="Lato"/>
                <w:b/>
                <w:sz w:val="6"/>
                <w:szCs w:val="6"/>
              </w:rPr>
            </w:pPr>
          </w:p>
        </w:tc>
        <w:tc>
          <w:tcPr>
            <w:tcW w:w="1158"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80"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069"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249"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07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002" w:type="dxa"/>
            <w:tcBorders>
              <w:top w:val="none" w:sz="0" w:space="0" w:color="auto"/>
              <w:bottom w:val="none" w:sz="0" w:space="0" w:color="auto"/>
              <w:right w:val="none" w:sz="0" w:space="0" w:color="auto"/>
            </w:tcBorders>
            <w:vAlign w:val="center"/>
          </w:tcPr>
          <w:p w:rsidR="00D1277C" w:rsidRPr="00084289" w:rsidRDefault="00D1277C" w:rsidP="00D1277C">
            <w:pPr>
              <w:jc w:val="center"/>
              <w:rPr>
                <w:rFonts w:ascii="Lato" w:hAnsi="Lato"/>
                <w:sz w:val="6"/>
                <w:szCs w:val="6"/>
              </w:rPr>
            </w:pPr>
          </w:p>
        </w:tc>
      </w:tr>
      <w:tr w:rsidR="00D1277C" w:rsidRPr="008158F5" w:rsidTr="00D1277C">
        <w:trPr>
          <w:trHeight w:val="454"/>
          <w:jc w:val="center"/>
        </w:trPr>
        <w:tc>
          <w:tcPr>
            <w:tcW w:w="1834" w:type="dxa"/>
            <w:vAlign w:val="center"/>
            <w:hideMark/>
          </w:tcPr>
          <w:p w:rsidR="00D1277C" w:rsidRPr="008158F5" w:rsidRDefault="00D1277C" w:rsidP="00D1277C">
            <w:pPr>
              <w:spacing w:line="276" w:lineRule="auto"/>
              <w:jc w:val="center"/>
              <w:rPr>
                <w:rFonts w:ascii="Lato" w:hAnsi="Lato"/>
                <w:b/>
                <w:sz w:val="16"/>
                <w:szCs w:val="16"/>
              </w:rPr>
            </w:pPr>
            <w:r>
              <w:rPr>
                <w:rFonts w:ascii="Lato" w:hAnsi="Lato"/>
                <w:b/>
                <w:sz w:val="16"/>
                <w:szCs w:val="16"/>
              </w:rPr>
              <w:t>FASSA y FAETA</w:t>
            </w:r>
          </w:p>
        </w:tc>
        <w:tc>
          <w:tcPr>
            <w:tcW w:w="1158"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85.01-100</w:t>
            </w:r>
          </w:p>
        </w:tc>
        <w:tc>
          <w:tcPr>
            <w:tcW w:w="1180"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95.01 - 100</w:t>
            </w:r>
          </w:p>
        </w:tc>
        <w:tc>
          <w:tcPr>
            <w:tcW w:w="1069"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90.01 - 95</w:t>
            </w:r>
          </w:p>
        </w:tc>
        <w:tc>
          <w:tcPr>
            <w:tcW w:w="1249"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85.01 – 90</w:t>
            </w:r>
          </w:p>
        </w:tc>
        <w:tc>
          <w:tcPr>
            <w:tcW w:w="107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40.01 - 85</w:t>
            </w:r>
          </w:p>
        </w:tc>
        <w:tc>
          <w:tcPr>
            <w:tcW w:w="1002"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0 - 40</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454"/>
          <w:jc w:val="center"/>
        </w:trPr>
        <w:tc>
          <w:tcPr>
            <w:tcW w:w="1834" w:type="dxa"/>
            <w:tcBorders>
              <w:top w:val="none" w:sz="0" w:space="0" w:color="auto"/>
              <w:left w:val="none" w:sz="0" w:space="0" w:color="auto"/>
              <w:bottom w:val="none" w:sz="0" w:space="0" w:color="auto"/>
            </w:tcBorders>
            <w:vAlign w:val="center"/>
          </w:tcPr>
          <w:p w:rsidR="00D1277C" w:rsidRPr="008158F5" w:rsidRDefault="00D1277C" w:rsidP="00D1277C">
            <w:pPr>
              <w:jc w:val="center"/>
              <w:rPr>
                <w:rFonts w:ascii="Lato" w:hAnsi="Lato"/>
                <w:b/>
                <w:sz w:val="16"/>
                <w:szCs w:val="16"/>
              </w:rPr>
            </w:pPr>
            <w:r>
              <w:rPr>
                <w:rFonts w:ascii="Lato" w:hAnsi="Lato"/>
                <w:b/>
                <w:sz w:val="16"/>
                <w:szCs w:val="16"/>
              </w:rPr>
              <w:t>FASP</w:t>
            </w:r>
          </w:p>
        </w:tc>
        <w:tc>
          <w:tcPr>
            <w:tcW w:w="1158" w:type="dxa"/>
            <w:tcBorders>
              <w:top w:val="none" w:sz="0" w:space="0" w:color="auto"/>
              <w:bottom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40.01 – 100</w:t>
            </w:r>
          </w:p>
        </w:tc>
        <w:tc>
          <w:tcPr>
            <w:tcW w:w="1180" w:type="dxa"/>
            <w:tcBorders>
              <w:top w:val="none" w:sz="0" w:space="0" w:color="auto"/>
              <w:bottom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80.01 – 100</w:t>
            </w:r>
          </w:p>
        </w:tc>
        <w:tc>
          <w:tcPr>
            <w:tcW w:w="1069" w:type="dxa"/>
            <w:tcBorders>
              <w:top w:val="none" w:sz="0" w:space="0" w:color="auto"/>
              <w:bottom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60.01 – 80</w:t>
            </w:r>
          </w:p>
        </w:tc>
        <w:tc>
          <w:tcPr>
            <w:tcW w:w="1249" w:type="dxa"/>
            <w:tcBorders>
              <w:top w:val="none" w:sz="0" w:space="0" w:color="auto"/>
              <w:bottom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40.01 – 60</w:t>
            </w:r>
          </w:p>
        </w:tc>
        <w:tc>
          <w:tcPr>
            <w:tcW w:w="1074" w:type="dxa"/>
            <w:tcBorders>
              <w:top w:val="none" w:sz="0" w:space="0" w:color="auto"/>
              <w:bottom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25.01 – 40</w:t>
            </w:r>
          </w:p>
        </w:tc>
        <w:tc>
          <w:tcPr>
            <w:tcW w:w="1002" w:type="dxa"/>
            <w:tcBorders>
              <w:top w:val="none" w:sz="0" w:space="0" w:color="auto"/>
              <w:bottom w:val="none" w:sz="0" w:space="0" w:color="auto"/>
              <w:right w:val="none" w:sz="0" w:space="0" w:color="auto"/>
            </w:tcBorders>
            <w:vAlign w:val="center"/>
          </w:tcPr>
          <w:p w:rsidR="00D1277C" w:rsidRPr="008158F5" w:rsidRDefault="00D1277C" w:rsidP="00D1277C">
            <w:pPr>
              <w:jc w:val="center"/>
              <w:rPr>
                <w:rFonts w:ascii="Lato" w:hAnsi="Lato"/>
                <w:sz w:val="16"/>
                <w:szCs w:val="16"/>
              </w:rPr>
            </w:pPr>
            <w:r>
              <w:rPr>
                <w:rFonts w:ascii="Lato" w:hAnsi="Lato"/>
                <w:sz w:val="16"/>
                <w:szCs w:val="16"/>
              </w:rPr>
              <w:t>0 - 25</w:t>
            </w:r>
          </w:p>
        </w:tc>
      </w:tr>
      <w:tr w:rsidR="00D1277C" w:rsidRPr="008158F5" w:rsidTr="00D1277C">
        <w:trPr>
          <w:trHeight w:val="454"/>
          <w:jc w:val="center"/>
        </w:trPr>
        <w:tc>
          <w:tcPr>
            <w:tcW w:w="1834" w:type="dxa"/>
            <w:vAlign w:val="center"/>
          </w:tcPr>
          <w:p w:rsidR="00D1277C" w:rsidRPr="008158F5" w:rsidRDefault="00D1277C" w:rsidP="00D1277C">
            <w:pPr>
              <w:jc w:val="center"/>
              <w:rPr>
                <w:rFonts w:ascii="Lato" w:hAnsi="Lato"/>
                <w:b/>
                <w:sz w:val="16"/>
                <w:szCs w:val="16"/>
              </w:rPr>
            </w:pPr>
            <w:r>
              <w:rPr>
                <w:rFonts w:ascii="Lato" w:hAnsi="Lato"/>
                <w:b/>
                <w:sz w:val="16"/>
                <w:szCs w:val="16"/>
              </w:rPr>
              <w:t>FISE</w:t>
            </w:r>
          </w:p>
        </w:tc>
        <w:tc>
          <w:tcPr>
            <w:tcW w:w="1158" w:type="dxa"/>
            <w:vAlign w:val="center"/>
          </w:tcPr>
          <w:p w:rsidR="00D1277C" w:rsidRPr="008158F5" w:rsidRDefault="00D1277C" w:rsidP="00D1277C">
            <w:pPr>
              <w:jc w:val="center"/>
              <w:rPr>
                <w:rFonts w:ascii="Lato" w:hAnsi="Lato"/>
                <w:sz w:val="16"/>
                <w:szCs w:val="16"/>
              </w:rPr>
            </w:pPr>
            <w:r>
              <w:rPr>
                <w:rFonts w:ascii="Lato" w:hAnsi="Lato"/>
                <w:sz w:val="16"/>
                <w:szCs w:val="16"/>
              </w:rPr>
              <w:t>50.01 – 100</w:t>
            </w:r>
          </w:p>
        </w:tc>
        <w:tc>
          <w:tcPr>
            <w:tcW w:w="1180" w:type="dxa"/>
            <w:vAlign w:val="center"/>
          </w:tcPr>
          <w:p w:rsidR="00D1277C" w:rsidRPr="008158F5" w:rsidRDefault="00D1277C" w:rsidP="00D1277C">
            <w:pPr>
              <w:jc w:val="center"/>
              <w:rPr>
                <w:rFonts w:ascii="Lato" w:hAnsi="Lato"/>
                <w:sz w:val="16"/>
                <w:szCs w:val="16"/>
              </w:rPr>
            </w:pPr>
            <w:r>
              <w:rPr>
                <w:rFonts w:ascii="Lato" w:hAnsi="Lato"/>
                <w:sz w:val="16"/>
                <w:szCs w:val="16"/>
              </w:rPr>
              <w:t>80.01 – 100</w:t>
            </w:r>
          </w:p>
        </w:tc>
        <w:tc>
          <w:tcPr>
            <w:tcW w:w="1069" w:type="dxa"/>
            <w:vAlign w:val="center"/>
          </w:tcPr>
          <w:p w:rsidR="00D1277C" w:rsidRPr="008158F5" w:rsidRDefault="00D1277C" w:rsidP="00D1277C">
            <w:pPr>
              <w:jc w:val="center"/>
              <w:rPr>
                <w:rFonts w:ascii="Lato" w:hAnsi="Lato"/>
                <w:sz w:val="16"/>
                <w:szCs w:val="16"/>
              </w:rPr>
            </w:pPr>
            <w:r>
              <w:rPr>
                <w:rFonts w:ascii="Lato" w:hAnsi="Lato"/>
                <w:sz w:val="16"/>
                <w:szCs w:val="16"/>
              </w:rPr>
              <w:t>60.01 – 80</w:t>
            </w:r>
          </w:p>
        </w:tc>
        <w:tc>
          <w:tcPr>
            <w:tcW w:w="1249" w:type="dxa"/>
            <w:vAlign w:val="center"/>
          </w:tcPr>
          <w:p w:rsidR="00D1277C" w:rsidRPr="008158F5" w:rsidRDefault="00D1277C" w:rsidP="00D1277C">
            <w:pPr>
              <w:jc w:val="center"/>
              <w:rPr>
                <w:rFonts w:ascii="Lato" w:hAnsi="Lato"/>
                <w:sz w:val="16"/>
                <w:szCs w:val="16"/>
              </w:rPr>
            </w:pPr>
            <w:r>
              <w:rPr>
                <w:rFonts w:ascii="Lato" w:hAnsi="Lato"/>
                <w:sz w:val="16"/>
                <w:szCs w:val="16"/>
              </w:rPr>
              <w:t>50.01 – 60</w:t>
            </w:r>
          </w:p>
        </w:tc>
        <w:tc>
          <w:tcPr>
            <w:tcW w:w="1074" w:type="dxa"/>
            <w:vAlign w:val="center"/>
          </w:tcPr>
          <w:p w:rsidR="00D1277C" w:rsidRPr="008158F5" w:rsidRDefault="00D1277C" w:rsidP="00D1277C">
            <w:pPr>
              <w:jc w:val="center"/>
              <w:rPr>
                <w:rFonts w:ascii="Lato" w:hAnsi="Lato"/>
                <w:sz w:val="16"/>
                <w:szCs w:val="16"/>
              </w:rPr>
            </w:pPr>
            <w:r>
              <w:rPr>
                <w:rFonts w:ascii="Lato" w:hAnsi="Lato"/>
                <w:sz w:val="16"/>
                <w:szCs w:val="16"/>
              </w:rPr>
              <w:t>20.01 – 50</w:t>
            </w:r>
          </w:p>
        </w:tc>
        <w:tc>
          <w:tcPr>
            <w:tcW w:w="1002" w:type="dxa"/>
            <w:vAlign w:val="center"/>
          </w:tcPr>
          <w:p w:rsidR="00D1277C" w:rsidRPr="008158F5" w:rsidRDefault="00D1277C" w:rsidP="00D1277C">
            <w:pPr>
              <w:jc w:val="center"/>
              <w:rPr>
                <w:rFonts w:ascii="Lato" w:hAnsi="Lato"/>
                <w:sz w:val="16"/>
                <w:szCs w:val="16"/>
              </w:rPr>
            </w:pPr>
            <w:r>
              <w:rPr>
                <w:rFonts w:ascii="Lato" w:hAnsi="Lato"/>
                <w:sz w:val="16"/>
                <w:szCs w:val="16"/>
              </w:rPr>
              <w:t>0 - 20</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454"/>
          <w:jc w:val="center"/>
        </w:trPr>
        <w:tc>
          <w:tcPr>
            <w:tcW w:w="1834" w:type="dxa"/>
            <w:tcBorders>
              <w:top w:val="none" w:sz="0" w:space="0" w:color="auto"/>
              <w:left w:val="none" w:sz="0" w:space="0" w:color="auto"/>
              <w:bottom w:val="none" w:sz="0" w:space="0" w:color="auto"/>
            </w:tcBorders>
            <w:vAlign w:val="center"/>
          </w:tcPr>
          <w:p w:rsidR="00D1277C" w:rsidRPr="008158F5" w:rsidRDefault="00D1277C" w:rsidP="00D1277C">
            <w:pPr>
              <w:spacing w:line="276" w:lineRule="auto"/>
              <w:jc w:val="center"/>
              <w:rPr>
                <w:rFonts w:ascii="Lato" w:hAnsi="Lato"/>
                <w:b/>
                <w:sz w:val="16"/>
                <w:szCs w:val="16"/>
              </w:rPr>
            </w:pPr>
            <w:r>
              <w:rPr>
                <w:rFonts w:ascii="Lato" w:hAnsi="Lato"/>
                <w:b/>
                <w:sz w:val="16"/>
                <w:szCs w:val="16"/>
              </w:rPr>
              <w:t>FAM</w:t>
            </w:r>
          </w:p>
        </w:tc>
        <w:tc>
          <w:tcPr>
            <w:tcW w:w="1158" w:type="dxa"/>
            <w:tcBorders>
              <w:top w:val="none" w:sz="0" w:space="0" w:color="auto"/>
              <w:bottom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25.01 – 100</w:t>
            </w:r>
          </w:p>
        </w:tc>
        <w:tc>
          <w:tcPr>
            <w:tcW w:w="1180" w:type="dxa"/>
            <w:tcBorders>
              <w:top w:val="none" w:sz="0" w:space="0" w:color="auto"/>
              <w:bottom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50.01 – 100</w:t>
            </w:r>
          </w:p>
        </w:tc>
        <w:tc>
          <w:tcPr>
            <w:tcW w:w="1069" w:type="dxa"/>
            <w:tcBorders>
              <w:top w:val="none" w:sz="0" w:space="0" w:color="auto"/>
              <w:bottom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37.51 – 50</w:t>
            </w:r>
          </w:p>
        </w:tc>
        <w:tc>
          <w:tcPr>
            <w:tcW w:w="1249" w:type="dxa"/>
            <w:tcBorders>
              <w:top w:val="none" w:sz="0" w:space="0" w:color="auto"/>
              <w:bottom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25.01 – 37.50</w:t>
            </w:r>
          </w:p>
        </w:tc>
        <w:tc>
          <w:tcPr>
            <w:tcW w:w="1074" w:type="dxa"/>
            <w:tcBorders>
              <w:top w:val="none" w:sz="0" w:space="0" w:color="auto"/>
              <w:bottom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12.51 – 25</w:t>
            </w:r>
          </w:p>
        </w:tc>
        <w:tc>
          <w:tcPr>
            <w:tcW w:w="1002" w:type="dxa"/>
            <w:tcBorders>
              <w:top w:val="none" w:sz="0" w:space="0" w:color="auto"/>
              <w:bottom w:val="none" w:sz="0" w:space="0" w:color="auto"/>
              <w:right w:val="none" w:sz="0" w:space="0" w:color="auto"/>
            </w:tcBorders>
            <w:vAlign w:val="center"/>
          </w:tcPr>
          <w:p w:rsidR="00D1277C" w:rsidRPr="008158F5" w:rsidRDefault="00D1277C" w:rsidP="00D1277C">
            <w:pPr>
              <w:spacing w:line="276" w:lineRule="auto"/>
              <w:jc w:val="center"/>
              <w:rPr>
                <w:rFonts w:ascii="Lato" w:hAnsi="Lato"/>
                <w:sz w:val="16"/>
                <w:szCs w:val="16"/>
              </w:rPr>
            </w:pPr>
            <w:r>
              <w:rPr>
                <w:rFonts w:ascii="Lato" w:hAnsi="Lato"/>
                <w:sz w:val="16"/>
                <w:szCs w:val="16"/>
              </w:rPr>
              <w:t>0 – 12.50</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Elaboración del OSFEM.</w:t>
            </w:r>
          </w:p>
        </w:tc>
      </w:tr>
    </w:tbl>
    <w:p w:rsidR="003F0088" w:rsidRDefault="003F0088"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E61CCB" w:rsidRDefault="00E61CCB" w:rsidP="00D1277C">
      <w:pPr>
        <w:spacing w:after="0" w:line="360" w:lineRule="auto"/>
        <w:jc w:val="both"/>
        <w:rPr>
          <w:rFonts w:ascii="Arial" w:hAnsi="Arial" w:cs="Arial"/>
          <w:sz w:val="24"/>
          <w:szCs w:val="24"/>
        </w:rPr>
      </w:pPr>
    </w:p>
    <w:p w:rsidR="0050647C" w:rsidRDefault="0050647C" w:rsidP="00D1277C">
      <w:pPr>
        <w:spacing w:after="0" w:line="360" w:lineRule="auto"/>
        <w:jc w:val="both"/>
        <w:rPr>
          <w:rFonts w:ascii="Arial" w:hAnsi="Arial" w:cs="Arial"/>
          <w:sz w:val="24"/>
          <w:szCs w:val="24"/>
        </w:rPr>
      </w:pPr>
    </w:p>
    <w:p w:rsidR="00E61CCB" w:rsidRPr="00D962AE" w:rsidRDefault="00E61CCB"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lastRenderedPageBreak/>
        <w:t>Elementos del indicador:</w:t>
      </w:r>
    </w:p>
    <w:tbl>
      <w:tblPr>
        <w:tblStyle w:val="Listaclara-nfasis3"/>
        <w:tblW w:w="8718" w:type="dxa"/>
        <w:jc w:val="center"/>
        <w:tblInd w:w="319"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376"/>
        <w:gridCol w:w="1362"/>
        <w:gridCol w:w="1166"/>
        <w:gridCol w:w="1939"/>
        <w:gridCol w:w="867"/>
        <w:gridCol w:w="982"/>
        <w:gridCol w:w="1026"/>
      </w:tblGrid>
      <w:tr w:rsidR="00D1277C" w:rsidRPr="00122B63" w:rsidTr="00E277DB">
        <w:trPr>
          <w:cnfStyle w:val="100000000000" w:firstRow="1" w:lastRow="0" w:firstColumn="0" w:lastColumn="0" w:oddVBand="0" w:evenVBand="0" w:oddHBand="0" w:evenHBand="0" w:firstRowFirstColumn="0" w:firstRowLastColumn="0" w:lastRowFirstColumn="0" w:lastRowLastColumn="0"/>
          <w:trHeight w:val="732"/>
          <w:jc w:val="center"/>
        </w:trPr>
        <w:tc>
          <w:tcPr>
            <w:tcW w:w="1376" w:type="dxa"/>
            <w:tcBorders>
              <w:bottom w:val="single" w:sz="8" w:space="0" w:color="B2B2B2"/>
            </w:tcBorders>
            <w:shd w:val="clear" w:color="auto" w:fill="B2B2B2"/>
            <w:vAlign w:val="center"/>
            <w:hideMark/>
          </w:tcPr>
          <w:p w:rsidR="00D1277C" w:rsidRPr="00122B63" w:rsidRDefault="00D1277C" w:rsidP="00D1277C">
            <w:pPr>
              <w:spacing w:line="276" w:lineRule="auto"/>
              <w:ind w:left="52"/>
              <w:jc w:val="center"/>
              <w:rPr>
                <w:rFonts w:ascii="Lato" w:hAnsi="Lato"/>
                <w:sz w:val="16"/>
                <w:szCs w:val="16"/>
              </w:rPr>
            </w:pPr>
            <w:r w:rsidRPr="00122B63">
              <w:rPr>
                <w:rFonts w:ascii="Lato" w:hAnsi="Lato"/>
                <w:sz w:val="16"/>
                <w:szCs w:val="16"/>
              </w:rPr>
              <w:t>Nombre del indicador</w:t>
            </w:r>
          </w:p>
        </w:tc>
        <w:tc>
          <w:tcPr>
            <w:tcW w:w="1362"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Objetivo</w:t>
            </w:r>
          </w:p>
        </w:tc>
        <w:tc>
          <w:tcPr>
            <w:tcW w:w="1166" w:type="dxa"/>
            <w:tcBorders>
              <w:bottom w:val="single" w:sz="8" w:space="0" w:color="B2B2B2"/>
            </w:tcBorders>
            <w:shd w:val="clear" w:color="auto" w:fill="B2B2B2"/>
            <w:vAlign w:val="center"/>
          </w:tcPr>
          <w:p w:rsidR="00D1277C" w:rsidRPr="00122B63" w:rsidRDefault="00D1277C" w:rsidP="00D1277C">
            <w:pPr>
              <w:spacing w:line="276" w:lineRule="auto"/>
              <w:jc w:val="center"/>
              <w:rPr>
                <w:rFonts w:ascii="Lato" w:hAnsi="Lato"/>
                <w:sz w:val="16"/>
                <w:szCs w:val="16"/>
              </w:rPr>
            </w:pPr>
            <w:r>
              <w:rPr>
                <w:rFonts w:ascii="Lato" w:hAnsi="Lato"/>
                <w:sz w:val="16"/>
                <w:szCs w:val="16"/>
              </w:rPr>
              <w:t>Fondos de Aportaciones</w:t>
            </w:r>
          </w:p>
        </w:tc>
        <w:tc>
          <w:tcPr>
            <w:tcW w:w="1939"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Fórmula y variables</w:t>
            </w:r>
          </w:p>
        </w:tc>
        <w:tc>
          <w:tcPr>
            <w:tcW w:w="867"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Unidad de medida</w:t>
            </w:r>
          </w:p>
        </w:tc>
        <w:tc>
          <w:tcPr>
            <w:tcW w:w="982"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Dimensión</w:t>
            </w:r>
          </w:p>
        </w:tc>
        <w:tc>
          <w:tcPr>
            <w:tcW w:w="1026"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Frecuencia</w:t>
            </w:r>
          </w:p>
        </w:tc>
      </w:tr>
      <w:tr w:rsidR="00D1277C" w:rsidRPr="00122B63" w:rsidTr="00E277DB">
        <w:trPr>
          <w:cnfStyle w:val="000000100000" w:firstRow="0" w:lastRow="0" w:firstColumn="0" w:lastColumn="0" w:oddVBand="0" w:evenVBand="0" w:oddHBand="1" w:evenHBand="0" w:firstRowFirstColumn="0" w:firstRowLastColumn="0" w:lastRowFirstColumn="0" w:lastRowLastColumn="0"/>
          <w:trHeight w:val="57"/>
          <w:jc w:val="center"/>
        </w:trPr>
        <w:tc>
          <w:tcPr>
            <w:tcW w:w="1376" w:type="dxa"/>
            <w:tcBorders>
              <w:top w:val="single" w:sz="8" w:space="0" w:color="B2B2B2"/>
              <w:left w:val="nil"/>
              <w:bottom w:val="single" w:sz="8" w:space="0" w:color="B2B2B2"/>
            </w:tcBorders>
            <w:vAlign w:val="center"/>
          </w:tcPr>
          <w:p w:rsidR="00D1277C" w:rsidRPr="008158F5" w:rsidRDefault="00D1277C" w:rsidP="00D1277C">
            <w:pPr>
              <w:jc w:val="center"/>
              <w:rPr>
                <w:rFonts w:ascii="Lato" w:hAnsi="Lato"/>
                <w:sz w:val="4"/>
                <w:szCs w:val="4"/>
              </w:rPr>
            </w:pPr>
          </w:p>
        </w:tc>
        <w:tc>
          <w:tcPr>
            <w:tcW w:w="1362"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166" w:type="dxa"/>
            <w:tcBorders>
              <w:top w:val="single" w:sz="8" w:space="0" w:color="B2B2B2"/>
              <w:bottom w:val="single" w:sz="8" w:space="0" w:color="B2B2B2"/>
            </w:tcBorders>
          </w:tcPr>
          <w:p w:rsidR="00D1277C" w:rsidRPr="008158F5" w:rsidRDefault="00D1277C" w:rsidP="00D1277C">
            <w:pPr>
              <w:jc w:val="center"/>
              <w:rPr>
                <w:rFonts w:ascii="Lato" w:hAnsi="Lato"/>
                <w:b/>
                <w:bCs/>
                <w:sz w:val="4"/>
                <w:szCs w:val="4"/>
              </w:rPr>
            </w:pPr>
          </w:p>
        </w:tc>
        <w:tc>
          <w:tcPr>
            <w:tcW w:w="1939" w:type="dxa"/>
            <w:tcBorders>
              <w:top w:val="single" w:sz="8" w:space="0" w:color="B2B2B2"/>
              <w:bottom w:val="single" w:sz="8" w:space="0" w:color="B2B2B2"/>
            </w:tcBorders>
            <w:vAlign w:val="center"/>
          </w:tcPr>
          <w:p w:rsidR="00D1277C" w:rsidRPr="008158F5" w:rsidRDefault="00D1277C" w:rsidP="00D1277C">
            <w:pPr>
              <w:jc w:val="center"/>
              <w:rPr>
                <w:rFonts w:ascii="Lato" w:hAnsi="Lato"/>
                <w:b/>
                <w:bCs/>
                <w:sz w:val="4"/>
                <w:szCs w:val="4"/>
              </w:rPr>
            </w:pPr>
          </w:p>
        </w:tc>
        <w:tc>
          <w:tcPr>
            <w:tcW w:w="867"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982"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026" w:type="dxa"/>
            <w:tcBorders>
              <w:top w:val="single" w:sz="8" w:space="0" w:color="B2B2B2"/>
              <w:bottom w:val="single" w:sz="8" w:space="0" w:color="B2B2B2"/>
              <w:right w:val="nil"/>
            </w:tcBorders>
            <w:vAlign w:val="center"/>
          </w:tcPr>
          <w:p w:rsidR="00D1277C" w:rsidRPr="008158F5" w:rsidRDefault="00D1277C" w:rsidP="00D1277C">
            <w:pPr>
              <w:jc w:val="center"/>
              <w:rPr>
                <w:rFonts w:ascii="Lato" w:hAnsi="Lato"/>
                <w:sz w:val="4"/>
                <w:szCs w:val="4"/>
              </w:rPr>
            </w:pPr>
          </w:p>
        </w:tc>
      </w:tr>
      <w:tr w:rsidR="00D1277C" w:rsidRPr="00122B63" w:rsidTr="00E277DB">
        <w:trPr>
          <w:trHeight w:val="3451"/>
          <w:jc w:val="center"/>
        </w:trPr>
        <w:tc>
          <w:tcPr>
            <w:tcW w:w="1376" w:type="dxa"/>
            <w:tcBorders>
              <w:top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42588B">
              <w:rPr>
                <w:rFonts w:ascii="Lato" w:hAnsi="Lato"/>
                <w:sz w:val="16"/>
                <w:szCs w:val="16"/>
              </w:rPr>
              <w:t xml:space="preserve">Eficacia </w:t>
            </w:r>
            <w:r>
              <w:rPr>
                <w:rFonts w:ascii="Lato" w:hAnsi="Lato"/>
                <w:sz w:val="16"/>
                <w:szCs w:val="16"/>
              </w:rPr>
              <w:t>de la Entidad Fiscalizada en el</w:t>
            </w:r>
            <w:r w:rsidRPr="0042588B">
              <w:rPr>
                <w:rFonts w:ascii="Lato" w:hAnsi="Lato"/>
                <w:sz w:val="16"/>
                <w:szCs w:val="16"/>
              </w:rPr>
              <w:t xml:space="preserve"> ejercicio de los rec</w:t>
            </w:r>
            <w:r>
              <w:rPr>
                <w:rFonts w:ascii="Lato" w:hAnsi="Lato"/>
                <w:sz w:val="16"/>
                <w:szCs w:val="16"/>
              </w:rPr>
              <w:t>ursos del Fondo de Aportaciones.</w:t>
            </w:r>
          </w:p>
        </w:tc>
        <w:tc>
          <w:tcPr>
            <w:tcW w:w="1362" w:type="dxa"/>
            <w:tcBorders>
              <w:top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C11844">
              <w:rPr>
                <w:rFonts w:ascii="Lato" w:hAnsi="Lato"/>
                <w:sz w:val="16"/>
                <w:szCs w:val="16"/>
              </w:rPr>
              <w:t xml:space="preserve">Determinar el porcentaje de eficacia en la administración de los recursos del </w:t>
            </w:r>
            <w:r>
              <w:rPr>
                <w:rFonts w:ascii="Lato" w:hAnsi="Lato"/>
                <w:sz w:val="16"/>
                <w:szCs w:val="16"/>
              </w:rPr>
              <w:t>Fondo de Aportaciones.</w:t>
            </w:r>
          </w:p>
        </w:tc>
        <w:tc>
          <w:tcPr>
            <w:tcW w:w="1166" w:type="dxa"/>
            <w:tcBorders>
              <w:top w:val="single" w:sz="8" w:space="0" w:color="B2B2B2"/>
            </w:tcBorders>
            <w:vAlign w:val="center"/>
          </w:tcPr>
          <w:p w:rsidR="00D1277C" w:rsidRPr="000164AC" w:rsidRDefault="00D1277C" w:rsidP="00D1277C">
            <w:pPr>
              <w:jc w:val="center"/>
              <w:rPr>
                <w:rFonts w:ascii="Lato" w:hAnsi="Lato"/>
                <w:b/>
                <w:bCs/>
                <w:sz w:val="16"/>
                <w:szCs w:val="16"/>
              </w:rPr>
            </w:pPr>
            <w:r>
              <w:rPr>
                <w:rFonts w:ascii="Lato" w:hAnsi="Lato"/>
                <w:b/>
                <w:bCs/>
                <w:sz w:val="16"/>
                <w:szCs w:val="16"/>
              </w:rPr>
              <w:t>FASSA y FAETA</w:t>
            </w:r>
          </w:p>
        </w:tc>
        <w:tc>
          <w:tcPr>
            <w:tcW w:w="1939" w:type="dxa"/>
            <w:tcBorders>
              <w:top w:val="single" w:sz="8" w:space="0" w:color="B2B2B2"/>
            </w:tcBorders>
            <w:vAlign w:val="center"/>
            <w:hideMark/>
          </w:tcPr>
          <w:p w:rsidR="00D1277C" w:rsidRDefault="00D1277C" w:rsidP="00D1277C">
            <w:pPr>
              <w:jc w:val="center"/>
              <w:rPr>
                <w:rFonts w:ascii="Lato" w:hAnsi="Lato"/>
                <w:b/>
                <w:bCs/>
                <w:sz w:val="16"/>
                <w:szCs w:val="16"/>
              </w:rPr>
            </w:pPr>
            <w:r w:rsidRPr="000164AC">
              <w:rPr>
                <w:rFonts w:ascii="Lato" w:hAnsi="Lato"/>
                <w:b/>
                <w:bCs/>
                <w:sz w:val="16"/>
                <w:szCs w:val="16"/>
              </w:rPr>
              <w:t>(Mete/</w:t>
            </w:r>
            <w:proofErr w:type="spellStart"/>
            <w:r w:rsidRPr="000164AC">
              <w:rPr>
                <w:rFonts w:ascii="Lato" w:hAnsi="Lato"/>
                <w:b/>
                <w:bCs/>
                <w:sz w:val="16"/>
                <w:szCs w:val="16"/>
              </w:rPr>
              <w:t>Matev</w:t>
            </w:r>
            <w:proofErr w:type="spellEnd"/>
            <w:r w:rsidRPr="000164AC">
              <w:rPr>
                <w:rFonts w:ascii="Lato" w:hAnsi="Lato"/>
                <w:b/>
                <w:bCs/>
                <w:sz w:val="16"/>
                <w:szCs w:val="16"/>
              </w:rPr>
              <w:t>) * 100</w:t>
            </w:r>
          </w:p>
          <w:p w:rsidR="00D1277C" w:rsidRPr="00122B63" w:rsidRDefault="00D1277C" w:rsidP="00D1277C">
            <w:pPr>
              <w:spacing w:line="276" w:lineRule="auto"/>
              <w:jc w:val="center"/>
              <w:rPr>
                <w:rFonts w:ascii="Lato" w:hAnsi="Lato"/>
                <w:sz w:val="16"/>
                <w:szCs w:val="16"/>
              </w:rPr>
            </w:pPr>
          </w:p>
          <w:p w:rsidR="00D1277C" w:rsidRDefault="00D1277C" w:rsidP="00D1277C">
            <w:pPr>
              <w:spacing w:line="276" w:lineRule="auto"/>
              <w:jc w:val="both"/>
              <w:rPr>
                <w:rFonts w:ascii="Lato" w:hAnsi="Lato"/>
                <w:sz w:val="16"/>
                <w:szCs w:val="16"/>
              </w:rPr>
            </w:pPr>
            <w:r>
              <w:rPr>
                <w:rFonts w:ascii="Lato" w:hAnsi="Lato"/>
                <w:b/>
                <w:bCs/>
                <w:sz w:val="16"/>
                <w:szCs w:val="16"/>
              </w:rPr>
              <w:t>Mete</w:t>
            </w:r>
            <w:r w:rsidRPr="00122B63">
              <w:rPr>
                <w:rFonts w:ascii="Lato" w:hAnsi="Lato"/>
                <w:b/>
                <w:bCs/>
                <w:sz w:val="16"/>
                <w:szCs w:val="16"/>
              </w:rPr>
              <w:t>:</w:t>
            </w:r>
            <w:r w:rsidRPr="00122B63">
              <w:rPr>
                <w:rFonts w:ascii="Lato" w:hAnsi="Lato"/>
                <w:sz w:val="16"/>
                <w:szCs w:val="16"/>
              </w:rPr>
              <w:t xml:space="preserve"> </w:t>
            </w:r>
            <w:r w:rsidRPr="00D72036">
              <w:rPr>
                <w:rFonts w:ascii="Lato" w:hAnsi="Lato"/>
                <w:sz w:val="16"/>
                <w:szCs w:val="16"/>
              </w:rPr>
              <w:t>Monto Ejercido en el Trimestre de Evaluación de los recursos</w:t>
            </w:r>
          </w:p>
          <w:p w:rsidR="00D1277C" w:rsidRPr="00122B63" w:rsidRDefault="00D1277C" w:rsidP="00D1277C">
            <w:pPr>
              <w:spacing w:line="276" w:lineRule="auto"/>
              <w:jc w:val="both"/>
              <w:rPr>
                <w:rFonts w:ascii="Lato" w:hAnsi="Lato"/>
                <w:sz w:val="16"/>
                <w:szCs w:val="16"/>
              </w:rPr>
            </w:pPr>
          </w:p>
          <w:p w:rsidR="00D1277C" w:rsidRPr="00122B63" w:rsidRDefault="00D1277C" w:rsidP="00D1277C">
            <w:pPr>
              <w:spacing w:line="276" w:lineRule="auto"/>
              <w:jc w:val="both"/>
              <w:rPr>
                <w:rFonts w:ascii="Lato" w:hAnsi="Lato"/>
                <w:sz w:val="16"/>
                <w:szCs w:val="16"/>
              </w:rPr>
            </w:pPr>
            <w:proofErr w:type="spellStart"/>
            <w:r>
              <w:rPr>
                <w:rFonts w:ascii="Lato" w:hAnsi="Lato"/>
                <w:b/>
                <w:bCs/>
                <w:sz w:val="16"/>
                <w:szCs w:val="16"/>
              </w:rPr>
              <w:t>Matev</w:t>
            </w:r>
            <w:proofErr w:type="spellEnd"/>
            <w:r>
              <w:rPr>
                <w:rFonts w:ascii="Lato" w:hAnsi="Lato"/>
                <w:b/>
                <w:bCs/>
                <w:sz w:val="16"/>
                <w:szCs w:val="16"/>
              </w:rPr>
              <w:t xml:space="preserve">: </w:t>
            </w:r>
            <w:r w:rsidRPr="00D72036">
              <w:rPr>
                <w:rFonts w:ascii="Lato" w:hAnsi="Lato"/>
                <w:sz w:val="16"/>
                <w:szCs w:val="16"/>
              </w:rPr>
              <w:t>Monto Asignado del Trimestre a Evaluar, publicado en el acuerdo del ejercicio fiscal correspondiente, en el Diario Oficial de la Federación.</w:t>
            </w:r>
          </w:p>
        </w:tc>
        <w:tc>
          <w:tcPr>
            <w:tcW w:w="867"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Días</w:t>
            </w:r>
          </w:p>
        </w:tc>
        <w:tc>
          <w:tcPr>
            <w:tcW w:w="982"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Eficacia</w:t>
            </w:r>
          </w:p>
        </w:tc>
        <w:tc>
          <w:tcPr>
            <w:tcW w:w="1026"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Trimestral</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B27200" w:rsidRPr="00D962AE" w:rsidRDefault="00B27200" w:rsidP="00D1277C">
      <w:pPr>
        <w:spacing w:after="0" w:line="360" w:lineRule="auto"/>
        <w:jc w:val="both"/>
        <w:rPr>
          <w:rFonts w:ascii="Arial" w:hAnsi="Arial" w:cs="Arial"/>
          <w:sz w:val="24"/>
          <w:szCs w:val="24"/>
        </w:rPr>
      </w:pPr>
    </w:p>
    <w:p w:rsidR="00D962AE" w:rsidRDefault="00D962AE" w:rsidP="00D1277C">
      <w:pPr>
        <w:spacing w:after="0" w:line="360" w:lineRule="auto"/>
        <w:jc w:val="both"/>
        <w:rPr>
          <w:rFonts w:ascii="Arial" w:hAnsi="Arial" w:cs="Arial"/>
          <w:sz w:val="24"/>
          <w:szCs w:val="24"/>
        </w:rPr>
      </w:pPr>
    </w:p>
    <w:p w:rsidR="00C13FC5" w:rsidRDefault="00C13FC5" w:rsidP="00D1277C">
      <w:pPr>
        <w:spacing w:after="0" w:line="360" w:lineRule="auto"/>
        <w:jc w:val="both"/>
        <w:rPr>
          <w:rFonts w:ascii="Arial" w:hAnsi="Arial" w:cs="Arial"/>
          <w:sz w:val="24"/>
          <w:szCs w:val="24"/>
        </w:rPr>
      </w:pPr>
    </w:p>
    <w:p w:rsidR="00C13FC5" w:rsidRDefault="00C13FC5" w:rsidP="00D1277C">
      <w:pPr>
        <w:spacing w:after="0" w:line="360" w:lineRule="auto"/>
        <w:jc w:val="both"/>
        <w:rPr>
          <w:rFonts w:ascii="Arial" w:hAnsi="Arial" w:cs="Arial"/>
          <w:sz w:val="24"/>
          <w:szCs w:val="24"/>
        </w:rPr>
      </w:pPr>
    </w:p>
    <w:p w:rsidR="00C13FC5" w:rsidRDefault="00C13FC5" w:rsidP="00D1277C">
      <w:pPr>
        <w:spacing w:after="0" w:line="360" w:lineRule="auto"/>
        <w:jc w:val="both"/>
        <w:rPr>
          <w:rFonts w:ascii="Arial" w:hAnsi="Arial" w:cs="Arial"/>
          <w:sz w:val="24"/>
          <w:szCs w:val="24"/>
        </w:rPr>
      </w:pPr>
    </w:p>
    <w:tbl>
      <w:tblPr>
        <w:tblStyle w:val="Listaclara-nfasis3"/>
        <w:tblW w:w="8703" w:type="dxa"/>
        <w:jc w:val="center"/>
        <w:tblInd w:w="139"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218"/>
        <w:gridCol w:w="1248"/>
        <w:gridCol w:w="1249"/>
        <w:gridCol w:w="2031"/>
        <w:gridCol w:w="971"/>
        <w:gridCol w:w="989"/>
        <w:gridCol w:w="997"/>
      </w:tblGrid>
      <w:tr w:rsidR="00D1277C" w:rsidRPr="00D378DB" w:rsidTr="00E277DB">
        <w:trPr>
          <w:cnfStyle w:val="100000000000" w:firstRow="1" w:lastRow="0" w:firstColumn="0" w:lastColumn="0" w:oddVBand="0" w:evenVBand="0" w:oddHBand="0" w:evenHBand="0" w:firstRowFirstColumn="0" w:firstRowLastColumn="0" w:lastRowFirstColumn="0" w:lastRowLastColumn="0"/>
          <w:trHeight w:val="572"/>
          <w:jc w:val="center"/>
        </w:trPr>
        <w:tc>
          <w:tcPr>
            <w:tcW w:w="1218" w:type="dxa"/>
            <w:shd w:val="clear" w:color="auto" w:fill="B2B2B2"/>
            <w:vAlign w:val="center"/>
          </w:tcPr>
          <w:p w:rsidR="00D1277C" w:rsidRPr="00D378DB" w:rsidRDefault="00D1277C" w:rsidP="00D1277C">
            <w:pPr>
              <w:spacing w:line="276" w:lineRule="auto"/>
              <w:ind w:left="52"/>
              <w:jc w:val="center"/>
              <w:rPr>
                <w:rFonts w:ascii="Lato" w:hAnsi="Lato"/>
                <w:sz w:val="16"/>
                <w:szCs w:val="16"/>
              </w:rPr>
            </w:pPr>
            <w:r w:rsidRPr="00D378DB">
              <w:rPr>
                <w:rFonts w:ascii="Lato" w:hAnsi="Lato"/>
                <w:sz w:val="16"/>
                <w:szCs w:val="16"/>
              </w:rPr>
              <w:t>Nombre del indicador</w:t>
            </w:r>
          </w:p>
        </w:tc>
        <w:tc>
          <w:tcPr>
            <w:tcW w:w="1248"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Objetivo</w:t>
            </w:r>
          </w:p>
        </w:tc>
        <w:tc>
          <w:tcPr>
            <w:tcW w:w="1249"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Fondo de Aportaciones</w:t>
            </w:r>
          </w:p>
        </w:tc>
        <w:tc>
          <w:tcPr>
            <w:tcW w:w="2031"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Fórmula y variables</w:t>
            </w:r>
          </w:p>
        </w:tc>
        <w:tc>
          <w:tcPr>
            <w:tcW w:w="971"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Unidad de medida</w:t>
            </w:r>
          </w:p>
        </w:tc>
        <w:tc>
          <w:tcPr>
            <w:tcW w:w="989"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Dimensión</w:t>
            </w:r>
          </w:p>
        </w:tc>
        <w:tc>
          <w:tcPr>
            <w:tcW w:w="997" w:type="dxa"/>
            <w:shd w:val="clear" w:color="auto" w:fill="B2B2B2"/>
            <w:vAlign w:val="center"/>
          </w:tcPr>
          <w:p w:rsidR="00D1277C" w:rsidRPr="00D378DB" w:rsidRDefault="00D1277C" w:rsidP="00D1277C">
            <w:pPr>
              <w:spacing w:line="276" w:lineRule="auto"/>
              <w:jc w:val="center"/>
              <w:rPr>
                <w:rFonts w:ascii="Lato" w:hAnsi="Lato"/>
                <w:sz w:val="16"/>
                <w:szCs w:val="16"/>
              </w:rPr>
            </w:pPr>
            <w:r w:rsidRPr="00D378DB">
              <w:rPr>
                <w:rFonts w:ascii="Lato" w:hAnsi="Lato"/>
                <w:sz w:val="16"/>
                <w:szCs w:val="16"/>
              </w:rPr>
              <w:t>Frecuencia</w:t>
            </w:r>
          </w:p>
        </w:tc>
      </w:tr>
      <w:tr w:rsidR="00D1277C" w:rsidRPr="00122B63" w:rsidTr="00E277DB">
        <w:trPr>
          <w:cnfStyle w:val="000000100000" w:firstRow="0" w:lastRow="0" w:firstColumn="0" w:lastColumn="0" w:oddVBand="0" w:evenVBand="0" w:oddHBand="1" w:evenHBand="0" w:firstRowFirstColumn="0" w:firstRowLastColumn="0" w:lastRowFirstColumn="0" w:lastRowLastColumn="0"/>
          <w:trHeight w:val="20"/>
          <w:jc w:val="center"/>
        </w:trPr>
        <w:tc>
          <w:tcPr>
            <w:tcW w:w="1218" w:type="dxa"/>
            <w:tcBorders>
              <w:top w:val="none" w:sz="0" w:space="0" w:color="auto"/>
              <w:left w:val="none" w:sz="0" w:space="0" w:color="auto"/>
              <w:bottom w:val="none" w:sz="0" w:space="0" w:color="auto"/>
            </w:tcBorders>
            <w:vAlign w:val="center"/>
          </w:tcPr>
          <w:p w:rsidR="00D1277C" w:rsidRPr="00D378DB" w:rsidRDefault="00D1277C" w:rsidP="00D1277C">
            <w:pPr>
              <w:jc w:val="both"/>
              <w:rPr>
                <w:rFonts w:ascii="Lato" w:hAnsi="Lato"/>
                <w:sz w:val="4"/>
                <w:szCs w:val="4"/>
              </w:rPr>
            </w:pPr>
          </w:p>
        </w:tc>
        <w:tc>
          <w:tcPr>
            <w:tcW w:w="1248" w:type="dxa"/>
            <w:tcBorders>
              <w:top w:val="none" w:sz="0" w:space="0" w:color="auto"/>
              <w:bottom w:val="none" w:sz="0" w:space="0" w:color="auto"/>
            </w:tcBorders>
            <w:vAlign w:val="center"/>
          </w:tcPr>
          <w:p w:rsidR="00D1277C" w:rsidRPr="00D378DB" w:rsidRDefault="00D1277C" w:rsidP="00D1277C">
            <w:pPr>
              <w:jc w:val="both"/>
              <w:rPr>
                <w:rFonts w:ascii="Lato" w:hAnsi="Lato"/>
                <w:sz w:val="4"/>
                <w:szCs w:val="4"/>
              </w:rPr>
            </w:pPr>
          </w:p>
        </w:tc>
        <w:tc>
          <w:tcPr>
            <w:tcW w:w="1249" w:type="dxa"/>
            <w:tcBorders>
              <w:top w:val="none" w:sz="0" w:space="0" w:color="auto"/>
              <w:bottom w:val="none" w:sz="0" w:space="0" w:color="auto"/>
            </w:tcBorders>
          </w:tcPr>
          <w:p w:rsidR="00D1277C" w:rsidRPr="00D378DB" w:rsidRDefault="00D1277C" w:rsidP="00D1277C">
            <w:pPr>
              <w:jc w:val="center"/>
              <w:rPr>
                <w:rFonts w:ascii="Lato" w:hAnsi="Lato"/>
                <w:sz w:val="4"/>
                <w:szCs w:val="4"/>
              </w:rPr>
            </w:pPr>
          </w:p>
        </w:tc>
        <w:tc>
          <w:tcPr>
            <w:tcW w:w="2031" w:type="dxa"/>
            <w:tcBorders>
              <w:top w:val="none" w:sz="0" w:space="0" w:color="auto"/>
              <w:bottom w:val="none" w:sz="0" w:space="0" w:color="auto"/>
            </w:tcBorders>
            <w:vAlign w:val="center"/>
          </w:tcPr>
          <w:p w:rsidR="00D1277C" w:rsidRPr="00D378DB" w:rsidRDefault="00D1277C" w:rsidP="00D1277C">
            <w:pPr>
              <w:jc w:val="center"/>
              <w:rPr>
                <w:rFonts w:ascii="Lato" w:hAnsi="Lato"/>
                <w:b/>
                <w:bCs/>
                <w:sz w:val="4"/>
                <w:szCs w:val="4"/>
              </w:rPr>
            </w:pPr>
          </w:p>
        </w:tc>
        <w:tc>
          <w:tcPr>
            <w:tcW w:w="971" w:type="dxa"/>
            <w:tcBorders>
              <w:top w:val="none" w:sz="0" w:space="0" w:color="auto"/>
              <w:bottom w:val="none" w:sz="0" w:space="0" w:color="auto"/>
            </w:tcBorders>
            <w:vAlign w:val="center"/>
          </w:tcPr>
          <w:p w:rsidR="00D1277C" w:rsidRPr="00D378DB" w:rsidRDefault="00D1277C" w:rsidP="00D1277C">
            <w:pPr>
              <w:jc w:val="center"/>
              <w:rPr>
                <w:rFonts w:ascii="Lato" w:hAnsi="Lato"/>
                <w:sz w:val="4"/>
                <w:szCs w:val="4"/>
              </w:rPr>
            </w:pPr>
          </w:p>
        </w:tc>
        <w:tc>
          <w:tcPr>
            <w:tcW w:w="989" w:type="dxa"/>
            <w:tcBorders>
              <w:top w:val="none" w:sz="0" w:space="0" w:color="auto"/>
              <w:bottom w:val="none" w:sz="0" w:space="0" w:color="auto"/>
            </w:tcBorders>
            <w:vAlign w:val="center"/>
          </w:tcPr>
          <w:p w:rsidR="00D1277C" w:rsidRPr="00D378DB" w:rsidRDefault="00D1277C" w:rsidP="00D1277C">
            <w:pPr>
              <w:jc w:val="center"/>
              <w:rPr>
                <w:rFonts w:ascii="Lato" w:hAnsi="Lato"/>
                <w:sz w:val="4"/>
                <w:szCs w:val="4"/>
              </w:rPr>
            </w:pPr>
          </w:p>
        </w:tc>
        <w:tc>
          <w:tcPr>
            <w:tcW w:w="997" w:type="dxa"/>
            <w:tcBorders>
              <w:top w:val="none" w:sz="0" w:space="0" w:color="auto"/>
              <w:bottom w:val="none" w:sz="0" w:space="0" w:color="auto"/>
              <w:right w:val="none" w:sz="0" w:space="0" w:color="auto"/>
            </w:tcBorders>
            <w:vAlign w:val="center"/>
          </w:tcPr>
          <w:p w:rsidR="00D1277C" w:rsidRPr="00D378DB" w:rsidRDefault="00D1277C" w:rsidP="00D1277C">
            <w:pPr>
              <w:jc w:val="center"/>
              <w:rPr>
                <w:rFonts w:ascii="Lato" w:hAnsi="Lato"/>
                <w:sz w:val="4"/>
                <w:szCs w:val="4"/>
              </w:rPr>
            </w:pPr>
          </w:p>
        </w:tc>
      </w:tr>
      <w:tr w:rsidR="00D1277C" w:rsidRPr="00122B63" w:rsidTr="00E277DB">
        <w:trPr>
          <w:trHeight w:val="3097"/>
          <w:jc w:val="center"/>
        </w:trPr>
        <w:tc>
          <w:tcPr>
            <w:tcW w:w="1218" w:type="dxa"/>
            <w:vMerge w:val="restart"/>
            <w:vAlign w:val="center"/>
          </w:tcPr>
          <w:p w:rsidR="00D1277C" w:rsidRPr="00122B63" w:rsidRDefault="00D1277C" w:rsidP="00D1277C">
            <w:pPr>
              <w:spacing w:line="276" w:lineRule="auto"/>
              <w:jc w:val="both"/>
              <w:rPr>
                <w:rFonts w:ascii="Lato" w:hAnsi="Lato"/>
                <w:sz w:val="16"/>
                <w:szCs w:val="16"/>
              </w:rPr>
            </w:pPr>
            <w:r w:rsidRPr="0042588B">
              <w:rPr>
                <w:rFonts w:ascii="Lato" w:hAnsi="Lato"/>
                <w:sz w:val="16"/>
                <w:szCs w:val="16"/>
              </w:rPr>
              <w:t xml:space="preserve">Eficacia </w:t>
            </w:r>
            <w:r>
              <w:rPr>
                <w:rFonts w:ascii="Lato" w:hAnsi="Lato"/>
                <w:sz w:val="16"/>
                <w:szCs w:val="16"/>
              </w:rPr>
              <w:t xml:space="preserve">de la Entidad Fiscalizada en el </w:t>
            </w:r>
            <w:r w:rsidRPr="0042588B">
              <w:rPr>
                <w:rFonts w:ascii="Lato" w:hAnsi="Lato"/>
                <w:sz w:val="16"/>
                <w:szCs w:val="16"/>
              </w:rPr>
              <w:t xml:space="preserve"> ejercicio de los rec</w:t>
            </w:r>
            <w:r>
              <w:rPr>
                <w:rFonts w:ascii="Lato" w:hAnsi="Lato"/>
                <w:sz w:val="16"/>
                <w:szCs w:val="16"/>
              </w:rPr>
              <w:t>ursos del Fondo de Aportaciones.</w:t>
            </w:r>
          </w:p>
        </w:tc>
        <w:tc>
          <w:tcPr>
            <w:tcW w:w="1248" w:type="dxa"/>
            <w:vMerge w:val="restart"/>
            <w:vAlign w:val="center"/>
          </w:tcPr>
          <w:p w:rsidR="00D1277C" w:rsidRPr="00122B63" w:rsidRDefault="00D1277C" w:rsidP="00D1277C">
            <w:pPr>
              <w:spacing w:line="276" w:lineRule="auto"/>
              <w:jc w:val="both"/>
              <w:rPr>
                <w:rFonts w:ascii="Lato" w:hAnsi="Lato"/>
                <w:sz w:val="16"/>
                <w:szCs w:val="16"/>
              </w:rPr>
            </w:pPr>
            <w:r w:rsidRPr="00C11844">
              <w:rPr>
                <w:rFonts w:ascii="Lato" w:hAnsi="Lato"/>
                <w:sz w:val="16"/>
                <w:szCs w:val="16"/>
              </w:rPr>
              <w:t xml:space="preserve">Determinar el porcentaje de eficacia en la administración de los recursos del </w:t>
            </w:r>
            <w:r>
              <w:rPr>
                <w:rFonts w:ascii="Lato" w:hAnsi="Lato"/>
                <w:sz w:val="16"/>
                <w:szCs w:val="16"/>
              </w:rPr>
              <w:t>Fondo de Aportaciones.</w:t>
            </w:r>
          </w:p>
        </w:tc>
        <w:tc>
          <w:tcPr>
            <w:tcW w:w="1249" w:type="dxa"/>
            <w:vAlign w:val="center"/>
          </w:tcPr>
          <w:p w:rsidR="00D1277C" w:rsidRPr="00D378DB" w:rsidRDefault="00D1277C" w:rsidP="00D1277C">
            <w:pPr>
              <w:jc w:val="center"/>
              <w:rPr>
                <w:rFonts w:ascii="Lato" w:hAnsi="Lato"/>
                <w:b/>
                <w:bCs/>
                <w:sz w:val="16"/>
                <w:szCs w:val="16"/>
              </w:rPr>
            </w:pPr>
            <w:r w:rsidRPr="00D378DB">
              <w:rPr>
                <w:rFonts w:ascii="Lato" w:hAnsi="Lato"/>
                <w:b/>
                <w:sz w:val="16"/>
                <w:szCs w:val="16"/>
              </w:rPr>
              <w:t>FASP</w:t>
            </w:r>
          </w:p>
        </w:tc>
        <w:tc>
          <w:tcPr>
            <w:tcW w:w="2031" w:type="dxa"/>
            <w:vAlign w:val="center"/>
          </w:tcPr>
          <w:p w:rsidR="00D1277C" w:rsidRDefault="00D1277C" w:rsidP="00D1277C">
            <w:pPr>
              <w:jc w:val="center"/>
              <w:rPr>
                <w:rFonts w:ascii="Lato" w:hAnsi="Lato"/>
                <w:b/>
                <w:bCs/>
                <w:sz w:val="16"/>
                <w:szCs w:val="16"/>
              </w:rPr>
            </w:pPr>
            <w:r w:rsidRPr="000164AC">
              <w:rPr>
                <w:rFonts w:ascii="Lato" w:hAnsi="Lato"/>
                <w:b/>
                <w:bCs/>
                <w:sz w:val="16"/>
                <w:szCs w:val="16"/>
              </w:rPr>
              <w:t>(Mete/Mate) * 100</w:t>
            </w:r>
          </w:p>
          <w:p w:rsidR="00D1277C" w:rsidRDefault="00D1277C" w:rsidP="00D1277C">
            <w:pPr>
              <w:jc w:val="center"/>
              <w:rPr>
                <w:rFonts w:ascii="Lato" w:hAnsi="Lato"/>
                <w:b/>
                <w:bCs/>
                <w:sz w:val="16"/>
                <w:szCs w:val="16"/>
              </w:rPr>
            </w:pPr>
          </w:p>
          <w:p w:rsidR="00D1277C" w:rsidRDefault="00D1277C" w:rsidP="00D1277C">
            <w:pPr>
              <w:jc w:val="both"/>
              <w:rPr>
                <w:rFonts w:ascii="Lato" w:hAnsi="Lato"/>
                <w:b/>
                <w:bCs/>
                <w:sz w:val="16"/>
                <w:szCs w:val="16"/>
              </w:rPr>
            </w:pPr>
            <w:r>
              <w:rPr>
                <w:rFonts w:ascii="Lato" w:hAnsi="Lato"/>
                <w:b/>
                <w:bCs/>
                <w:sz w:val="16"/>
                <w:szCs w:val="16"/>
              </w:rPr>
              <w:t xml:space="preserve">Mete: </w:t>
            </w:r>
            <w:r w:rsidRPr="000164AC">
              <w:rPr>
                <w:rFonts w:ascii="Lato" w:hAnsi="Lato"/>
                <w:bCs/>
                <w:sz w:val="16"/>
                <w:szCs w:val="16"/>
              </w:rPr>
              <w:t>Monto Ejercido acumulado de los recursos del FASP al Trimestre de Evaluación.</w:t>
            </w:r>
          </w:p>
          <w:p w:rsidR="00D1277C" w:rsidRDefault="00D1277C" w:rsidP="00D1277C">
            <w:pPr>
              <w:jc w:val="center"/>
              <w:rPr>
                <w:rFonts w:ascii="Lato" w:hAnsi="Lato"/>
                <w:b/>
                <w:bCs/>
                <w:sz w:val="16"/>
                <w:szCs w:val="16"/>
              </w:rPr>
            </w:pPr>
          </w:p>
          <w:p w:rsidR="00D1277C" w:rsidRPr="000164AC" w:rsidRDefault="00D1277C" w:rsidP="00D1277C">
            <w:pPr>
              <w:jc w:val="both"/>
              <w:rPr>
                <w:rFonts w:ascii="Lato" w:hAnsi="Lato"/>
                <w:b/>
                <w:bCs/>
                <w:sz w:val="16"/>
                <w:szCs w:val="16"/>
              </w:rPr>
            </w:pPr>
            <w:r>
              <w:rPr>
                <w:rFonts w:ascii="Lato" w:hAnsi="Lato"/>
                <w:b/>
                <w:bCs/>
                <w:sz w:val="16"/>
                <w:szCs w:val="16"/>
              </w:rPr>
              <w:t xml:space="preserve">Mate: </w:t>
            </w:r>
            <w:r w:rsidRPr="000164AC">
              <w:rPr>
                <w:rFonts w:ascii="Lato" w:hAnsi="Lato"/>
                <w:bCs/>
                <w:sz w:val="16"/>
                <w:szCs w:val="16"/>
              </w:rPr>
              <w:t>Monto Asignado al Trimestre a Evaluar, publicado en los criterios de asignación para la distribución del FASP en el Diario Oficial de la Federación, del ejercicio fiscal correspondiente.</w:t>
            </w:r>
          </w:p>
        </w:tc>
        <w:tc>
          <w:tcPr>
            <w:tcW w:w="971" w:type="dxa"/>
            <w:vAlign w:val="center"/>
          </w:tcPr>
          <w:p w:rsidR="00D1277C" w:rsidRPr="00122B63" w:rsidRDefault="00D1277C" w:rsidP="00D1277C">
            <w:pPr>
              <w:jc w:val="center"/>
              <w:rPr>
                <w:rFonts w:ascii="Lato" w:hAnsi="Lato"/>
                <w:sz w:val="16"/>
                <w:szCs w:val="16"/>
              </w:rPr>
            </w:pPr>
            <w:r>
              <w:rPr>
                <w:rFonts w:ascii="Lato" w:hAnsi="Lato"/>
                <w:sz w:val="16"/>
                <w:szCs w:val="16"/>
              </w:rPr>
              <w:t>Porcentaje</w:t>
            </w:r>
          </w:p>
        </w:tc>
        <w:tc>
          <w:tcPr>
            <w:tcW w:w="989" w:type="dxa"/>
            <w:vAlign w:val="center"/>
          </w:tcPr>
          <w:p w:rsidR="00D1277C" w:rsidRPr="00122B63" w:rsidRDefault="00D1277C" w:rsidP="00D1277C">
            <w:pPr>
              <w:jc w:val="center"/>
              <w:rPr>
                <w:rFonts w:ascii="Lato" w:hAnsi="Lato"/>
                <w:sz w:val="16"/>
                <w:szCs w:val="16"/>
              </w:rPr>
            </w:pPr>
            <w:r>
              <w:rPr>
                <w:rFonts w:ascii="Lato" w:hAnsi="Lato"/>
                <w:sz w:val="16"/>
                <w:szCs w:val="16"/>
              </w:rPr>
              <w:t>Eficacia</w:t>
            </w:r>
          </w:p>
        </w:tc>
        <w:tc>
          <w:tcPr>
            <w:tcW w:w="997" w:type="dxa"/>
            <w:vAlign w:val="center"/>
          </w:tcPr>
          <w:p w:rsidR="00D1277C" w:rsidRPr="00122B63" w:rsidRDefault="00D1277C" w:rsidP="00D1277C">
            <w:pPr>
              <w:jc w:val="center"/>
              <w:rPr>
                <w:rFonts w:ascii="Lato" w:hAnsi="Lato"/>
                <w:sz w:val="16"/>
                <w:szCs w:val="16"/>
              </w:rPr>
            </w:pPr>
            <w:r>
              <w:rPr>
                <w:rFonts w:ascii="Lato" w:hAnsi="Lato"/>
                <w:sz w:val="16"/>
                <w:szCs w:val="16"/>
              </w:rPr>
              <w:t>Trimestral</w:t>
            </w:r>
          </w:p>
        </w:tc>
      </w:tr>
      <w:tr w:rsidR="00D1277C" w:rsidRPr="00122B63" w:rsidTr="00E277DB">
        <w:trPr>
          <w:cnfStyle w:val="000000100000" w:firstRow="0" w:lastRow="0" w:firstColumn="0" w:lastColumn="0" w:oddVBand="0" w:evenVBand="0" w:oddHBand="1" w:evenHBand="0" w:firstRowFirstColumn="0" w:firstRowLastColumn="0" w:lastRowFirstColumn="0" w:lastRowLastColumn="0"/>
          <w:trHeight w:val="3886"/>
          <w:jc w:val="center"/>
        </w:trPr>
        <w:tc>
          <w:tcPr>
            <w:tcW w:w="1218" w:type="dxa"/>
            <w:vMerge/>
            <w:tcBorders>
              <w:top w:val="none" w:sz="0" w:space="0" w:color="auto"/>
              <w:left w:val="none" w:sz="0" w:space="0" w:color="auto"/>
              <w:bottom w:val="none" w:sz="0" w:space="0" w:color="auto"/>
            </w:tcBorders>
            <w:vAlign w:val="center"/>
          </w:tcPr>
          <w:p w:rsidR="00D1277C" w:rsidRPr="0042588B" w:rsidRDefault="00D1277C" w:rsidP="00D1277C">
            <w:pPr>
              <w:jc w:val="both"/>
              <w:rPr>
                <w:rFonts w:ascii="Lato" w:hAnsi="Lato"/>
                <w:sz w:val="16"/>
                <w:szCs w:val="16"/>
              </w:rPr>
            </w:pPr>
          </w:p>
        </w:tc>
        <w:tc>
          <w:tcPr>
            <w:tcW w:w="1248" w:type="dxa"/>
            <w:vMerge/>
            <w:tcBorders>
              <w:top w:val="none" w:sz="0" w:space="0" w:color="auto"/>
              <w:bottom w:val="none" w:sz="0" w:space="0" w:color="auto"/>
            </w:tcBorders>
            <w:vAlign w:val="center"/>
          </w:tcPr>
          <w:p w:rsidR="00D1277C" w:rsidRPr="00C11844" w:rsidRDefault="00D1277C" w:rsidP="00D1277C">
            <w:pPr>
              <w:jc w:val="both"/>
              <w:rPr>
                <w:rFonts w:ascii="Lato" w:hAnsi="Lato"/>
                <w:sz w:val="16"/>
                <w:szCs w:val="16"/>
              </w:rPr>
            </w:pPr>
          </w:p>
        </w:tc>
        <w:tc>
          <w:tcPr>
            <w:tcW w:w="1249" w:type="dxa"/>
            <w:tcBorders>
              <w:top w:val="none" w:sz="0" w:space="0" w:color="auto"/>
              <w:bottom w:val="none" w:sz="0" w:space="0" w:color="auto"/>
            </w:tcBorders>
            <w:vAlign w:val="center"/>
          </w:tcPr>
          <w:p w:rsidR="00D1277C" w:rsidRPr="000164AC" w:rsidRDefault="00D1277C" w:rsidP="00D1277C">
            <w:pPr>
              <w:jc w:val="center"/>
              <w:rPr>
                <w:rFonts w:ascii="Lato" w:hAnsi="Lato"/>
                <w:b/>
                <w:bCs/>
                <w:sz w:val="16"/>
                <w:szCs w:val="16"/>
              </w:rPr>
            </w:pPr>
            <w:r>
              <w:rPr>
                <w:rFonts w:ascii="Lato" w:hAnsi="Lato"/>
                <w:b/>
                <w:bCs/>
                <w:sz w:val="16"/>
                <w:szCs w:val="16"/>
              </w:rPr>
              <w:t>FISE</w:t>
            </w:r>
          </w:p>
        </w:tc>
        <w:tc>
          <w:tcPr>
            <w:tcW w:w="2031" w:type="dxa"/>
            <w:tcBorders>
              <w:top w:val="none" w:sz="0" w:space="0" w:color="auto"/>
              <w:bottom w:val="none" w:sz="0" w:space="0" w:color="auto"/>
            </w:tcBorders>
            <w:vAlign w:val="center"/>
          </w:tcPr>
          <w:p w:rsidR="00D1277C" w:rsidRPr="00D378DB" w:rsidRDefault="00D1277C" w:rsidP="00D1277C">
            <w:pPr>
              <w:ind w:firstLine="437"/>
              <w:rPr>
                <w:rFonts w:ascii="Lato" w:hAnsi="Lato"/>
                <w:b/>
                <w:bCs/>
                <w:sz w:val="16"/>
                <w:szCs w:val="16"/>
              </w:rPr>
            </w:pPr>
            <w:r w:rsidRPr="00D378DB">
              <w:rPr>
                <w:noProof/>
                <w:lang w:eastAsia="es-MX"/>
              </w:rPr>
              <mc:AlternateContent>
                <mc:Choice Requires="wpg">
                  <w:drawing>
                    <wp:anchor distT="0" distB="0" distL="114300" distR="114300" simplePos="0" relativeHeight="251661312" behindDoc="0" locked="0" layoutInCell="1" allowOverlap="1" wp14:anchorId="0281A10D" wp14:editId="420C0EAB">
                      <wp:simplePos x="0" y="0"/>
                      <wp:positionH relativeFrom="column">
                        <wp:posOffset>6985</wp:posOffset>
                      </wp:positionH>
                      <wp:positionV relativeFrom="paragraph">
                        <wp:posOffset>-3810</wp:posOffset>
                      </wp:positionV>
                      <wp:extent cx="1381125" cy="228600"/>
                      <wp:effectExtent l="0" t="0" r="0" b="0"/>
                      <wp:wrapNone/>
                      <wp:docPr id="6" name="2 Grupo"/>
                      <wp:cNvGraphicFramePr/>
                      <a:graphic xmlns:a="http://schemas.openxmlformats.org/drawingml/2006/main">
                        <a:graphicData uri="http://schemas.microsoft.com/office/word/2010/wordprocessingGroup">
                          <wpg:wgp>
                            <wpg:cNvGrpSpPr/>
                            <wpg:grpSpPr>
                              <a:xfrm>
                                <a:off x="0" y="0"/>
                                <a:ext cx="1381125" cy="228600"/>
                                <a:chOff x="-114259" y="75538"/>
                                <a:chExt cx="1654619" cy="228600"/>
                              </a:xfrm>
                            </wpg:grpSpPr>
                            <wps:wsp>
                              <wps:cNvPr id="7" name="Text Box 2"/>
                              <wps:cNvSpPr txBox="1">
                                <a:spLocks noChangeArrowheads="1"/>
                              </wps:cNvSpPr>
                              <wps:spPr bwMode="auto">
                                <a:xfrm>
                                  <a:off x="852923" y="75538"/>
                                  <a:ext cx="68743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3B" w:rsidRPr="00D378DB" w:rsidRDefault="003F643B" w:rsidP="00D1277C">
                                    <w:pPr>
                                      <w:pStyle w:val="NormalWeb"/>
                                      <w:spacing w:before="0" w:beforeAutospacing="0" w:after="0" w:afterAutospacing="0"/>
                                      <w:rPr>
                                        <w:rFonts w:ascii="Lato" w:hAnsi="Lato"/>
                                        <w:b/>
                                        <w:sz w:val="16"/>
                                        <w:szCs w:val="16"/>
                                      </w:rPr>
                                    </w:pPr>
                                    <w:r w:rsidRPr="00D378DB">
                                      <w:rPr>
                                        <w:rFonts w:ascii="Lato" w:hAnsi="Lato" w:cs="Arial"/>
                                        <w:b/>
                                        <w:color w:val="000000"/>
                                        <w:sz w:val="16"/>
                                        <w:szCs w:val="16"/>
                                      </w:rPr>
                                      <w:t>* 100</w:t>
                                    </w:r>
                                  </w:p>
                                </w:txbxContent>
                              </wps:txbx>
                              <wps:bodyPr wrap="square" lIns="91440" tIns="45720" rIns="91440" bIns="45720" anchor="t" upright="1"/>
                            </wps:wsp>
                            <wps:wsp>
                              <wps:cNvPr id="8" name="Line 3"/>
                              <wps:cNvCnPr/>
                              <wps:spPr bwMode="auto">
                                <a:xfrm>
                                  <a:off x="-114259" y="210901"/>
                                  <a:ext cx="9788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2 Grupo" o:spid="_x0000_s1026" style="position:absolute;left:0;text-align:left;margin-left:.55pt;margin-top:-.3pt;width:108.75pt;height:18pt;z-index:251661312;mso-width-relative:margin;mso-height-relative:margin" coordorigin="-1142,755" coordsize="1654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">
                      <v:shapetype id="_x0000_t202" coordsize="21600,21600" o:spt="202" path="m,l,21600r21600,l21600,xe">
                        <v:stroke joinstyle="miter"/>
                        <v:path gradientshapeok="t" o:connecttype="rect"/>
                      </v:shapetype>
                      <v:shape id="Text Box 2" o:spid="_x0000_s1027" type="#_x0000_t202" style="position:absolute;left:8529;top:755;width:68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F643B" w:rsidRPr="00D378DB" w:rsidRDefault="003F643B" w:rsidP="00D1277C">
                              <w:pPr>
                                <w:pStyle w:val="NormalWeb"/>
                                <w:spacing w:before="0" w:beforeAutospacing="0" w:after="0" w:afterAutospacing="0"/>
                                <w:rPr>
                                  <w:rFonts w:ascii="Lato" w:hAnsi="Lato"/>
                                  <w:b/>
                                  <w:sz w:val="16"/>
                                  <w:szCs w:val="16"/>
                                </w:rPr>
                              </w:pPr>
                              <w:r w:rsidRPr="00D378DB">
                                <w:rPr>
                                  <w:rFonts w:ascii="Lato" w:hAnsi="Lato" w:cs="Arial"/>
                                  <w:b/>
                                  <w:color w:val="000000"/>
                                  <w:sz w:val="16"/>
                                  <w:szCs w:val="16"/>
                                </w:rPr>
                                <w:t>* 100</w:t>
                              </w:r>
                            </w:p>
                          </w:txbxContent>
                        </v:textbox>
                      </v:shape>
                      <v:line id="Line 3" o:spid="_x0000_s1028" style="position:absolute;visibility:visible;mso-wrap-style:square" from="-1142,2109" to="8645,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group>
                  </w:pict>
                </mc:Fallback>
              </mc:AlternateContent>
            </w:r>
            <w:r w:rsidRPr="00D378DB">
              <w:rPr>
                <w:rFonts w:ascii="Lato" w:hAnsi="Lato"/>
                <w:b/>
                <w:bCs/>
                <w:sz w:val="16"/>
                <w:szCs w:val="16"/>
              </w:rPr>
              <w:t>Mete</w:t>
            </w:r>
          </w:p>
          <w:p w:rsidR="00D1277C" w:rsidRPr="00222868" w:rsidRDefault="00D1277C" w:rsidP="00D1277C">
            <w:pPr>
              <w:ind w:left="-286" w:hanging="392"/>
              <w:jc w:val="center"/>
              <w:rPr>
                <w:rFonts w:ascii="Lato" w:hAnsi="Lato"/>
                <w:b/>
                <w:bCs/>
                <w:sz w:val="4"/>
                <w:szCs w:val="4"/>
              </w:rPr>
            </w:pPr>
          </w:p>
          <w:p w:rsidR="00D1277C" w:rsidRDefault="00D1277C" w:rsidP="00D1277C">
            <w:pPr>
              <w:ind w:left="-286" w:hanging="392"/>
              <w:jc w:val="center"/>
              <w:rPr>
                <w:rFonts w:ascii="Lato" w:hAnsi="Lato"/>
                <w:b/>
                <w:bCs/>
                <w:sz w:val="16"/>
                <w:szCs w:val="16"/>
              </w:rPr>
            </w:pPr>
            <w:r w:rsidRPr="00D378DB">
              <w:rPr>
                <w:rFonts w:ascii="Lato" w:hAnsi="Lato"/>
                <w:b/>
                <w:bCs/>
                <w:sz w:val="16"/>
                <w:szCs w:val="16"/>
              </w:rPr>
              <w:t>(</w:t>
            </w:r>
            <w:proofErr w:type="spellStart"/>
            <w:r w:rsidRPr="00D378DB">
              <w:rPr>
                <w:rFonts w:ascii="Lato" w:hAnsi="Lato"/>
                <w:b/>
                <w:bCs/>
                <w:sz w:val="16"/>
                <w:szCs w:val="16"/>
              </w:rPr>
              <w:t>Mtas</w:t>
            </w:r>
            <w:proofErr w:type="spellEnd"/>
            <w:r w:rsidRPr="00D378DB">
              <w:rPr>
                <w:rFonts w:ascii="Lato" w:hAnsi="Lato"/>
                <w:b/>
                <w:bCs/>
                <w:sz w:val="16"/>
                <w:szCs w:val="16"/>
              </w:rPr>
              <w:t xml:space="preserve"> /10) </w:t>
            </w:r>
            <w:proofErr w:type="spellStart"/>
            <w:r w:rsidRPr="00D378DB">
              <w:rPr>
                <w:rFonts w:ascii="Lato" w:hAnsi="Lato"/>
                <w:b/>
                <w:bCs/>
                <w:sz w:val="16"/>
                <w:szCs w:val="16"/>
              </w:rPr>
              <w:t>Nte</w:t>
            </w:r>
            <w:proofErr w:type="spellEnd"/>
          </w:p>
          <w:p w:rsidR="00D1277C" w:rsidRDefault="00D1277C" w:rsidP="00D1277C">
            <w:pPr>
              <w:jc w:val="center"/>
              <w:rPr>
                <w:rFonts w:ascii="Lato" w:hAnsi="Lato"/>
                <w:b/>
                <w:bCs/>
                <w:sz w:val="16"/>
                <w:szCs w:val="16"/>
              </w:rPr>
            </w:pPr>
          </w:p>
          <w:p w:rsidR="00D1277C" w:rsidRDefault="00D1277C" w:rsidP="00D1277C">
            <w:pPr>
              <w:jc w:val="both"/>
              <w:rPr>
                <w:rFonts w:ascii="Lato" w:hAnsi="Lato"/>
                <w:b/>
                <w:bCs/>
                <w:sz w:val="16"/>
                <w:szCs w:val="16"/>
              </w:rPr>
            </w:pPr>
            <w:r>
              <w:rPr>
                <w:rFonts w:ascii="Lato" w:hAnsi="Lato"/>
                <w:b/>
                <w:bCs/>
                <w:sz w:val="16"/>
                <w:szCs w:val="16"/>
              </w:rPr>
              <w:t xml:space="preserve">Mete: </w:t>
            </w:r>
            <w:r w:rsidRPr="00D378DB">
              <w:rPr>
                <w:rFonts w:ascii="Lato" w:hAnsi="Lato"/>
                <w:bCs/>
                <w:sz w:val="16"/>
                <w:szCs w:val="16"/>
              </w:rPr>
              <w:t>Monto Ejercido de los recursos del FISE al Trimestre de Evaluación.</w:t>
            </w:r>
          </w:p>
          <w:p w:rsidR="00D1277C" w:rsidRDefault="00D1277C" w:rsidP="00D1277C">
            <w:pPr>
              <w:jc w:val="both"/>
              <w:rPr>
                <w:rFonts w:ascii="Lato" w:hAnsi="Lato"/>
                <w:b/>
                <w:bCs/>
                <w:sz w:val="16"/>
                <w:szCs w:val="16"/>
              </w:rPr>
            </w:pPr>
          </w:p>
          <w:p w:rsidR="00D1277C" w:rsidRDefault="00D1277C" w:rsidP="00D1277C">
            <w:pPr>
              <w:jc w:val="both"/>
              <w:rPr>
                <w:rFonts w:ascii="Lato" w:hAnsi="Lato"/>
                <w:b/>
                <w:bCs/>
                <w:sz w:val="16"/>
                <w:szCs w:val="16"/>
              </w:rPr>
            </w:pPr>
            <w:proofErr w:type="spellStart"/>
            <w:r>
              <w:rPr>
                <w:rFonts w:ascii="Lato" w:hAnsi="Lato"/>
                <w:b/>
                <w:bCs/>
                <w:sz w:val="16"/>
                <w:szCs w:val="16"/>
              </w:rPr>
              <w:t>Mtas</w:t>
            </w:r>
            <w:proofErr w:type="spellEnd"/>
            <w:r>
              <w:rPr>
                <w:rFonts w:ascii="Lato" w:hAnsi="Lato"/>
                <w:b/>
                <w:bCs/>
                <w:sz w:val="16"/>
                <w:szCs w:val="16"/>
              </w:rPr>
              <w:t xml:space="preserve">: </w:t>
            </w:r>
            <w:r w:rsidRPr="00D378DB">
              <w:rPr>
                <w:rFonts w:ascii="Lato" w:hAnsi="Lato"/>
                <w:bCs/>
                <w:sz w:val="16"/>
                <w:szCs w:val="16"/>
              </w:rPr>
              <w:t>Monto Total Asignado para el FISE publicado en el acuerdo del ejercicio fiscal correspondiente, en el Diario Oficial de la Federación.</w:t>
            </w:r>
          </w:p>
          <w:p w:rsidR="00D1277C" w:rsidRDefault="00D1277C" w:rsidP="00D1277C">
            <w:pPr>
              <w:jc w:val="both"/>
              <w:rPr>
                <w:rFonts w:ascii="Lato" w:hAnsi="Lato"/>
                <w:b/>
                <w:bCs/>
                <w:sz w:val="16"/>
                <w:szCs w:val="16"/>
              </w:rPr>
            </w:pPr>
          </w:p>
          <w:p w:rsidR="00D1277C" w:rsidRPr="000164AC" w:rsidRDefault="00D1277C" w:rsidP="00D1277C">
            <w:pPr>
              <w:jc w:val="both"/>
              <w:rPr>
                <w:rFonts w:ascii="Lato" w:hAnsi="Lato"/>
                <w:b/>
                <w:bCs/>
                <w:sz w:val="16"/>
                <w:szCs w:val="16"/>
              </w:rPr>
            </w:pPr>
            <w:proofErr w:type="spellStart"/>
            <w:r>
              <w:rPr>
                <w:rFonts w:ascii="Lato" w:hAnsi="Lato"/>
                <w:b/>
                <w:bCs/>
                <w:sz w:val="16"/>
                <w:szCs w:val="16"/>
              </w:rPr>
              <w:t>Nte</w:t>
            </w:r>
            <w:proofErr w:type="spellEnd"/>
            <w:r>
              <w:rPr>
                <w:rFonts w:ascii="Lato" w:hAnsi="Lato"/>
                <w:b/>
                <w:bCs/>
                <w:sz w:val="16"/>
                <w:szCs w:val="16"/>
              </w:rPr>
              <w:t xml:space="preserve">: </w:t>
            </w:r>
            <w:r w:rsidRPr="00D378DB">
              <w:rPr>
                <w:rFonts w:ascii="Lato" w:hAnsi="Lato"/>
                <w:bCs/>
                <w:sz w:val="16"/>
                <w:szCs w:val="16"/>
              </w:rPr>
              <w:t>Número del Trimestre a Evaluar (3 – Mar., 6 – Jun</w:t>
            </w:r>
            <w:proofErr w:type="gramStart"/>
            <w:r w:rsidRPr="00D378DB">
              <w:rPr>
                <w:rFonts w:ascii="Lato" w:hAnsi="Lato"/>
                <w:bCs/>
                <w:sz w:val="16"/>
                <w:szCs w:val="16"/>
              </w:rPr>
              <w:t>, …</w:t>
            </w:r>
            <w:proofErr w:type="gramEnd"/>
            <w:r w:rsidRPr="00D378DB">
              <w:rPr>
                <w:rFonts w:ascii="Lato" w:hAnsi="Lato"/>
                <w:bCs/>
                <w:sz w:val="16"/>
                <w:szCs w:val="16"/>
              </w:rPr>
              <w:t>, 12 – Dic).</w:t>
            </w:r>
          </w:p>
        </w:tc>
        <w:tc>
          <w:tcPr>
            <w:tcW w:w="971" w:type="dxa"/>
            <w:tcBorders>
              <w:top w:val="none" w:sz="0" w:space="0" w:color="auto"/>
              <w:bottom w:val="none" w:sz="0" w:space="0" w:color="auto"/>
            </w:tcBorders>
            <w:vAlign w:val="center"/>
          </w:tcPr>
          <w:p w:rsidR="00D1277C" w:rsidRPr="00122B63" w:rsidRDefault="00D1277C" w:rsidP="00D1277C">
            <w:pPr>
              <w:jc w:val="center"/>
              <w:rPr>
                <w:rFonts w:ascii="Lato" w:hAnsi="Lato"/>
                <w:sz w:val="16"/>
                <w:szCs w:val="16"/>
              </w:rPr>
            </w:pPr>
            <w:r>
              <w:rPr>
                <w:rFonts w:ascii="Lato" w:hAnsi="Lato"/>
                <w:sz w:val="16"/>
                <w:szCs w:val="16"/>
              </w:rPr>
              <w:t>Porcentaje</w:t>
            </w:r>
          </w:p>
        </w:tc>
        <w:tc>
          <w:tcPr>
            <w:tcW w:w="989" w:type="dxa"/>
            <w:tcBorders>
              <w:top w:val="none" w:sz="0" w:space="0" w:color="auto"/>
              <w:bottom w:val="none" w:sz="0" w:space="0" w:color="auto"/>
            </w:tcBorders>
            <w:vAlign w:val="center"/>
          </w:tcPr>
          <w:p w:rsidR="00D1277C" w:rsidRPr="00122B63" w:rsidRDefault="00D1277C" w:rsidP="00D1277C">
            <w:pPr>
              <w:jc w:val="center"/>
              <w:rPr>
                <w:rFonts w:ascii="Lato" w:hAnsi="Lato"/>
                <w:sz w:val="16"/>
                <w:szCs w:val="16"/>
              </w:rPr>
            </w:pPr>
            <w:r>
              <w:rPr>
                <w:rFonts w:ascii="Lato" w:hAnsi="Lato"/>
                <w:sz w:val="16"/>
                <w:szCs w:val="16"/>
              </w:rPr>
              <w:t>Eficacia</w:t>
            </w:r>
          </w:p>
        </w:tc>
        <w:tc>
          <w:tcPr>
            <w:tcW w:w="997" w:type="dxa"/>
            <w:tcBorders>
              <w:top w:val="none" w:sz="0" w:space="0" w:color="auto"/>
              <w:bottom w:val="none" w:sz="0" w:space="0" w:color="auto"/>
              <w:right w:val="none" w:sz="0" w:space="0" w:color="auto"/>
            </w:tcBorders>
            <w:vAlign w:val="center"/>
          </w:tcPr>
          <w:p w:rsidR="00D1277C" w:rsidRPr="00122B63" w:rsidRDefault="00D1277C" w:rsidP="00D1277C">
            <w:pPr>
              <w:jc w:val="center"/>
              <w:rPr>
                <w:rFonts w:ascii="Lato" w:hAnsi="Lato"/>
                <w:sz w:val="16"/>
                <w:szCs w:val="16"/>
              </w:rPr>
            </w:pPr>
            <w:r>
              <w:rPr>
                <w:rFonts w:ascii="Lato" w:hAnsi="Lato"/>
                <w:sz w:val="16"/>
                <w:szCs w:val="16"/>
              </w:rPr>
              <w:t>Trimestral</w:t>
            </w:r>
          </w:p>
        </w:tc>
      </w:tr>
      <w:tr w:rsidR="00D1277C" w:rsidRPr="00122B63" w:rsidTr="00E277DB">
        <w:trPr>
          <w:trHeight w:val="3264"/>
          <w:jc w:val="center"/>
        </w:trPr>
        <w:tc>
          <w:tcPr>
            <w:tcW w:w="1218" w:type="dxa"/>
            <w:vMerge/>
            <w:vAlign w:val="center"/>
          </w:tcPr>
          <w:p w:rsidR="00D1277C" w:rsidRPr="0042588B" w:rsidRDefault="00D1277C" w:rsidP="00D1277C">
            <w:pPr>
              <w:jc w:val="both"/>
              <w:rPr>
                <w:rFonts w:ascii="Lato" w:hAnsi="Lato"/>
                <w:sz w:val="16"/>
                <w:szCs w:val="16"/>
              </w:rPr>
            </w:pPr>
          </w:p>
        </w:tc>
        <w:tc>
          <w:tcPr>
            <w:tcW w:w="1248" w:type="dxa"/>
            <w:vMerge/>
            <w:vAlign w:val="center"/>
          </w:tcPr>
          <w:p w:rsidR="00D1277C" w:rsidRPr="00C11844" w:rsidRDefault="00D1277C" w:rsidP="00D1277C">
            <w:pPr>
              <w:jc w:val="both"/>
              <w:rPr>
                <w:rFonts w:ascii="Lato" w:hAnsi="Lato"/>
                <w:sz w:val="16"/>
                <w:szCs w:val="16"/>
              </w:rPr>
            </w:pPr>
          </w:p>
        </w:tc>
        <w:tc>
          <w:tcPr>
            <w:tcW w:w="1249" w:type="dxa"/>
            <w:vAlign w:val="center"/>
          </w:tcPr>
          <w:p w:rsidR="00D1277C" w:rsidRDefault="00D1277C" w:rsidP="00D1277C">
            <w:pPr>
              <w:jc w:val="center"/>
              <w:rPr>
                <w:rFonts w:ascii="Lato" w:hAnsi="Lato"/>
                <w:b/>
                <w:bCs/>
                <w:sz w:val="16"/>
                <w:szCs w:val="16"/>
              </w:rPr>
            </w:pPr>
            <w:r>
              <w:rPr>
                <w:rFonts w:ascii="Lato" w:hAnsi="Lato"/>
                <w:b/>
                <w:bCs/>
                <w:sz w:val="16"/>
                <w:szCs w:val="16"/>
              </w:rPr>
              <w:t>FAM</w:t>
            </w:r>
          </w:p>
        </w:tc>
        <w:tc>
          <w:tcPr>
            <w:tcW w:w="2031" w:type="dxa"/>
            <w:vAlign w:val="center"/>
          </w:tcPr>
          <w:p w:rsidR="00D1277C" w:rsidRPr="00222868" w:rsidRDefault="00D1277C" w:rsidP="00D1277C">
            <w:pPr>
              <w:jc w:val="center"/>
              <w:rPr>
                <w:rFonts w:ascii="Lato" w:hAnsi="Lato"/>
                <w:b/>
                <w:noProof/>
                <w:sz w:val="16"/>
                <w:szCs w:val="16"/>
              </w:rPr>
            </w:pPr>
            <w:r w:rsidRPr="00222868">
              <w:rPr>
                <w:rFonts w:ascii="Lato" w:hAnsi="Lato"/>
                <w:b/>
                <w:noProof/>
                <w:sz w:val="16"/>
                <w:szCs w:val="16"/>
              </w:rPr>
              <w:t>(Meat/Matev) * 100</w:t>
            </w:r>
          </w:p>
          <w:p w:rsidR="00D1277C" w:rsidRPr="00222868" w:rsidRDefault="00D1277C" w:rsidP="00D1277C">
            <w:pPr>
              <w:jc w:val="center"/>
              <w:rPr>
                <w:rFonts w:ascii="Lato" w:hAnsi="Lato"/>
                <w:noProof/>
                <w:sz w:val="16"/>
                <w:szCs w:val="16"/>
              </w:rPr>
            </w:pPr>
          </w:p>
          <w:p w:rsidR="00D1277C" w:rsidRPr="00222868" w:rsidRDefault="00D1277C" w:rsidP="00D1277C">
            <w:pPr>
              <w:jc w:val="both"/>
              <w:rPr>
                <w:rFonts w:ascii="Lato" w:hAnsi="Lato"/>
                <w:noProof/>
                <w:sz w:val="16"/>
                <w:szCs w:val="16"/>
              </w:rPr>
            </w:pPr>
            <w:r w:rsidRPr="00222868">
              <w:rPr>
                <w:rFonts w:ascii="Lato" w:hAnsi="Lato"/>
                <w:b/>
                <w:noProof/>
                <w:sz w:val="16"/>
                <w:szCs w:val="16"/>
              </w:rPr>
              <w:t>Meat:</w:t>
            </w:r>
            <w:r>
              <w:rPr>
                <w:rFonts w:ascii="Lato" w:hAnsi="Lato"/>
                <w:noProof/>
                <w:sz w:val="16"/>
                <w:szCs w:val="16"/>
              </w:rPr>
              <w:t xml:space="preserve"> </w:t>
            </w:r>
            <w:r w:rsidRPr="00222868">
              <w:rPr>
                <w:rFonts w:ascii="Lato" w:hAnsi="Lato"/>
                <w:noProof/>
                <w:sz w:val="16"/>
                <w:szCs w:val="16"/>
              </w:rPr>
              <w:t>Monto Ejercido Al Trimestre de Evaluación, de los recursos del FAM en asistencia social.</w:t>
            </w:r>
          </w:p>
          <w:p w:rsidR="00D1277C" w:rsidRPr="00222868" w:rsidRDefault="00D1277C" w:rsidP="00D1277C">
            <w:pPr>
              <w:jc w:val="both"/>
              <w:rPr>
                <w:rFonts w:ascii="Lato" w:hAnsi="Lato"/>
                <w:noProof/>
                <w:sz w:val="16"/>
                <w:szCs w:val="16"/>
              </w:rPr>
            </w:pPr>
          </w:p>
          <w:p w:rsidR="00D1277C" w:rsidRPr="00D378DB" w:rsidRDefault="00D1277C" w:rsidP="00D1277C">
            <w:pPr>
              <w:jc w:val="both"/>
              <w:rPr>
                <w:noProof/>
              </w:rPr>
            </w:pPr>
            <w:r w:rsidRPr="00222868">
              <w:rPr>
                <w:rFonts w:ascii="Lato" w:hAnsi="Lato"/>
                <w:b/>
                <w:noProof/>
                <w:sz w:val="16"/>
                <w:szCs w:val="16"/>
              </w:rPr>
              <w:t>Matev:</w:t>
            </w:r>
            <w:r>
              <w:rPr>
                <w:rFonts w:ascii="Lato" w:hAnsi="Lato"/>
                <w:noProof/>
                <w:sz w:val="16"/>
                <w:szCs w:val="16"/>
              </w:rPr>
              <w:t xml:space="preserve"> </w:t>
            </w:r>
            <w:r w:rsidRPr="00222868">
              <w:rPr>
                <w:rFonts w:ascii="Lato" w:hAnsi="Lato"/>
                <w:noProof/>
                <w:sz w:val="16"/>
                <w:szCs w:val="16"/>
              </w:rPr>
              <w:t>Monto Asignado al Trimestre de Evaluación para asistencia social, publicado en el acuerdo del ejercicio fiscal correspondiente, en el Diario Oficial de la Federación.</w:t>
            </w:r>
          </w:p>
        </w:tc>
        <w:tc>
          <w:tcPr>
            <w:tcW w:w="971" w:type="dxa"/>
            <w:vAlign w:val="center"/>
          </w:tcPr>
          <w:p w:rsidR="00D1277C" w:rsidRPr="00122B63" w:rsidRDefault="00D1277C" w:rsidP="00D1277C">
            <w:pPr>
              <w:jc w:val="center"/>
              <w:rPr>
                <w:rFonts w:ascii="Lato" w:hAnsi="Lato"/>
                <w:sz w:val="16"/>
                <w:szCs w:val="16"/>
              </w:rPr>
            </w:pPr>
            <w:r>
              <w:rPr>
                <w:rFonts w:ascii="Lato" w:hAnsi="Lato"/>
                <w:sz w:val="16"/>
                <w:szCs w:val="16"/>
              </w:rPr>
              <w:t>Porcentaje</w:t>
            </w:r>
          </w:p>
        </w:tc>
        <w:tc>
          <w:tcPr>
            <w:tcW w:w="989" w:type="dxa"/>
            <w:vAlign w:val="center"/>
          </w:tcPr>
          <w:p w:rsidR="00D1277C" w:rsidRPr="00122B63" w:rsidRDefault="00D1277C" w:rsidP="00D1277C">
            <w:pPr>
              <w:jc w:val="center"/>
              <w:rPr>
                <w:rFonts w:ascii="Lato" w:hAnsi="Lato"/>
                <w:sz w:val="16"/>
                <w:szCs w:val="16"/>
              </w:rPr>
            </w:pPr>
            <w:r>
              <w:rPr>
                <w:rFonts w:ascii="Lato" w:hAnsi="Lato"/>
                <w:sz w:val="16"/>
                <w:szCs w:val="16"/>
              </w:rPr>
              <w:t>Eficacia</w:t>
            </w:r>
          </w:p>
        </w:tc>
        <w:tc>
          <w:tcPr>
            <w:tcW w:w="997" w:type="dxa"/>
            <w:vAlign w:val="center"/>
          </w:tcPr>
          <w:p w:rsidR="00D1277C" w:rsidRPr="00122B63" w:rsidRDefault="00D1277C" w:rsidP="00D1277C">
            <w:pPr>
              <w:jc w:val="center"/>
              <w:rPr>
                <w:rFonts w:ascii="Lato" w:hAnsi="Lato"/>
                <w:sz w:val="16"/>
                <w:szCs w:val="16"/>
              </w:rPr>
            </w:pPr>
            <w:r>
              <w:rPr>
                <w:rFonts w:ascii="Lato" w:hAnsi="Lato"/>
                <w:sz w:val="16"/>
                <w:szCs w:val="16"/>
              </w:rPr>
              <w:t>Trimestral</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1277C" w:rsidRDefault="00D1277C" w:rsidP="00D1277C">
      <w:pPr>
        <w:spacing w:after="0" w:line="360" w:lineRule="auto"/>
        <w:jc w:val="both"/>
        <w:rPr>
          <w:rFonts w:ascii="Arial" w:hAnsi="Arial" w:cs="Arial"/>
          <w:sz w:val="24"/>
          <w:szCs w:val="24"/>
        </w:rPr>
      </w:pPr>
    </w:p>
    <w:p w:rsidR="00E61CCB" w:rsidRDefault="00D1277C" w:rsidP="00D1277C">
      <w:pPr>
        <w:spacing w:after="0" w:line="360" w:lineRule="auto"/>
        <w:jc w:val="both"/>
        <w:rPr>
          <w:rFonts w:ascii="Arial" w:hAnsi="Arial" w:cs="Arial"/>
          <w:sz w:val="24"/>
          <w:szCs w:val="24"/>
        </w:rPr>
      </w:pPr>
      <w:r w:rsidRPr="00D962AE">
        <w:rPr>
          <w:rFonts w:ascii="Arial" w:hAnsi="Arial" w:cs="Arial"/>
          <w:sz w:val="24"/>
          <w:szCs w:val="24"/>
        </w:rPr>
        <w:t>Pese a que las variables de los indicadores que integran la etapa de ejecución de los recursos incorporan fórmulas disimiles para los 5 Fondos de Aportaciones que se evalúan, los medios de verificación se generalizan en dos variables (monto ejercido y monto asignado) como se indica en la tabla siguiente.</w:t>
      </w:r>
    </w:p>
    <w:p w:rsidR="00E61CCB" w:rsidRPr="00117609" w:rsidRDefault="00E61CCB" w:rsidP="00D1277C">
      <w:pPr>
        <w:spacing w:after="0" w:line="360" w:lineRule="auto"/>
        <w:jc w:val="both"/>
        <w:rPr>
          <w:rFonts w:ascii="Arial" w:hAnsi="Arial" w:cs="Arial"/>
          <w:sz w:val="18"/>
          <w:szCs w:val="16"/>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Medios de verificación:</w:t>
      </w:r>
    </w:p>
    <w:tbl>
      <w:tblPr>
        <w:tblStyle w:val="Listaclara-nfasis3"/>
        <w:tblW w:w="7231" w:type="dxa"/>
        <w:jc w:val="center"/>
        <w:tblBorders>
          <w:left w:val="none" w:sz="0" w:space="0" w:color="auto"/>
          <w:right w:val="none" w:sz="0" w:space="0" w:color="auto"/>
          <w:insideH w:val="single" w:sz="8" w:space="0" w:color="9BBB59" w:themeColor="accent3"/>
        </w:tblBorders>
        <w:tblLayout w:type="fixed"/>
        <w:tblLook w:val="0420" w:firstRow="1" w:lastRow="0" w:firstColumn="0" w:lastColumn="0" w:noHBand="0" w:noVBand="1"/>
      </w:tblPr>
      <w:tblGrid>
        <w:gridCol w:w="3438"/>
        <w:gridCol w:w="3793"/>
      </w:tblGrid>
      <w:tr w:rsidR="00D1277C" w:rsidRPr="00EB1BE5" w:rsidTr="00D1277C">
        <w:trPr>
          <w:cnfStyle w:val="100000000000" w:firstRow="1" w:lastRow="0" w:firstColumn="0" w:lastColumn="0" w:oddVBand="0" w:evenVBand="0" w:oddHBand="0" w:evenHBand="0" w:firstRowFirstColumn="0" w:firstRowLastColumn="0" w:lastRowFirstColumn="0" w:lastRowLastColumn="0"/>
          <w:trHeight w:val="340"/>
          <w:jc w:val="center"/>
        </w:trPr>
        <w:tc>
          <w:tcPr>
            <w:tcW w:w="3438" w:type="dxa"/>
            <w:vAlign w:val="center"/>
            <w:hideMark/>
          </w:tcPr>
          <w:p w:rsidR="00D1277C" w:rsidRPr="008159A5" w:rsidRDefault="00D1277C" w:rsidP="00D1277C">
            <w:pPr>
              <w:jc w:val="center"/>
              <w:rPr>
                <w:rFonts w:ascii="Lato" w:hAnsi="Lato"/>
                <w:b w:val="0"/>
                <w:bCs w:val="0"/>
                <w:sz w:val="16"/>
                <w:szCs w:val="16"/>
              </w:rPr>
            </w:pPr>
            <w:r w:rsidRPr="00310597">
              <w:rPr>
                <w:rFonts w:ascii="Lato" w:hAnsi="Lato"/>
                <w:sz w:val="16"/>
                <w:szCs w:val="16"/>
              </w:rPr>
              <w:t>Variable 1</w:t>
            </w:r>
          </w:p>
        </w:tc>
        <w:tc>
          <w:tcPr>
            <w:tcW w:w="3793" w:type="dxa"/>
            <w:vAlign w:val="center"/>
            <w:hideMark/>
          </w:tcPr>
          <w:p w:rsidR="00D1277C" w:rsidRPr="008159A5" w:rsidRDefault="00D1277C" w:rsidP="00D1277C">
            <w:pPr>
              <w:jc w:val="center"/>
              <w:rPr>
                <w:rFonts w:ascii="Lato" w:hAnsi="Lato"/>
                <w:b w:val="0"/>
                <w:bCs w:val="0"/>
                <w:sz w:val="16"/>
                <w:szCs w:val="16"/>
              </w:rPr>
            </w:pPr>
            <w:r w:rsidRPr="00310597">
              <w:rPr>
                <w:rFonts w:ascii="Lato" w:hAnsi="Lato"/>
                <w:sz w:val="16"/>
                <w:szCs w:val="16"/>
              </w:rPr>
              <w:t>Variable 2</w:t>
            </w:r>
          </w:p>
        </w:tc>
      </w:tr>
      <w:tr w:rsidR="00D1277C" w:rsidRPr="00EB1BE5" w:rsidTr="00D1277C">
        <w:trPr>
          <w:cnfStyle w:val="000000100000" w:firstRow="0" w:lastRow="0" w:firstColumn="0" w:lastColumn="0" w:oddVBand="0" w:evenVBand="0" w:oddHBand="1" w:evenHBand="0" w:firstRowFirstColumn="0" w:firstRowLastColumn="0" w:lastRowFirstColumn="0" w:lastRowLastColumn="0"/>
          <w:trHeight w:val="45"/>
          <w:jc w:val="center"/>
        </w:trPr>
        <w:tc>
          <w:tcPr>
            <w:tcW w:w="3438" w:type="dxa"/>
            <w:tcBorders>
              <w:left w:val="nil"/>
            </w:tcBorders>
            <w:vAlign w:val="center"/>
          </w:tcPr>
          <w:p w:rsidR="00D1277C" w:rsidRPr="00310597" w:rsidRDefault="00D1277C" w:rsidP="00D1277C">
            <w:pPr>
              <w:jc w:val="center"/>
              <w:rPr>
                <w:rFonts w:ascii="Lato" w:hAnsi="Lato"/>
                <w:sz w:val="4"/>
                <w:szCs w:val="4"/>
              </w:rPr>
            </w:pPr>
          </w:p>
        </w:tc>
        <w:tc>
          <w:tcPr>
            <w:tcW w:w="3793" w:type="dxa"/>
            <w:vAlign w:val="center"/>
          </w:tcPr>
          <w:p w:rsidR="00D1277C" w:rsidRPr="00310597" w:rsidRDefault="00D1277C" w:rsidP="00D1277C">
            <w:pPr>
              <w:jc w:val="center"/>
              <w:rPr>
                <w:rFonts w:ascii="Lato" w:hAnsi="Lato"/>
                <w:sz w:val="4"/>
                <w:szCs w:val="4"/>
              </w:rPr>
            </w:pPr>
          </w:p>
        </w:tc>
      </w:tr>
      <w:tr w:rsidR="00D1277C" w:rsidRPr="00496472" w:rsidTr="00D1277C">
        <w:trPr>
          <w:trHeight w:val="1539"/>
          <w:jc w:val="center"/>
        </w:trPr>
        <w:tc>
          <w:tcPr>
            <w:tcW w:w="3438" w:type="dxa"/>
            <w:vAlign w:val="center"/>
            <w:hideMark/>
          </w:tcPr>
          <w:p w:rsidR="00D1277C" w:rsidRPr="00310597" w:rsidRDefault="00D1277C" w:rsidP="00D1277C">
            <w:pPr>
              <w:spacing w:line="276" w:lineRule="auto"/>
              <w:jc w:val="both"/>
              <w:rPr>
                <w:rFonts w:ascii="Lato" w:hAnsi="Lato"/>
                <w:sz w:val="16"/>
                <w:szCs w:val="16"/>
              </w:rPr>
            </w:pPr>
            <w:r w:rsidRPr="008159A5">
              <w:rPr>
                <w:rFonts w:ascii="Lato" w:hAnsi="Lato"/>
                <w:sz w:val="16"/>
                <w:szCs w:val="16"/>
              </w:rPr>
              <w:t>Formato de Requerimiento de Información para Evaluar, debidamente llenado, rubricado por del servidor público responsable de la información (Coordinador de Administración y Finanzas de la Entidad Fiscalizable) y sello oficial.</w:t>
            </w:r>
          </w:p>
        </w:tc>
        <w:tc>
          <w:tcPr>
            <w:tcW w:w="3793" w:type="dxa"/>
            <w:vAlign w:val="center"/>
            <w:hideMark/>
          </w:tcPr>
          <w:p w:rsidR="00D1277C" w:rsidRPr="00310597" w:rsidRDefault="00D1277C" w:rsidP="00D1277C">
            <w:pPr>
              <w:spacing w:line="276" w:lineRule="auto"/>
              <w:jc w:val="both"/>
              <w:rPr>
                <w:rFonts w:ascii="Lato" w:hAnsi="Lato"/>
                <w:sz w:val="16"/>
                <w:szCs w:val="16"/>
              </w:rPr>
            </w:pPr>
            <w:r w:rsidRPr="008159A5">
              <w:rPr>
                <w:rFonts w:ascii="Lato" w:hAnsi="Lato"/>
                <w:sz w:val="16"/>
                <w:szCs w:val="16"/>
              </w:rPr>
              <w:t>Acuerdo por el que se da a conocer a los Gobiernos de las Entidades Federativas la distribución y calendarización para la ministración de los recursos del Ramo General 33 Aportaciones Federales del ejercicio fiscal correspondiente, publicado en el Diario Oficial de la Federación.</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D962AE">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F06ED7" w:rsidRPr="00F06ED7" w:rsidRDefault="00F06ED7" w:rsidP="00F06ED7">
      <w:pPr>
        <w:spacing w:after="0" w:line="360" w:lineRule="auto"/>
        <w:ind w:firstLine="708"/>
        <w:rPr>
          <w:rFonts w:ascii="Arial" w:hAnsi="Arial" w:cs="Arial"/>
          <w:b/>
          <w:sz w:val="24"/>
          <w:szCs w:val="24"/>
        </w:rPr>
      </w:pPr>
      <w:r w:rsidRPr="00F06ED7">
        <w:rPr>
          <w:rFonts w:ascii="Arial" w:hAnsi="Arial" w:cs="Arial"/>
          <w:b/>
          <w:sz w:val="24"/>
          <w:szCs w:val="24"/>
        </w:rPr>
        <w:lastRenderedPageBreak/>
        <w:t>3.3.3 Trámite de autorización y aplicación de los recursos</w:t>
      </w:r>
    </w:p>
    <w:p w:rsidR="00F06ED7" w:rsidRPr="00F1126C" w:rsidRDefault="00F06ED7" w:rsidP="00D1277C">
      <w:pPr>
        <w:spacing w:after="0" w:line="360" w:lineRule="auto"/>
        <w:jc w:val="both"/>
        <w:rPr>
          <w:rFonts w:ascii="Arial" w:hAnsi="Arial" w:cs="Arial"/>
          <w:sz w:val="18"/>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La etapa del trámite de autorización de los recursos, consiste en evaluar el desempeño específico de la Secretaría de Finanzas en relación al trámite de los recursos del Fondo con base en el acuerdo y la normatividad correspondiente. El resultado del indicador que integra esta evaluación supone que a mayor porcentaje obtenido, mayor eficacia en la autorización de los recursos.</w:t>
      </w:r>
    </w:p>
    <w:p w:rsidR="00D1277C" w:rsidRPr="00F1126C" w:rsidRDefault="00D1277C" w:rsidP="00D1277C">
      <w:pPr>
        <w:spacing w:after="0" w:line="360" w:lineRule="auto"/>
        <w:jc w:val="both"/>
        <w:rPr>
          <w:rFonts w:ascii="Arial" w:hAnsi="Arial" w:cs="Arial"/>
          <w:sz w:val="18"/>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Parámetros de evaluación:</w:t>
      </w:r>
    </w:p>
    <w:tbl>
      <w:tblPr>
        <w:tblStyle w:val="Listaclara-nfasis2"/>
        <w:tblW w:w="8724" w:type="dxa"/>
        <w:jc w:val="center"/>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984"/>
        <w:gridCol w:w="1134"/>
        <w:gridCol w:w="1134"/>
        <w:gridCol w:w="1134"/>
        <w:gridCol w:w="1134"/>
        <w:gridCol w:w="1134"/>
        <w:gridCol w:w="1070"/>
      </w:tblGrid>
      <w:tr w:rsidR="00D1277C" w:rsidRPr="008158F5" w:rsidTr="00D1277C">
        <w:trPr>
          <w:cnfStyle w:val="100000000000" w:firstRow="1" w:lastRow="0" w:firstColumn="0" w:lastColumn="0" w:oddVBand="0" w:evenVBand="0" w:oddHBand="0" w:evenHBand="0" w:firstRowFirstColumn="0" w:firstRowLastColumn="0" w:lastRowFirstColumn="0" w:lastRowLastColumn="0"/>
          <w:trHeight w:val="454"/>
          <w:jc w:val="center"/>
        </w:trPr>
        <w:tc>
          <w:tcPr>
            <w:tcW w:w="1984" w:type="dxa"/>
            <w:shd w:val="clear" w:color="auto" w:fill="B2B2B2"/>
            <w:vAlign w:val="center"/>
            <w:hideMark/>
          </w:tcPr>
          <w:p w:rsidR="00D1277C" w:rsidRPr="00084289" w:rsidRDefault="00D1277C" w:rsidP="00D1277C">
            <w:pPr>
              <w:jc w:val="center"/>
              <w:rPr>
                <w:rFonts w:ascii="Lato" w:hAnsi="Lato"/>
                <w:color w:val="auto"/>
                <w:sz w:val="16"/>
                <w:szCs w:val="16"/>
              </w:rPr>
            </w:pPr>
            <w:r w:rsidRPr="00084289">
              <w:rPr>
                <w:rFonts w:ascii="Lato" w:hAnsi="Lato"/>
                <w:bCs w:val="0"/>
                <w:color w:val="auto"/>
                <w:sz w:val="16"/>
                <w:szCs w:val="16"/>
              </w:rPr>
              <w:t>Fondo de Aportaciones</w:t>
            </w:r>
          </w:p>
        </w:tc>
        <w:tc>
          <w:tcPr>
            <w:tcW w:w="1134" w:type="dxa"/>
            <w:shd w:val="clear" w:color="auto" w:fill="00B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Parámetro aceptado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Adecuado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Bueno</w:t>
            </w:r>
          </w:p>
        </w:tc>
        <w:tc>
          <w:tcPr>
            <w:tcW w:w="1134" w:type="dxa"/>
            <w:shd w:val="clear" w:color="auto" w:fill="FFFF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Insuficiente</w:t>
            </w:r>
          </w:p>
        </w:tc>
        <w:tc>
          <w:tcPr>
            <w:tcW w:w="1070"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Crítico</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984" w:type="dxa"/>
            <w:tcBorders>
              <w:top w:val="none" w:sz="0" w:space="0" w:color="auto"/>
              <w:left w:val="none" w:sz="0" w:space="0" w:color="auto"/>
              <w:bottom w:val="none" w:sz="0" w:space="0" w:color="auto"/>
            </w:tcBorders>
            <w:vAlign w:val="center"/>
          </w:tcPr>
          <w:p w:rsidR="00D1277C" w:rsidRPr="00084289" w:rsidRDefault="00D1277C" w:rsidP="00D1277C">
            <w:pPr>
              <w:jc w:val="center"/>
              <w:rPr>
                <w:rFonts w:ascii="Lato" w:hAnsi="Lato"/>
                <w:b/>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070" w:type="dxa"/>
            <w:tcBorders>
              <w:top w:val="none" w:sz="0" w:space="0" w:color="auto"/>
              <w:bottom w:val="none" w:sz="0" w:space="0" w:color="auto"/>
              <w:right w:val="none" w:sz="0" w:space="0" w:color="auto"/>
            </w:tcBorders>
            <w:vAlign w:val="center"/>
          </w:tcPr>
          <w:p w:rsidR="00D1277C" w:rsidRPr="00084289" w:rsidRDefault="00D1277C" w:rsidP="00D1277C">
            <w:pPr>
              <w:jc w:val="center"/>
              <w:rPr>
                <w:rFonts w:ascii="Lato" w:hAnsi="Lato"/>
                <w:sz w:val="6"/>
                <w:szCs w:val="6"/>
              </w:rPr>
            </w:pPr>
          </w:p>
        </w:tc>
      </w:tr>
      <w:tr w:rsidR="00D1277C" w:rsidRPr="008158F5" w:rsidTr="00D1277C">
        <w:trPr>
          <w:trHeight w:val="650"/>
          <w:jc w:val="center"/>
        </w:trPr>
        <w:tc>
          <w:tcPr>
            <w:tcW w:w="1984" w:type="dxa"/>
            <w:vAlign w:val="center"/>
            <w:hideMark/>
          </w:tcPr>
          <w:p w:rsidR="00D1277C" w:rsidRPr="008158F5" w:rsidRDefault="00D1277C" w:rsidP="00D1277C">
            <w:pPr>
              <w:spacing w:line="276" w:lineRule="auto"/>
              <w:jc w:val="center"/>
              <w:rPr>
                <w:rFonts w:ascii="Lato" w:hAnsi="Lato"/>
                <w:b/>
                <w:sz w:val="16"/>
                <w:szCs w:val="16"/>
              </w:rPr>
            </w:pPr>
            <w:r>
              <w:rPr>
                <w:rFonts w:ascii="Lato" w:hAnsi="Lato"/>
                <w:b/>
                <w:sz w:val="16"/>
                <w:szCs w:val="16"/>
              </w:rPr>
              <w:t>FISE</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70.01 – 100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90.01 – 100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80.01 – 90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70.01 – 80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40.01 – 70</w:t>
            </w:r>
          </w:p>
        </w:tc>
        <w:tc>
          <w:tcPr>
            <w:tcW w:w="1070"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0 - 40</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Elaboración del OSFEM.</w:t>
            </w:r>
          </w:p>
        </w:tc>
      </w:tr>
    </w:tbl>
    <w:p w:rsidR="00D962AE" w:rsidRPr="00F1126C" w:rsidRDefault="00D962AE" w:rsidP="00D1277C">
      <w:pPr>
        <w:spacing w:after="0" w:line="360" w:lineRule="auto"/>
        <w:jc w:val="both"/>
        <w:rPr>
          <w:rFonts w:ascii="Arial" w:hAnsi="Arial" w:cs="Arial"/>
          <w:sz w:val="18"/>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Elementos del indicador:</w:t>
      </w:r>
    </w:p>
    <w:tbl>
      <w:tblPr>
        <w:tblStyle w:val="Listaclara-nfasis3"/>
        <w:tblW w:w="8700" w:type="dxa"/>
        <w:jc w:val="center"/>
        <w:tblInd w:w="326"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762"/>
        <w:gridCol w:w="1959"/>
        <w:gridCol w:w="1969"/>
        <w:gridCol w:w="1024"/>
        <w:gridCol w:w="992"/>
        <w:gridCol w:w="994"/>
      </w:tblGrid>
      <w:tr w:rsidR="00D1277C" w:rsidRPr="00122B63" w:rsidTr="00D1277C">
        <w:trPr>
          <w:cnfStyle w:val="100000000000" w:firstRow="1" w:lastRow="0" w:firstColumn="0" w:lastColumn="0" w:oddVBand="0" w:evenVBand="0" w:oddHBand="0" w:evenHBand="0" w:firstRowFirstColumn="0" w:firstRowLastColumn="0" w:lastRowFirstColumn="0" w:lastRowLastColumn="0"/>
          <w:trHeight w:val="460"/>
          <w:jc w:val="center"/>
        </w:trPr>
        <w:tc>
          <w:tcPr>
            <w:tcW w:w="1762" w:type="dxa"/>
            <w:tcBorders>
              <w:bottom w:val="single" w:sz="8" w:space="0" w:color="B2B2B2"/>
            </w:tcBorders>
            <w:shd w:val="clear" w:color="auto" w:fill="B2B2B2"/>
            <w:vAlign w:val="center"/>
            <w:hideMark/>
          </w:tcPr>
          <w:p w:rsidR="00D1277C" w:rsidRPr="00122B63" w:rsidRDefault="00D1277C" w:rsidP="00D1277C">
            <w:pPr>
              <w:spacing w:line="276" w:lineRule="auto"/>
              <w:ind w:left="52"/>
              <w:jc w:val="center"/>
              <w:rPr>
                <w:rFonts w:ascii="Lato" w:hAnsi="Lato"/>
                <w:sz w:val="16"/>
                <w:szCs w:val="16"/>
              </w:rPr>
            </w:pPr>
            <w:r w:rsidRPr="00122B63">
              <w:rPr>
                <w:rFonts w:ascii="Lato" w:hAnsi="Lato"/>
                <w:sz w:val="16"/>
                <w:szCs w:val="16"/>
              </w:rPr>
              <w:t>Nombre del indicador</w:t>
            </w:r>
          </w:p>
        </w:tc>
        <w:tc>
          <w:tcPr>
            <w:tcW w:w="1959"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Objetivo</w:t>
            </w:r>
          </w:p>
        </w:tc>
        <w:tc>
          <w:tcPr>
            <w:tcW w:w="1969"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Fórmula y variables</w:t>
            </w:r>
          </w:p>
        </w:tc>
        <w:tc>
          <w:tcPr>
            <w:tcW w:w="1024"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Unidad de medida</w:t>
            </w:r>
          </w:p>
        </w:tc>
        <w:tc>
          <w:tcPr>
            <w:tcW w:w="992"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Dimensión</w:t>
            </w:r>
          </w:p>
        </w:tc>
        <w:tc>
          <w:tcPr>
            <w:tcW w:w="994" w:type="dxa"/>
            <w:tcBorders>
              <w:bottom w:val="single" w:sz="8" w:space="0" w:color="B2B2B2"/>
            </w:tcBorders>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Frecuencia</w:t>
            </w:r>
          </w:p>
        </w:tc>
      </w:tr>
      <w:tr w:rsidR="00D1277C" w:rsidRPr="00122B63"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762" w:type="dxa"/>
            <w:tcBorders>
              <w:top w:val="single" w:sz="8" w:space="0" w:color="B2B2B2"/>
              <w:left w:val="nil"/>
              <w:bottom w:val="single" w:sz="8" w:space="0" w:color="B2B2B2"/>
            </w:tcBorders>
            <w:vAlign w:val="center"/>
          </w:tcPr>
          <w:p w:rsidR="00D1277C" w:rsidRPr="008158F5" w:rsidRDefault="00D1277C" w:rsidP="00D1277C">
            <w:pPr>
              <w:jc w:val="center"/>
              <w:rPr>
                <w:rFonts w:ascii="Lato" w:hAnsi="Lato"/>
                <w:sz w:val="4"/>
                <w:szCs w:val="4"/>
              </w:rPr>
            </w:pPr>
          </w:p>
        </w:tc>
        <w:tc>
          <w:tcPr>
            <w:tcW w:w="1959"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1969" w:type="dxa"/>
            <w:tcBorders>
              <w:top w:val="single" w:sz="8" w:space="0" w:color="B2B2B2"/>
              <w:bottom w:val="single" w:sz="8" w:space="0" w:color="B2B2B2"/>
            </w:tcBorders>
            <w:vAlign w:val="center"/>
          </w:tcPr>
          <w:p w:rsidR="00D1277C" w:rsidRPr="008158F5" w:rsidRDefault="00D1277C" w:rsidP="00D1277C">
            <w:pPr>
              <w:jc w:val="center"/>
              <w:rPr>
                <w:rFonts w:ascii="Lato" w:hAnsi="Lato"/>
                <w:b/>
                <w:bCs/>
                <w:sz w:val="4"/>
                <w:szCs w:val="4"/>
              </w:rPr>
            </w:pPr>
          </w:p>
        </w:tc>
        <w:tc>
          <w:tcPr>
            <w:tcW w:w="1024"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992" w:type="dxa"/>
            <w:tcBorders>
              <w:top w:val="single" w:sz="8" w:space="0" w:color="B2B2B2"/>
              <w:bottom w:val="single" w:sz="8" w:space="0" w:color="B2B2B2"/>
            </w:tcBorders>
            <w:vAlign w:val="center"/>
          </w:tcPr>
          <w:p w:rsidR="00D1277C" w:rsidRPr="008158F5" w:rsidRDefault="00D1277C" w:rsidP="00D1277C">
            <w:pPr>
              <w:jc w:val="center"/>
              <w:rPr>
                <w:rFonts w:ascii="Lato" w:hAnsi="Lato"/>
                <w:sz w:val="4"/>
                <w:szCs w:val="4"/>
              </w:rPr>
            </w:pPr>
          </w:p>
        </w:tc>
        <w:tc>
          <w:tcPr>
            <w:tcW w:w="994" w:type="dxa"/>
            <w:tcBorders>
              <w:top w:val="single" w:sz="8" w:space="0" w:color="B2B2B2"/>
              <w:bottom w:val="single" w:sz="8" w:space="0" w:color="B2B2B2"/>
              <w:right w:val="nil"/>
            </w:tcBorders>
            <w:vAlign w:val="center"/>
          </w:tcPr>
          <w:p w:rsidR="00D1277C" w:rsidRPr="008158F5" w:rsidRDefault="00D1277C" w:rsidP="00D1277C">
            <w:pPr>
              <w:jc w:val="center"/>
              <w:rPr>
                <w:rFonts w:ascii="Lato" w:hAnsi="Lato"/>
                <w:sz w:val="4"/>
                <w:szCs w:val="4"/>
              </w:rPr>
            </w:pPr>
          </w:p>
        </w:tc>
      </w:tr>
      <w:tr w:rsidR="00D1277C" w:rsidRPr="00122B63" w:rsidTr="00D1277C">
        <w:trPr>
          <w:trHeight w:val="5877"/>
          <w:jc w:val="center"/>
        </w:trPr>
        <w:tc>
          <w:tcPr>
            <w:tcW w:w="1762" w:type="dxa"/>
            <w:tcBorders>
              <w:top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F90C8F">
              <w:rPr>
                <w:rFonts w:ascii="Lato" w:hAnsi="Lato"/>
                <w:sz w:val="16"/>
                <w:szCs w:val="16"/>
              </w:rPr>
              <w:t>Eficacia de la Secretaría de Finanzas en el trámite de autorización de los recursos del Fondo para la Infraestructura Social para las Entidades.</w:t>
            </w:r>
          </w:p>
        </w:tc>
        <w:tc>
          <w:tcPr>
            <w:tcW w:w="1959" w:type="dxa"/>
            <w:tcBorders>
              <w:top w:val="single" w:sz="8" w:space="0" w:color="B2B2B2"/>
            </w:tcBorders>
            <w:vAlign w:val="center"/>
            <w:hideMark/>
          </w:tcPr>
          <w:p w:rsidR="00D1277C" w:rsidRPr="00122B63" w:rsidRDefault="00D1277C" w:rsidP="00D1277C">
            <w:pPr>
              <w:spacing w:line="276" w:lineRule="auto"/>
              <w:jc w:val="both"/>
              <w:rPr>
                <w:rFonts w:ascii="Lato" w:hAnsi="Lato"/>
                <w:sz w:val="16"/>
                <w:szCs w:val="16"/>
              </w:rPr>
            </w:pPr>
            <w:r w:rsidRPr="00F90C8F">
              <w:rPr>
                <w:rFonts w:ascii="Lato" w:hAnsi="Lato"/>
                <w:sz w:val="16"/>
                <w:szCs w:val="16"/>
              </w:rPr>
              <w:t>Determinar el porcentaje de eficacia en la tramitación de los recursos federales.</w:t>
            </w:r>
          </w:p>
        </w:tc>
        <w:tc>
          <w:tcPr>
            <w:tcW w:w="1969" w:type="dxa"/>
            <w:tcBorders>
              <w:top w:val="single" w:sz="8" w:space="0" w:color="B2B2B2"/>
            </w:tcBorders>
            <w:vAlign w:val="center"/>
            <w:hideMark/>
          </w:tcPr>
          <w:p w:rsidR="00D1277C" w:rsidRPr="00F90C8F" w:rsidRDefault="00D1277C" w:rsidP="00D1277C">
            <w:pPr>
              <w:jc w:val="center"/>
              <w:rPr>
                <w:rFonts w:ascii="Lato" w:hAnsi="Lato"/>
                <w:b/>
                <w:bCs/>
                <w:sz w:val="16"/>
                <w:szCs w:val="16"/>
              </w:rPr>
            </w:pPr>
            <w:r w:rsidRPr="00F90C8F">
              <w:rPr>
                <w:noProof/>
                <w:lang w:eastAsia="es-MX"/>
              </w:rPr>
              <mc:AlternateContent>
                <mc:Choice Requires="wpg">
                  <w:drawing>
                    <wp:anchor distT="0" distB="0" distL="114300" distR="114300" simplePos="0" relativeHeight="251663360" behindDoc="0" locked="0" layoutInCell="1" allowOverlap="1" wp14:anchorId="7E2C0381" wp14:editId="798F616C">
                      <wp:simplePos x="0" y="0"/>
                      <wp:positionH relativeFrom="column">
                        <wp:posOffset>83820</wp:posOffset>
                      </wp:positionH>
                      <wp:positionV relativeFrom="paragraph">
                        <wp:posOffset>-50165</wp:posOffset>
                      </wp:positionV>
                      <wp:extent cx="1256030" cy="228600"/>
                      <wp:effectExtent l="0" t="0" r="0" b="0"/>
                      <wp:wrapNone/>
                      <wp:docPr id="21" name="1 Grupo"/>
                      <wp:cNvGraphicFramePr/>
                      <a:graphic xmlns:a="http://schemas.openxmlformats.org/drawingml/2006/main">
                        <a:graphicData uri="http://schemas.microsoft.com/office/word/2010/wordprocessingGroup">
                          <wpg:wgp>
                            <wpg:cNvGrpSpPr/>
                            <wpg:grpSpPr>
                              <a:xfrm>
                                <a:off x="0" y="0"/>
                                <a:ext cx="1256030" cy="228600"/>
                                <a:chOff x="0" y="13914"/>
                                <a:chExt cx="1338647" cy="228600"/>
                              </a:xfrm>
                            </wpg:grpSpPr>
                            <wps:wsp>
                              <wps:cNvPr id="22" name="Line 3"/>
                              <wps:cNvCnPr/>
                              <wps:spPr bwMode="auto">
                                <a:xfrm>
                                  <a:off x="0" y="175314"/>
                                  <a:ext cx="912127"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
                              <wps:cNvSpPr txBox="1">
                                <a:spLocks noChangeArrowheads="1"/>
                              </wps:cNvSpPr>
                              <wps:spPr bwMode="auto">
                                <a:xfrm>
                                  <a:off x="825484" y="13914"/>
                                  <a:ext cx="51316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3B" w:rsidRPr="00D378DB" w:rsidRDefault="003F643B" w:rsidP="00D1277C">
                                    <w:pPr>
                                      <w:rPr>
                                        <w:rFonts w:ascii="Lato" w:eastAsia="Times New Roman" w:hAnsi="Lato"/>
                                        <w:sz w:val="16"/>
                                        <w:szCs w:val="16"/>
                                      </w:rPr>
                                    </w:pP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id="1 Grupo" o:spid="_x0000_s1029" style="position:absolute;left:0;text-align:left;margin-left:6.6pt;margin-top:-3.95pt;width:98.9pt;height:18pt;z-index:251663360;mso-width-relative:margin;mso-height-relative:margin" coordorigin=",139" coordsize="1338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">
                      <v:line id="Line 3" o:spid="_x0000_s1030" style="position:absolute;visibility:visible;mso-wrap-style:square" from="0,1753" to="912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shape id="Text Box 2" o:spid="_x0000_s1031" type="#_x0000_t202" style="position:absolute;left:8254;top:139;width:51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F643B" w:rsidRPr="00D378DB" w:rsidRDefault="003F643B" w:rsidP="00D1277C">
                              <w:pPr>
                                <w:rPr>
                                  <w:rFonts w:ascii="Lato" w:eastAsia="Times New Roman" w:hAnsi="Lato"/>
                                  <w:sz w:val="16"/>
                                  <w:szCs w:val="16"/>
                                </w:rPr>
                              </w:pPr>
                            </w:p>
                          </w:txbxContent>
                        </v:textbox>
                      </v:shape>
                    </v:group>
                  </w:pict>
                </mc:Fallback>
              </mc:AlternateContent>
            </w:r>
            <w:proofErr w:type="spellStart"/>
            <w:r w:rsidRPr="00F90C8F">
              <w:rPr>
                <w:rFonts w:ascii="Lato" w:hAnsi="Lato"/>
                <w:b/>
                <w:bCs/>
                <w:sz w:val="16"/>
                <w:szCs w:val="16"/>
              </w:rPr>
              <w:t>Maut</w:t>
            </w:r>
            <w:proofErr w:type="spellEnd"/>
          </w:p>
          <w:p w:rsidR="00D1277C" w:rsidRDefault="00D1277C" w:rsidP="00D1277C">
            <w:pPr>
              <w:spacing w:line="276" w:lineRule="auto"/>
              <w:jc w:val="center"/>
              <w:rPr>
                <w:rFonts w:ascii="Lato" w:hAnsi="Lato"/>
                <w:b/>
                <w:bCs/>
                <w:sz w:val="16"/>
                <w:szCs w:val="16"/>
              </w:rPr>
            </w:pPr>
            <w:r w:rsidRPr="00F90C8F">
              <w:rPr>
                <w:rFonts w:ascii="Lato" w:hAnsi="Lato"/>
                <w:b/>
                <w:bCs/>
                <w:sz w:val="16"/>
                <w:szCs w:val="16"/>
              </w:rPr>
              <w:t>(</w:t>
            </w:r>
            <w:proofErr w:type="spellStart"/>
            <w:r w:rsidRPr="00F90C8F">
              <w:rPr>
                <w:rFonts w:ascii="Lato" w:hAnsi="Lato"/>
                <w:b/>
                <w:bCs/>
                <w:sz w:val="16"/>
                <w:szCs w:val="16"/>
              </w:rPr>
              <w:t>Mtas</w:t>
            </w:r>
            <w:proofErr w:type="spellEnd"/>
            <w:r w:rsidRPr="00F90C8F">
              <w:rPr>
                <w:rFonts w:ascii="Lato" w:hAnsi="Lato"/>
                <w:b/>
                <w:bCs/>
                <w:sz w:val="16"/>
                <w:szCs w:val="16"/>
              </w:rPr>
              <w:t xml:space="preserve"> /10) </w:t>
            </w:r>
            <w:proofErr w:type="spellStart"/>
            <w:r w:rsidRPr="00F90C8F">
              <w:rPr>
                <w:rFonts w:ascii="Lato" w:hAnsi="Lato"/>
                <w:b/>
                <w:bCs/>
                <w:sz w:val="16"/>
                <w:szCs w:val="16"/>
              </w:rPr>
              <w:t>Nte</w:t>
            </w:r>
            <w:proofErr w:type="spellEnd"/>
          </w:p>
          <w:p w:rsidR="00D1277C" w:rsidRPr="00122B63" w:rsidRDefault="00D1277C" w:rsidP="00D1277C">
            <w:pPr>
              <w:spacing w:line="276" w:lineRule="auto"/>
              <w:jc w:val="center"/>
              <w:rPr>
                <w:rFonts w:ascii="Lato" w:hAnsi="Lato"/>
                <w:sz w:val="16"/>
                <w:szCs w:val="16"/>
              </w:rPr>
            </w:pPr>
          </w:p>
          <w:p w:rsidR="00D1277C" w:rsidRPr="00F90C8F" w:rsidRDefault="00D1277C" w:rsidP="00D1277C">
            <w:pPr>
              <w:spacing w:line="276" w:lineRule="auto"/>
              <w:jc w:val="both"/>
              <w:rPr>
                <w:rFonts w:ascii="Lato" w:hAnsi="Lato"/>
                <w:bCs/>
                <w:sz w:val="16"/>
                <w:szCs w:val="16"/>
              </w:rPr>
            </w:pPr>
            <w:proofErr w:type="spellStart"/>
            <w:r>
              <w:rPr>
                <w:rFonts w:ascii="Lato" w:hAnsi="Lato"/>
                <w:b/>
                <w:bCs/>
                <w:sz w:val="16"/>
                <w:szCs w:val="16"/>
              </w:rPr>
              <w:t>Maut</w:t>
            </w:r>
            <w:proofErr w:type="spellEnd"/>
            <w:r>
              <w:rPr>
                <w:rFonts w:ascii="Lato" w:hAnsi="Lato"/>
                <w:b/>
                <w:bCs/>
                <w:sz w:val="16"/>
                <w:szCs w:val="16"/>
              </w:rPr>
              <w:t xml:space="preserve">: </w:t>
            </w:r>
            <w:r w:rsidRPr="00F90C8F">
              <w:rPr>
                <w:rFonts w:ascii="Lato" w:hAnsi="Lato"/>
                <w:bCs/>
                <w:sz w:val="16"/>
                <w:szCs w:val="16"/>
              </w:rPr>
              <w:t>Monto Autorizado por la Secretaría de Finanzas del Trimestre, con base en la sumatoria de los montos referidos en los oficios de autorización emitidos, al mes de evaluación.</w:t>
            </w:r>
          </w:p>
          <w:p w:rsidR="00D1277C" w:rsidRPr="00F90C8F" w:rsidRDefault="00D1277C" w:rsidP="00D1277C">
            <w:pPr>
              <w:spacing w:line="276" w:lineRule="auto"/>
              <w:jc w:val="both"/>
              <w:rPr>
                <w:rFonts w:ascii="Lato" w:hAnsi="Lato"/>
                <w:bCs/>
                <w:sz w:val="16"/>
                <w:szCs w:val="16"/>
              </w:rPr>
            </w:pPr>
          </w:p>
          <w:p w:rsidR="00D1277C" w:rsidRPr="00F90C8F" w:rsidRDefault="00D1277C" w:rsidP="00D1277C">
            <w:pPr>
              <w:spacing w:line="276" w:lineRule="auto"/>
              <w:jc w:val="both"/>
              <w:rPr>
                <w:rFonts w:ascii="Lato" w:hAnsi="Lato"/>
                <w:sz w:val="16"/>
                <w:szCs w:val="16"/>
              </w:rPr>
            </w:pPr>
            <w:proofErr w:type="spellStart"/>
            <w:r>
              <w:rPr>
                <w:rFonts w:ascii="Lato" w:hAnsi="Lato"/>
                <w:b/>
                <w:sz w:val="16"/>
                <w:szCs w:val="16"/>
              </w:rPr>
              <w:t>Mtas</w:t>
            </w:r>
            <w:proofErr w:type="spellEnd"/>
            <w:r>
              <w:rPr>
                <w:rFonts w:ascii="Lato" w:hAnsi="Lato"/>
                <w:b/>
                <w:sz w:val="16"/>
                <w:szCs w:val="16"/>
              </w:rPr>
              <w:t xml:space="preserve">: </w:t>
            </w:r>
            <w:r w:rsidRPr="00F90C8F">
              <w:rPr>
                <w:rFonts w:ascii="Lato" w:hAnsi="Lato"/>
                <w:sz w:val="16"/>
                <w:szCs w:val="16"/>
              </w:rPr>
              <w:t>Monto Total Asignado de los recursos para el FISE, publicado en el acuerdo del ejercicio fiscal correspondiente, en el Diario Oficial de la Federación.</w:t>
            </w:r>
          </w:p>
          <w:p w:rsidR="00D1277C" w:rsidRPr="00F90C8F" w:rsidRDefault="00D1277C" w:rsidP="00D1277C">
            <w:pPr>
              <w:spacing w:line="276" w:lineRule="auto"/>
              <w:jc w:val="both"/>
              <w:rPr>
                <w:rFonts w:ascii="Lato" w:hAnsi="Lato"/>
                <w:sz w:val="16"/>
                <w:szCs w:val="16"/>
              </w:rPr>
            </w:pPr>
          </w:p>
          <w:p w:rsidR="00D1277C" w:rsidRPr="00122B63" w:rsidRDefault="00D1277C" w:rsidP="00D1277C">
            <w:pPr>
              <w:spacing w:line="276" w:lineRule="auto"/>
              <w:jc w:val="both"/>
              <w:rPr>
                <w:rFonts w:ascii="Lato" w:hAnsi="Lato"/>
                <w:sz w:val="16"/>
                <w:szCs w:val="16"/>
              </w:rPr>
            </w:pPr>
            <w:proofErr w:type="spellStart"/>
            <w:r>
              <w:rPr>
                <w:rFonts w:ascii="Lato" w:hAnsi="Lato"/>
                <w:b/>
                <w:sz w:val="16"/>
                <w:szCs w:val="16"/>
              </w:rPr>
              <w:t>Nte</w:t>
            </w:r>
            <w:proofErr w:type="spellEnd"/>
            <w:r>
              <w:rPr>
                <w:rFonts w:ascii="Lato" w:hAnsi="Lato"/>
                <w:b/>
                <w:sz w:val="16"/>
                <w:szCs w:val="16"/>
              </w:rPr>
              <w:t xml:space="preserve">: </w:t>
            </w:r>
            <w:r w:rsidRPr="00F90C8F">
              <w:rPr>
                <w:rFonts w:ascii="Lato" w:hAnsi="Lato"/>
                <w:sz w:val="16"/>
                <w:szCs w:val="16"/>
              </w:rPr>
              <w:t>Número del Trimestre a Evaluar (3 – Mar., 6 – Jun</w:t>
            </w:r>
            <w:proofErr w:type="gramStart"/>
            <w:r w:rsidRPr="00F90C8F">
              <w:rPr>
                <w:rFonts w:ascii="Lato" w:hAnsi="Lato"/>
                <w:sz w:val="16"/>
                <w:szCs w:val="16"/>
              </w:rPr>
              <w:t>, …</w:t>
            </w:r>
            <w:proofErr w:type="gramEnd"/>
            <w:r w:rsidRPr="00F90C8F">
              <w:rPr>
                <w:rFonts w:ascii="Lato" w:hAnsi="Lato"/>
                <w:sz w:val="16"/>
                <w:szCs w:val="16"/>
              </w:rPr>
              <w:t>, 12 – Dic).</w:t>
            </w:r>
          </w:p>
        </w:tc>
        <w:tc>
          <w:tcPr>
            <w:tcW w:w="1024"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Pr>
                <w:rFonts w:ascii="Lato" w:hAnsi="Lato"/>
                <w:sz w:val="16"/>
                <w:szCs w:val="16"/>
              </w:rPr>
              <w:t>Porcentaje</w:t>
            </w:r>
          </w:p>
        </w:tc>
        <w:tc>
          <w:tcPr>
            <w:tcW w:w="992"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Eficacia</w:t>
            </w:r>
          </w:p>
        </w:tc>
        <w:tc>
          <w:tcPr>
            <w:tcW w:w="994" w:type="dxa"/>
            <w:tcBorders>
              <w:top w:val="single" w:sz="8" w:space="0" w:color="B2B2B2"/>
            </w:tcBorders>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Trimestral</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lastRenderedPageBreak/>
        <w:t>Medios de verificación:</w:t>
      </w:r>
    </w:p>
    <w:tbl>
      <w:tblPr>
        <w:tblStyle w:val="Listaclara-nfasis3"/>
        <w:tblW w:w="7228" w:type="dxa"/>
        <w:jc w:val="center"/>
        <w:tblBorders>
          <w:left w:val="none" w:sz="0" w:space="0" w:color="auto"/>
          <w:right w:val="none" w:sz="0" w:space="0" w:color="auto"/>
          <w:insideH w:val="single" w:sz="8" w:space="0" w:color="9BBB59" w:themeColor="accent3"/>
        </w:tblBorders>
        <w:tblLayout w:type="fixed"/>
        <w:tblLook w:val="0420" w:firstRow="1" w:lastRow="0" w:firstColumn="0" w:lastColumn="0" w:noHBand="0" w:noVBand="1"/>
      </w:tblPr>
      <w:tblGrid>
        <w:gridCol w:w="3614"/>
        <w:gridCol w:w="3614"/>
      </w:tblGrid>
      <w:tr w:rsidR="00D1277C" w:rsidRPr="00496472" w:rsidTr="00D1277C">
        <w:trPr>
          <w:cnfStyle w:val="100000000000" w:firstRow="1" w:lastRow="0" w:firstColumn="0" w:lastColumn="0" w:oddVBand="0" w:evenVBand="0" w:oddHBand="0" w:evenHBand="0" w:firstRowFirstColumn="0" w:firstRowLastColumn="0" w:lastRowFirstColumn="0" w:lastRowLastColumn="0"/>
          <w:trHeight w:val="112"/>
          <w:jc w:val="center"/>
        </w:trPr>
        <w:tc>
          <w:tcPr>
            <w:tcW w:w="3614" w:type="dxa"/>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1</w:t>
            </w:r>
          </w:p>
        </w:tc>
        <w:tc>
          <w:tcPr>
            <w:tcW w:w="3614" w:type="dxa"/>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2</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24"/>
          <w:jc w:val="center"/>
        </w:trPr>
        <w:tc>
          <w:tcPr>
            <w:tcW w:w="3614" w:type="dxa"/>
            <w:tcBorders>
              <w:top w:val="none" w:sz="0" w:space="0" w:color="auto"/>
              <w:left w:val="none" w:sz="0" w:space="0" w:color="auto"/>
              <w:bottom w:val="none" w:sz="0" w:space="0" w:color="auto"/>
            </w:tcBorders>
            <w:vAlign w:val="center"/>
          </w:tcPr>
          <w:p w:rsidR="00D1277C" w:rsidRPr="00496472" w:rsidRDefault="00D1277C" w:rsidP="00D1277C">
            <w:pPr>
              <w:jc w:val="center"/>
              <w:rPr>
                <w:rFonts w:ascii="Lato" w:hAnsi="Lato"/>
                <w:b/>
                <w:bCs/>
                <w:i/>
                <w:iCs/>
                <w:sz w:val="2"/>
                <w:szCs w:val="2"/>
              </w:rPr>
            </w:pPr>
          </w:p>
        </w:tc>
        <w:tc>
          <w:tcPr>
            <w:tcW w:w="3614" w:type="dxa"/>
            <w:tcBorders>
              <w:top w:val="none" w:sz="0" w:space="0" w:color="auto"/>
              <w:bottom w:val="none" w:sz="0" w:space="0" w:color="auto"/>
              <w:right w:val="none" w:sz="0" w:space="0" w:color="auto"/>
            </w:tcBorders>
            <w:vAlign w:val="center"/>
          </w:tcPr>
          <w:p w:rsidR="00D1277C" w:rsidRPr="00496472" w:rsidRDefault="00D1277C" w:rsidP="00D1277C">
            <w:pPr>
              <w:jc w:val="center"/>
              <w:rPr>
                <w:rFonts w:ascii="Lato" w:hAnsi="Lato"/>
                <w:b/>
                <w:bCs/>
                <w:i/>
                <w:iCs/>
                <w:sz w:val="2"/>
                <w:szCs w:val="2"/>
              </w:rPr>
            </w:pPr>
          </w:p>
        </w:tc>
      </w:tr>
      <w:tr w:rsidR="00D1277C" w:rsidRPr="00496472" w:rsidTr="00D1277C">
        <w:trPr>
          <w:trHeight w:val="177"/>
          <w:jc w:val="center"/>
        </w:trPr>
        <w:tc>
          <w:tcPr>
            <w:tcW w:w="3614" w:type="dxa"/>
            <w:shd w:val="clear" w:color="auto" w:fill="F2F2F2" w:themeFill="background1" w:themeFillShade="F2"/>
            <w:vAlign w:val="center"/>
            <w:hideMark/>
          </w:tcPr>
          <w:p w:rsidR="00D1277C" w:rsidRPr="00E860C8" w:rsidRDefault="00D1277C" w:rsidP="00D1277C">
            <w:pPr>
              <w:jc w:val="center"/>
              <w:rPr>
                <w:rFonts w:ascii="Lato" w:hAnsi="Lato"/>
                <w:i/>
                <w:sz w:val="16"/>
                <w:szCs w:val="16"/>
              </w:rPr>
            </w:pPr>
            <w:proofErr w:type="spellStart"/>
            <w:r w:rsidRPr="00E860C8">
              <w:rPr>
                <w:rFonts w:ascii="Lato" w:hAnsi="Lato"/>
                <w:b/>
                <w:bCs/>
                <w:i/>
                <w:sz w:val="16"/>
                <w:szCs w:val="16"/>
              </w:rPr>
              <w:t>Maut</w:t>
            </w:r>
            <w:proofErr w:type="spellEnd"/>
            <w:r w:rsidRPr="00E860C8">
              <w:rPr>
                <w:rFonts w:ascii="Lato" w:hAnsi="Lato"/>
                <w:b/>
                <w:bCs/>
                <w:i/>
                <w:sz w:val="16"/>
                <w:szCs w:val="16"/>
              </w:rPr>
              <w:t xml:space="preserve">: </w:t>
            </w:r>
            <w:r w:rsidRPr="00E860C8">
              <w:rPr>
                <w:rFonts w:ascii="Lato" w:hAnsi="Lato"/>
                <w:bCs/>
                <w:i/>
                <w:sz w:val="16"/>
                <w:szCs w:val="16"/>
              </w:rPr>
              <w:t>Monto Autorizado por la Secretaría de Finanzas</w:t>
            </w:r>
          </w:p>
        </w:tc>
        <w:tc>
          <w:tcPr>
            <w:tcW w:w="3614" w:type="dxa"/>
            <w:shd w:val="clear" w:color="auto" w:fill="F2F2F2" w:themeFill="background1" w:themeFillShade="F2"/>
            <w:vAlign w:val="center"/>
            <w:hideMark/>
          </w:tcPr>
          <w:p w:rsidR="00D1277C" w:rsidRPr="00E860C8" w:rsidRDefault="00D1277C" w:rsidP="00D1277C">
            <w:pPr>
              <w:jc w:val="center"/>
              <w:rPr>
                <w:rFonts w:ascii="Lato" w:hAnsi="Lato"/>
                <w:i/>
                <w:sz w:val="16"/>
                <w:szCs w:val="16"/>
              </w:rPr>
            </w:pPr>
            <w:proofErr w:type="spellStart"/>
            <w:r w:rsidRPr="00E860C8">
              <w:rPr>
                <w:rFonts w:ascii="Lato" w:hAnsi="Lato"/>
                <w:b/>
                <w:i/>
                <w:sz w:val="16"/>
                <w:szCs w:val="16"/>
              </w:rPr>
              <w:t>Mtas</w:t>
            </w:r>
            <w:proofErr w:type="spellEnd"/>
            <w:r w:rsidRPr="00E860C8">
              <w:rPr>
                <w:rFonts w:ascii="Lato" w:hAnsi="Lato"/>
                <w:b/>
                <w:i/>
                <w:sz w:val="16"/>
                <w:szCs w:val="16"/>
              </w:rPr>
              <w:t xml:space="preserve">: </w:t>
            </w:r>
            <w:r>
              <w:rPr>
                <w:rFonts w:ascii="Lato" w:hAnsi="Lato"/>
                <w:i/>
                <w:sz w:val="16"/>
                <w:szCs w:val="16"/>
              </w:rPr>
              <w:t>Monto Total Asignado al FISE</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24"/>
          <w:jc w:val="center"/>
        </w:trPr>
        <w:tc>
          <w:tcPr>
            <w:tcW w:w="3614" w:type="dxa"/>
            <w:tcBorders>
              <w:top w:val="none" w:sz="0" w:space="0" w:color="auto"/>
              <w:left w:val="none" w:sz="0" w:space="0" w:color="auto"/>
              <w:bottom w:val="none" w:sz="0" w:space="0" w:color="auto"/>
            </w:tcBorders>
            <w:vAlign w:val="center"/>
          </w:tcPr>
          <w:p w:rsidR="00D1277C" w:rsidRPr="00496472" w:rsidRDefault="00D1277C" w:rsidP="00D1277C">
            <w:pPr>
              <w:jc w:val="center"/>
              <w:rPr>
                <w:rFonts w:ascii="Lato" w:hAnsi="Lato"/>
                <w:sz w:val="4"/>
                <w:szCs w:val="4"/>
              </w:rPr>
            </w:pPr>
          </w:p>
        </w:tc>
        <w:tc>
          <w:tcPr>
            <w:tcW w:w="3614" w:type="dxa"/>
            <w:tcBorders>
              <w:top w:val="none" w:sz="0" w:space="0" w:color="auto"/>
              <w:bottom w:val="none" w:sz="0" w:space="0" w:color="auto"/>
              <w:right w:val="none" w:sz="0" w:space="0" w:color="auto"/>
            </w:tcBorders>
            <w:vAlign w:val="center"/>
          </w:tcPr>
          <w:p w:rsidR="00D1277C" w:rsidRPr="00496472" w:rsidRDefault="00D1277C" w:rsidP="00D1277C">
            <w:pPr>
              <w:jc w:val="center"/>
              <w:rPr>
                <w:rFonts w:ascii="Lato" w:hAnsi="Lato"/>
                <w:sz w:val="4"/>
                <w:szCs w:val="4"/>
              </w:rPr>
            </w:pPr>
          </w:p>
        </w:tc>
      </w:tr>
      <w:tr w:rsidR="00D1277C" w:rsidRPr="00496472" w:rsidTr="00D1277C">
        <w:trPr>
          <w:trHeight w:val="1716"/>
          <w:jc w:val="center"/>
        </w:trPr>
        <w:tc>
          <w:tcPr>
            <w:tcW w:w="3614" w:type="dxa"/>
            <w:vAlign w:val="center"/>
            <w:hideMark/>
          </w:tcPr>
          <w:p w:rsidR="00D1277C" w:rsidRPr="00496472" w:rsidRDefault="00D1277C" w:rsidP="00D1277C">
            <w:pPr>
              <w:spacing w:line="276" w:lineRule="auto"/>
              <w:jc w:val="both"/>
              <w:rPr>
                <w:rFonts w:ascii="Lato" w:hAnsi="Lato"/>
                <w:sz w:val="16"/>
                <w:szCs w:val="16"/>
              </w:rPr>
            </w:pPr>
            <w:r w:rsidRPr="007A4671">
              <w:rPr>
                <w:rFonts w:ascii="Lato" w:hAnsi="Lato"/>
                <w:sz w:val="16"/>
                <w:szCs w:val="16"/>
              </w:rPr>
              <w:t>Formato de Requerimiento de Información para Evaluar, debidamente llenado, rubricado por del servidor público responsable de la información (Coordinador de Administración y Finanzas de la Entidad Fiscalizable) y sello oficial.</w:t>
            </w:r>
          </w:p>
        </w:tc>
        <w:tc>
          <w:tcPr>
            <w:tcW w:w="3614" w:type="dxa"/>
            <w:vAlign w:val="center"/>
            <w:hideMark/>
          </w:tcPr>
          <w:p w:rsidR="00D1277C" w:rsidRPr="00496472" w:rsidRDefault="00D1277C" w:rsidP="00D1277C">
            <w:pPr>
              <w:spacing w:line="276" w:lineRule="auto"/>
              <w:jc w:val="both"/>
              <w:rPr>
                <w:rFonts w:ascii="Lato" w:hAnsi="Lato"/>
                <w:sz w:val="16"/>
                <w:szCs w:val="16"/>
              </w:rPr>
            </w:pPr>
            <w:r w:rsidRPr="007A4671">
              <w:rPr>
                <w:rFonts w:ascii="Lato" w:hAnsi="Lato"/>
                <w:sz w:val="16"/>
                <w:szCs w:val="16"/>
              </w:rPr>
              <w:t>Acuerdo por el que se da a conocer a los Gobiernos de las Entidades Federativas la distribución y calendarización para la ministración de los recursos del Ramo General 33 Aportaciones Federales del ejercicio fiscal correspondiente, publicado en el Diario Oficial de la Federación.</w:t>
            </w:r>
          </w:p>
        </w:tc>
      </w:tr>
    </w:tbl>
    <w:p w:rsidR="00E277DB" w:rsidRPr="00D9679D" w:rsidRDefault="00E277DB" w:rsidP="00E277DB">
      <w:pPr>
        <w:spacing w:after="0" w:line="240" w:lineRule="auto"/>
        <w:rPr>
          <w:rFonts w:ascii="Arial" w:hAnsi="Arial" w:cs="Arial"/>
          <w:sz w:val="8"/>
          <w:szCs w:val="6"/>
        </w:rPr>
      </w:pPr>
    </w:p>
    <w:tbl>
      <w:tblPr>
        <w:tblStyle w:val="Tablaconcuadrcula"/>
        <w:tblW w:w="6479" w:type="dxa"/>
        <w:tblInd w:w="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5695"/>
      </w:tblGrid>
      <w:tr w:rsidR="00E277DB" w:rsidRPr="00AC03A8" w:rsidTr="00E277DB">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5695"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1277C" w:rsidRPr="00D962AE" w:rsidRDefault="00D1277C" w:rsidP="00D1277C">
      <w:pPr>
        <w:spacing w:after="0" w:line="360" w:lineRule="auto"/>
        <w:jc w:val="both"/>
        <w:rPr>
          <w:rFonts w:ascii="Arial" w:hAnsi="Arial" w:cs="Arial"/>
          <w:sz w:val="24"/>
          <w:szCs w:val="24"/>
        </w:rPr>
      </w:pPr>
    </w:p>
    <w:p w:rsidR="00502E2F" w:rsidRDefault="00502E2F"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Default="00353591" w:rsidP="00D1277C">
      <w:pPr>
        <w:spacing w:after="0" w:line="360" w:lineRule="auto"/>
        <w:jc w:val="both"/>
        <w:rPr>
          <w:rFonts w:ascii="Arial" w:hAnsi="Arial" w:cs="Arial"/>
          <w:sz w:val="24"/>
          <w:szCs w:val="24"/>
        </w:rPr>
      </w:pPr>
    </w:p>
    <w:p w:rsidR="00353591" w:rsidRPr="00D962AE" w:rsidRDefault="00353591" w:rsidP="00D1277C">
      <w:pPr>
        <w:spacing w:after="0" w:line="360" w:lineRule="auto"/>
        <w:jc w:val="both"/>
        <w:rPr>
          <w:rFonts w:ascii="Arial" w:hAnsi="Arial" w:cs="Arial"/>
          <w:sz w:val="24"/>
          <w:szCs w:val="24"/>
        </w:rPr>
      </w:pPr>
    </w:p>
    <w:p w:rsidR="00F06ED7" w:rsidRPr="00F06ED7" w:rsidRDefault="00F06ED7" w:rsidP="00F06ED7">
      <w:pPr>
        <w:spacing w:after="0" w:line="360" w:lineRule="auto"/>
        <w:ind w:firstLine="708"/>
        <w:rPr>
          <w:rFonts w:ascii="Arial" w:hAnsi="Arial" w:cs="Arial"/>
          <w:b/>
          <w:sz w:val="24"/>
          <w:szCs w:val="24"/>
        </w:rPr>
      </w:pPr>
      <w:r w:rsidRPr="00F06ED7">
        <w:rPr>
          <w:rFonts w:ascii="Arial" w:hAnsi="Arial" w:cs="Arial"/>
          <w:b/>
          <w:sz w:val="24"/>
          <w:szCs w:val="24"/>
        </w:rPr>
        <w:lastRenderedPageBreak/>
        <w:t>3.3.4 Destino de los recursos</w:t>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 xml:space="preserve">Este apartado consiste en la aplicación de 1 indicador que </w:t>
      </w:r>
      <w:r w:rsidRPr="00D962AE">
        <w:rPr>
          <w:rFonts w:ascii="Arial" w:hAnsi="Arial" w:cs="Arial"/>
          <w:sz w:val="24"/>
          <w:szCs w:val="24"/>
          <w:highlight w:val="white"/>
        </w:rPr>
        <w:t>determina el porcentaje de eficiencia con el que la</w:t>
      </w:r>
      <w:r w:rsidRPr="00D962AE">
        <w:rPr>
          <w:rFonts w:ascii="Arial" w:hAnsi="Arial" w:cs="Arial"/>
          <w:sz w:val="24"/>
          <w:szCs w:val="24"/>
        </w:rPr>
        <w:t xml:space="preserve"> Secretaría de Finanzas</w:t>
      </w:r>
      <w:r w:rsidRPr="00D962AE">
        <w:rPr>
          <w:rFonts w:ascii="Arial" w:hAnsi="Arial" w:cs="Arial"/>
          <w:sz w:val="24"/>
          <w:szCs w:val="24"/>
          <w:highlight w:val="white"/>
        </w:rPr>
        <w:t xml:space="preserve"> destina los recursos del FAFEF al rubro para el cual los tiene comprometidos, </w:t>
      </w:r>
      <w:r w:rsidRPr="00D962AE">
        <w:rPr>
          <w:rFonts w:ascii="Arial" w:hAnsi="Arial" w:cs="Arial"/>
          <w:sz w:val="24"/>
          <w:szCs w:val="24"/>
        </w:rPr>
        <w:t>de conformidad con el artículo sexto puntos 8 y 14 del Decreto Núm. 48 (Gaceta del Gobierno del Estado de México, p.10. 4 de junio del 2004).</w:t>
      </w:r>
    </w:p>
    <w:p w:rsidR="00D1277C" w:rsidRPr="00D962AE" w:rsidRDefault="00D1277C" w:rsidP="00D1277C">
      <w:pPr>
        <w:spacing w:after="0" w:line="360" w:lineRule="auto"/>
        <w:jc w:val="both"/>
        <w:rPr>
          <w:rFonts w:ascii="Arial" w:hAnsi="Arial" w:cs="Arial"/>
          <w:sz w:val="24"/>
          <w:szCs w:val="24"/>
        </w:rPr>
      </w:pPr>
    </w:p>
    <w:p w:rsidR="00D1277C" w:rsidRPr="00D962AE" w:rsidRDefault="00D1277C" w:rsidP="00D1277C">
      <w:pPr>
        <w:spacing w:after="0" w:line="360" w:lineRule="auto"/>
        <w:jc w:val="both"/>
        <w:rPr>
          <w:rFonts w:ascii="Arial" w:hAnsi="Arial" w:cs="Arial"/>
          <w:sz w:val="24"/>
          <w:szCs w:val="24"/>
        </w:rPr>
      </w:pPr>
      <w:r w:rsidRPr="00D962AE">
        <w:rPr>
          <w:rFonts w:ascii="Arial" w:hAnsi="Arial" w:cs="Arial"/>
          <w:sz w:val="24"/>
          <w:szCs w:val="24"/>
        </w:rPr>
        <w:t>Parámetros de evaluación:</w:t>
      </w:r>
    </w:p>
    <w:tbl>
      <w:tblPr>
        <w:tblStyle w:val="Listaclara-nfasis2"/>
        <w:tblW w:w="8788" w:type="dxa"/>
        <w:jc w:val="center"/>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984"/>
        <w:gridCol w:w="1134"/>
        <w:gridCol w:w="1134"/>
        <w:gridCol w:w="1134"/>
        <w:gridCol w:w="1134"/>
        <w:gridCol w:w="1134"/>
        <w:gridCol w:w="1134"/>
      </w:tblGrid>
      <w:tr w:rsidR="00D1277C" w:rsidRPr="008158F5" w:rsidTr="00D1277C">
        <w:trPr>
          <w:cnfStyle w:val="100000000000" w:firstRow="1" w:lastRow="0" w:firstColumn="0" w:lastColumn="0" w:oddVBand="0" w:evenVBand="0" w:oddHBand="0" w:evenHBand="0" w:firstRowFirstColumn="0" w:firstRowLastColumn="0" w:lastRowFirstColumn="0" w:lastRowLastColumn="0"/>
          <w:trHeight w:val="454"/>
          <w:jc w:val="center"/>
        </w:trPr>
        <w:tc>
          <w:tcPr>
            <w:tcW w:w="1984" w:type="dxa"/>
            <w:shd w:val="clear" w:color="auto" w:fill="B2B2B2"/>
            <w:vAlign w:val="center"/>
            <w:hideMark/>
          </w:tcPr>
          <w:p w:rsidR="00D1277C" w:rsidRPr="00084289" w:rsidRDefault="00D1277C" w:rsidP="00D1277C">
            <w:pPr>
              <w:jc w:val="center"/>
              <w:rPr>
                <w:rFonts w:ascii="Lato" w:hAnsi="Lato"/>
                <w:color w:val="auto"/>
                <w:sz w:val="16"/>
                <w:szCs w:val="16"/>
              </w:rPr>
            </w:pPr>
            <w:r w:rsidRPr="00084289">
              <w:rPr>
                <w:rFonts w:ascii="Lato" w:hAnsi="Lato"/>
                <w:bCs w:val="0"/>
                <w:color w:val="auto"/>
                <w:sz w:val="16"/>
                <w:szCs w:val="16"/>
              </w:rPr>
              <w:t>Fondo de Aportaciones</w:t>
            </w:r>
          </w:p>
        </w:tc>
        <w:tc>
          <w:tcPr>
            <w:tcW w:w="1134" w:type="dxa"/>
            <w:shd w:val="clear" w:color="auto" w:fill="00B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Parámetro aceptado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Adecuado</w:t>
            </w:r>
          </w:p>
        </w:tc>
        <w:tc>
          <w:tcPr>
            <w:tcW w:w="1134" w:type="dxa"/>
            <w:shd w:val="clear" w:color="auto" w:fill="92D05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Bueno</w:t>
            </w:r>
          </w:p>
        </w:tc>
        <w:tc>
          <w:tcPr>
            <w:tcW w:w="1134" w:type="dxa"/>
            <w:shd w:val="clear" w:color="auto" w:fill="FFFF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Insuficiente</w:t>
            </w:r>
          </w:p>
        </w:tc>
        <w:tc>
          <w:tcPr>
            <w:tcW w:w="1134" w:type="dxa"/>
            <w:shd w:val="clear" w:color="auto" w:fill="FF0000"/>
            <w:vAlign w:val="center"/>
            <w:hideMark/>
          </w:tcPr>
          <w:p w:rsidR="00D1277C" w:rsidRPr="00084289" w:rsidRDefault="00D1277C" w:rsidP="00D1277C">
            <w:pPr>
              <w:jc w:val="center"/>
              <w:rPr>
                <w:rFonts w:ascii="Lato" w:hAnsi="Lato"/>
                <w:color w:val="auto"/>
                <w:sz w:val="16"/>
                <w:szCs w:val="16"/>
              </w:rPr>
            </w:pPr>
            <w:r w:rsidRPr="00084289">
              <w:rPr>
                <w:rFonts w:ascii="Lato" w:hAnsi="Lato"/>
                <w:color w:val="auto"/>
                <w:sz w:val="16"/>
                <w:szCs w:val="16"/>
              </w:rPr>
              <w:t>Crítico</w:t>
            </w:r>
          </w:p>
        </w:tc>
      </w:tr>
      <w:tr w:rsidR="00D1277C" w:rsidRPr="008158F5"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984" w:type="dxa"/>
            <w:tcBorders>
              <w:top w:val="none" w:sz="0" w:space="0" w:color="auto"/>
              <w:left w:val="none" w:sz="0" w:space="0" w:color="auto"/>
              <w:bottom w:val="none" w:sz="0" w:space="0" w:color="auto"/>
            </w:tcBorders>
            <w:vAlign w:val="center"/>
          </w:tcPr>
          <w:p w:rsidR="00D1277C" w:rsidRPr="00084289" w:rsidRDefault="00D1277C" w:rsidP="00D1277C">
            <w:pPr>
              <w:jc w:val="center"/>
              <w:rPr>
                <w:rFonts w:ascii="Lato" w:hAnsi="Lato"/>
                <w:b/>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tcBorders>
            <w:vAlign w:val="center"/>
          </w:tcPr>
          <w:p w:rsidR="00D1277C" w:rsidRPr="00084289" w:rsidRDefault="00D1277C" w:rsidP="00D1277C">
            <w:pPr>
              <w:jc w:val="center"/>
              <w:rPr>
                <w:rFonts w:ascii="Lato" w:hAnsi="Lato"/>
                <w:sz w:val="6"/>
                <w:szCs w:val="6"/>
              </w:rPr>
            </w:pPr>
          </w:p>
        </w:tc>
        <w:tc>
          <w:tcPr>
            <w:tcW w:w="1134" w:type="dxa"/>
            <w:tcBorders>
              <w:top w:val="none" w:sz="0" w:space="0" w:color="auto"/>
              <w:bottom w:val="none" w:sz="0" w:space="0" w:color="auto"/>
              <w:right w:val="none" w:sz="0" w:space="0" w:color="auto"/>
            </w:tcBorders>
            <w:vAlign w:val="center"/>
          </w:tcPr>
          <w:p w:rsidR="00D1277C" w:rsidRPr="00084289" w:rsidRDefault="00D1277C" w:rsidP="00D1277C">
            <w:pPr>
              <w:jc w:val="center"/>
              <w:rPr>
                <w:rFonts w:ascii="Lato" w:hAnsi="Lato"/>
                <w:sz w:val="6"/>
                <w:szCs w:val="6"/>
              </w:rPr>
            </w:pPr>
          </w:p>
        </w:tc>
      </w:tr>
      <w:tr w:rsidR="00D1277C" w:rsidRPr="008158F5" w:rsidTr="00D1277C">
        <w:trPr>
          <w:trHeight w:val="650"/>
          <w:jc w:val="center"/>
        </w:trPr>
        <w:tc>
          <w:tcPr>
            <w:tcW w:w="1984" w:type="dxa"/>
            <w:vAlign w:val="center"/>
            <w:hideMark/>
          </w:tcPr>
          <w:p w:rsidR="00D1277C" w:rsidRPr="008158F5" w:rsidRDefault="00D1277C" w:rsidP="00D1277C">
            <w:pPr>
              <w:spacing w:line="276" w:lineRule="auto"/>
              <w:jc w:val="center"/>
              <w:rPr>
                <w:rFonts w:ascii="Lato" w:hAnsi="Lato"/>
                <w:b/>
                <w:sz w:val="16"/>
                <w:szCs w:val="16"/>
              </w:rPr>
            </w:pPr>
            <w:r>
              <w:rPr>
                <w:rFonts w:ascii="Lato" w:hAnsi="Lato"/>
                <w:b/>
                <w:sz w:val="16"/>
                <w:szCs w:val="16"/>
              </w:rPr>
              <w:t>FAFEF</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97.01 – 100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99.01 – 100</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98.01 – 99</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97.01 – 98</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90.01 – 97</w:t>
            </w:r>
          </w:p>
        </w:tc>
        <w:tc>
          <w:tcPr>
            <w:tcW w:w="1134" w:type="dxa"/>
            <w:vAlign w:val="center"/>
            <w:hideMark/>
          </w:tcPr>
          <w:p w:rsidR="00D1277C" w:rsidRPr="008158F5" w:rsidRDefault="00D1277C" w:rsidP="00D1277C">
            <w:pPr>
              <w:spacing w:line="276" w:lineRule="auto"/>
              <w:jc w:val="center"/>
              <w:rPr>
                <w:rFonts w:ascii="Lato" w:hAnsi="Lato"/>
                <w:sz w:val="16"/>
                <w:szCs w:val="16"/>
              </w:rPr>
            </w:pPr>
            <w:r>
              <w:rPr>
                <w:rFonts w:ascii="Lato" w:hAnsi="Lato"/>
                <w:sz w:val="16"/>
                <w:szCs w:val="16"/>
              </w:rPr>
              <w:t>0 - 90</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Elaboración del OSFEM.</w:t>
            </w:r>
          </w:p>
        </w:tc>
      </w:tr>
    </w:tbl>
    <w:p w:rsidR="00502E2F" w:rsidRDefault="00502E2F" w:rsidP="00E277DB">
      <w:pPr>
        <w:spacing w:after="0" w:line="360" w:lineRule="auto"/>
        <w:jc w:val="both"/>
        <w:rPr>
          <w:rFonts w:ascii="Arial" w:hAnsi="Arial" w:cs="Arial"/>
          <w:sz w:val="24"/>
          <w:szCs w:val="24"/>
        </w:rPr>
      </w:pPr>
    </w:p>
    <w:p w:rsidR="00B800FA" w:rsidRPr="00B800FA" w:rsidRDefault="00B800FA" w:rsidP="00E277DB">
      <w:pPr>
        <w:spacing w:after="0" w:line="360" w:lineRule="auto"/>
        <w:jc w:val="both"/>
        <w:rPr>
          <w:rFonts w:ascii="Arial" w:hAnsi="Arial" w:cs="Arial"/>
          <w:sz w:val="24"/>
          <w:szCs w:val="24"/>
        </w:rPr>
      </w:pPr>
    </w:p>
    <w:p w:rsidR="00D1277C" w:rsidRPr="00B800FA" w:rsidRDefault="00D1277C" w:rsidP="00D1277C">
      <w:pPr>
        <w:spacing w:after="0" w:line="360" w:lineRule="auto"/>
        <w:jc w:val="both"/>
        <w:rPr>
          <w:rFonts w:ascii="Arial" w:hAnsi="Arial" w:cs="Arial"/>
          <w:sz w:val="24"/>
          <w:szCs w:val="24"/>
        </w:rPr>
      </w:pPr>
      <w:r w:rsidRPr="00B800FA">
        <w:rPr>
          <w:rFonts w:ascii="Arial" w:hAnsi="Arial" w:cs="Arial"/>
          <w:sz w:val="24"/>
          <w:szCs w:val="24"/>
        </w:rPr>
        <w:t>Elementos del indicador:</w:t>
      </w:r>
    </w:p>
    <w:tbl>
      <w:tblPr>
        <w:tblStyle w:val="Listaclara-nfasis3"/>
        <w:tblW w:w="8788" w:type="dxa"/>
        <w:jc w:val="center"/>
        <w:tblInd w:w="408" w:type="dxa"/>
        <w:tblBorders>
          <w:top w:val="single" w:sz="8" w:space="0" w:color="B2B2B2"/>
          <w:left w:val="none" w:sz="0" w:space="0" w:color="auto"/>
          <w:bottom w:val="single" w:sz="8" w:space="0" w:color="B2B2B2"/>
          <w:right w:val="none" w:sz="0" w:space="0" w:color="auto"/>
          <w:insideH w:val="single" w:sz="8" w:space="0" w:color="B2B2B2"/>
        </w:tblBorders>
        <w:tblLook w:val="0420" w:firstRow="1" w:lastRow="0" w:firstColumn="0" w:lastColumn="0" w:noHBand="0" w:noVBand="1"/>
      </w:tblPr>
      <w:tblGrid>
        <w:gridCol w:w="1662"/>
        <w:gridCol w:w="1674"/>
        <w:gridCol w:w="2462"/>
        <w:gridCol w:w="1004"/>
        <w:gridCol w:w="992"/>
        <w:gridCol w:w="994"/>
      </w:tblGrid>
      <w:tr w:rsidR="00D1277C" w:rsidRPr="00122B63" w:rsidTr="00D1277C">
        <w:trPr>
          <w:cnfStyle w:val="100000000000" w:firstRow="1" w:lastRow="0" w:firstColumn="0" w:lastColumn="0" w:oddVBand="0" w:evenVBand="0" w:oddHBand="0" w:evenHBand="0" w:firstRowFirstColumn="0" w:firstRowLastColumn="0" w:lastRowFirstColumn="0" w:lastRowLastColumn="0"/>
          <w:trHeight w:val="460"/>
          <w:jc w:val="center"/>
        </w:trPr>
        <w:tc>
          <w:tcPr>
            <w:tcW w:w="1662" w:type="dxa"/>
            <w:shd w:val="clear" w:color="auto" w:fill="B2B2B2"/>
            <w:vAlign w:val="center"/>
            <w:hideMark/>
          </w:tcPr>
          <w:p w:rsidR="00D1277C" w:rsidRPr="00122B63" w:rsidRDefault="00D1277C" w:rsidP="00D1277C">
            <w:pPr>
              <w:spacing w:line="276" w:lineRule="auto"/>
              <w:ind w:left="52"/>
              <w:jc w:val="center"/>
              <w:rPr>
                <w:rFonts w:ascii="Lato" w:hAnsi="Lato"/>
                <w:sz w:val="16"/>
                <w:szCs w:val="16"/>
              </w:rPr>
            </w:pPr>
            <w:r w:rsidRPr="00122B63">
              <w:rPr>
                <w:rFonts w:ascii="Lato" w:hAnsi="Lato"/>
                <w:sz w:val="16"/>
                <w:szCs w:val="16"/>
              </w:rPr>
              <w:t>Nombre del indicador</w:t>
            </w:r>
          </w:p>
        </w:tc>
        <w:tc>
          <w:tcPr>
            <w:tcW w:w="1674" w:type="dxa"/>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Objetivo</w:t>
            </w:r>
          </w:p>
        </w:tc>
        <w:tc>
          <w:tcPr>
            <w:tcW w:w="2462" w:type="dxa"/>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Fórmula y variables</w:t>
            </w:r>
          </w:p>
        </w:tc>
        <w:tc>
          <w:tcPr>
            <w:tcW w:w="1004" w:type="dxa"/>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Unidad de medida</w:t>
            </w:r>
          </w:p>
        </w:tc>
        <w:tc>
          <w:tcPr>
            <w:tcW w:w="992" w:type="dxa"/>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Dimensión</w:t>
            </w:r>
          </w:p>
        </w:tc>
        <w:tc>
          <w:tcPr>
            <w:tcW w:w="994" w:type="dxa"/>
            <w:shd w:val="clear" w:color="auto" w:fill="B2B2B2"/>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Frecuencia</w:t>
            </w:r>
          </w:p>
        </w:tc>
      </w:tr>
      <w:tr w:rsidR="00D1277C" w:rsidRPr="00122B63" w:rsidTr="00D1277C">
        <w:trPr>
          <w:cnfStyle w:val="000000100000" w:firstRow="0" w:lastRow="0" w:firstColumn="0" w:lastColumn="0" w:oddVBand="0" w:evenVBand="0" w:oddHBand="1" w:evenHBand="0" w:firstRowFirstColumn="0" w:firstRowLastColumn="0" w:lastRowFirstColumn="0" w:lastRowLastColumn="0"/>
          <w:trHeight w:val="57"/>
          <w:jc w:val="center"/>
        </w:trPr>
        <w:tc>
          <w:tcPr>
            <w:tcW w:w="1662" w:type="dxa"/>
            <w:tcBorders>
              <w:top w:val="none" w:sz="0" w:space="0" w:color="auto"/>
              <w:left w:val="none" w:sz="0" w:space="0" w:color="auto"/>
              <w:bottom w:val="none" w:sz="0" w:space="0" w:color="auto"/>
            </w:tcBorders>
            <w:vAlign w:val="center"/>
          </w:tcPr>
          <w:p w:rsidR="00D1277C" w:rsidRPr="008158F5" w:rsidRDefault="00D1277C" w:rsidP="00D1277C">
            <w:pPr>
              <w:jc w:val="center"/>
              <w:rPr>
                <w:rFonts w:ascii="Lato" w:hAnsi="Lato"/>
                <w:sz w:val="4"/>
                <w:szCs w:val="4"/>
              </w:rPr>
            </w:pPr>
          </w:p>
        </w:tc>
        <w:tc>
          <w:tcPr>
            <w:tcW w:w="1674" w:type="dxa"/>
            <w:tcBorders>
              <w:top w:val="none" w:sz="0" w:space="0" w:color="auto"/>
              <w:bottom w:val="none" w:sz="0" w:space="0" w:color="auto"/>
            </w:tcBorders>
            <w:vAlign w:val="center"/>
          </w:tcPr>
          <w:p w:rsidR="00D1277C" w:rsidRPr="008158F5" w:rsidRDefault="00D1277C" w:rsidP="00D1277C">
            <w:pPr>
              <w:jc w:val="center"/>
              <w:rPr>
                <w:rFonts w:ascii="Lato" w:hAnsi="Lato"/>
                <w:sz w:val="4"/>
                <w:szCs w:val="4"/>
              </w:rPr>
            </w:pPr>
          </w:p>
        </w:tc>
        <w:tc>
          <w:tcPr>
            <w:tcW w:w="2462" w:type="dxa"/>
            <w:tcBorders>
              <w:top w:val="none" w:sz="0" w:space="0" w:color="auto"/>
              <w:bottom w:val="none" w:sz="0" w:space="0" w:color="auto"/>
            </w:tcBorders>
            <w:vAlign w:val="center"/>
          </w:tcPr>
          <w:p w:rsidR="00D1277C" w:rsidRPr="008158F5" w:rsidRDefault="00D1277C" w:rsidP="00D1277C">
            <w:pPr>
              <w:jc w:val="center"/>
              <w:rPr>
                <w:rFonts w:ascii="Lato" w:hAnsi="Lato"/>
                <w:b/>
                <w:bCs/>
                <w:sz w:val="4"/>
                <w:szCs w:val="4"/>
              </w:rPr>
            </w:pPr>
          </w:p>
        </w:tc>
        <w:tc>
          <w:tcPr>
            <w:tcW w:w="1004" w:type="dxa"/>
            <w:tcBorders>
              <w:top w:val="none" w:sz="0" w:space="0" w:color="auto"/>
              <w:bottom w:val="none" w:sz="0" w:space="0" w:color="auto"/>
            </w:tcBorders>
            <w:vAlign w:val="center"/>
          </w:tcPr>
          <w:p w:rsidR="00D1277C" w:rsidRPr="008158F5" w:rsidRDefault="00D1277C" w:rsidP="00D1277C">
            <w:pPr>
              <w:jc w:val="center"/>
              <w:rPr>
                <w:rFonts w:ascii="Lato" w:hAnsi="Lato"/>
                <w:sz w:val="4"/>
                <w:szCs w:val="4"/>
              </w:rPr>
            </w:pPr>
          </w:p>
        </w:tc>
        <w:tc>
          <w:tcPr>
            <w:tcW w:w="992" w:type="dxa"/>
            <w:tcBorders>
              <w:top w:val="none" w:sz="0" w:space="0" w:color="auto"/>
              <w:bottom w:val="none" w:sz="0" w:space="0" w:color="auto"/>
            </w:tcBorders>
            <w:vAlign w:val="center"/>
          </w:tcPr>
          <w:p w:rsidR="00D1277C" w:rsidRPr="008158F5" w:rsidRDefault="00D1277C" w:rsidP="00D1277C">
            <w:pPr>
              <w:jc w:val="center"/>
              <w:rPr>
                <w:rFonts w:ascii="Lato" w:hAnsi="Lato"/>
                <w:sz w:val="4"/>
                <w:szCs w:val="4"/>
              </w:rPr>
            </w:pPr>
          </w:p>
        </w:tc>
        <w:tc>
          <w:tcPr>
            <w:tcW w:w="994" w:type="dxa"/>
            <w:tcBorders>
              <w:top w:val="none" w:sz="0" w:space="0" w:color="auto"/>
              <w:bottom w:val="none" w:sz="0" w:space="0" w:color="auto"/>
              <w:right w:val="none" w:sz="0" w:space="0" w:color="auto"/>
            </w:tcBorders>
            <w:vAlign w:val="center"/>
          </w:tcPr>
          <w:p w:rsidR="00D1277C" w:rsidRPr="008158F5" w:rsidRDefault="00D1277C" w:rsidP="00D1277C">
            <w:pPr>
              <w:jc w:val="center"/>
              <w:rPr>
                <w:rFonts w:ascii="Lato" w:hAnsi="Lato"/>
                <w:sz w:val="4"/>
                <w:szCs w:val="4"/>
              </w:rPr>
            </w:pPr>
          </w:p>
        </w:tc>
      </w:tr>
      <w:tr w:rsidR="00D1277C" w:rsidRPr="00122B63" w:rsidTr="00D1277C">
        <w:trPr>
          <w:trHeight w:val="4480"/>
          <w:jc w:val="center"/>
        </w:trPr>
        <w:tc>
          <w:tcPr>
            <w:tcW w:w="1662" w:type="dxa"/>
            <w:vAlign w:val="center"/>
            <w:hideMark/>
          </w:tcPr>
          <w:p w:rsidR="00D1277C" w:rsidRPr="00BC4274" w:rsidRDefault="00D1277C" w:rsidP="00D1277C">
            <w:pPr>
              <w:spacing w:line="276" w:lineRule="auto"/>
              <w:jc w:val="both"/>
              <w:rPr>
                <w:rFonts w:ascii="Lato" w:hAnsi="Lato"/>
                <w:sz w:val="16"/>
                <w:szCs w:val="16"/>
              </w:rPr>
            </w:pPr>
            <w:r w:rsidRPr="00BC4274">
              <w:rPr>
                <w:rFonts w:ascii="Lato" w:hAnsi="Lato"/>
                <w:sz w:val="16"/>
                <w:szCs w:val="16"/>
              </w:rPr>
              <w:t>Eficacia de la Secretaría de Finanzas en la aplicación de los recursos para el saneamiento financiero del Fondo de Aportaciones para el Fortalecimiento de las Entidades Federativas.</w:t>
            </w:r>
          </w:p>
        </w:tc>
        <w:tc>
          <w:tcPr>
            <w:tcW w:w="1674" w:type="dxa"/>
            <w:vAlign w:val="center"/>
            <w:hideMark/>
          </w:tcPr>
          <w:p w:rsidR="00D1277C" w:rsidRPr="00BC4274" w:rsidRDefault="00D1277C" w:rsidP="00D1277C">
            <w:pPr>
              <w:spacing w:line="276" w:lineRule="auto"/>
              <w:jc w:val="both"/>
              <w:rPr>
                <w:rFonts w:ascii="Lato" w:hAnsi="Lato"/>
                <w:sz w:val="16"/>
                <w:szCs w:val="16"/>
              </w:rPr>
            </w:pPr>
            <w:r w:rsidRPr="00BC4274">
              <w:rPr>
                <w:rFonts w:ascii="Lato" w:hAnsi="Lato" w:cs="Arial"/>
                <w:sz w:val="16"/>
                <w:szCs w:val="16"/>
              </w:rPr>
              <w:t>Determinar el porcentaje de eficacia en la administración de los recursos del FAFEF, destinados al saneamiento financiero.</w:t>
            </w:r>
          </w:p>
        </w:tc>
        <w:tc>
          <w:tcPr>
            <w:tcW w:w="2462" w:type="dxa"/>
            <w:vAlign w:val="center"/>
            <w:hideMark/>
          </w:tcPr>
          <w:p w:rsidR="00D1277C" w:rsidRPr="00F90C8F" w:rsidRDefault="00D1277C" w:rsidP="00D1277C">
            <w:pPr>
              <w:jc w:val="center"/>
              <w:rPr>
                <w:rFonts w:ascii="Lato" w:hAnsi="Lato"/>
                <w:b/>
                <w:bCs/>
                <w:sz w:val="16"/>
                <w:szCs w:val="16"/>
              </w:rPr>
            </w:pPr>
            <w:r w:rsidRPr="00F90C8F">
              <w:rPr>
                <w:noProof/>
                <w:lang w:eastAsia="es-MX"/>
              </w:rPr>
              <mc:AlternateContent>
                <mc:Choice Requires="wpg">
                  <w:drawing>
                    <wp:anchor distT="0" distB="0" distL="114300" distR="114300" simplePos="0" relativeHeight="251665408" behindDoc="0" locked="0" layoutInCell="1" allowOverlap="1" wp14:anchorId="3A5F6CE7" wp14:editId="79E1A345">
                      <wp:simplePos x="0" y="0"/>
                      <wp:positionH relativeFrom="column">
                        <wp:posOffset>154940</wp:posOffset>
                      </wp:positionH>
                      <wp:positionV relativeFrom="paragraph">
                        <wp:posOffset>-19050</wp:posOffset>
                      </wp:positionV>
                      <wp:extent cx="1256030" cy="228600"/>
                      <wp:effectExtent l="0" t="0" r="0" b="0"/>
                      <wp:wrapNone/>
                      <wp:docPr id="25" name="1 Grupo"/>
                      <wp:cNvGraphicFramePr/>
                      <a:graphic xmlns:a="http://schemas.openxmlformats.org/drawingml/2006/main">
                        <a:graphicData uri="http://schemas.microsoft.com/office/word/2010/wordprocessingGroup">
                          <wpg:wgp>
                            <wpg:cNvGrpSpPr/>
                            <wpg:grpSpPr>
                              <a:xfrm>
                                <a:off x="0" y="0"/>
                                <a:ext cx="1256030" cy="228600"/>
                                <a:chOff x="0" y="13914"/>
                                <a:chExt cx="1338647" cy="228600"/>
                              </a:xfrm>
                            </wpg:grpSpPr>
                            <wps:wsp>
                              <wps:cNvPr id="28" name="Line 3"/>
                              <wps:cNvCnPr/>
                              <wps:spPr bwMode="auto">
                                <a:xfrm>
                                  <a:off x="0" y="159412"/>
                                  <a:ext cx="912127"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2"/>
                              <wps:cNvSpPr txBox="1">
                                <a:spLocks noChangeArrowheads="1"/>
                              </wps:cNvSpPr>
                              <wps:spPr bwMode="auto">
                                <a:xfrm>
                                  <a:off x="825484" y="13914"/>
                                  <a:ext cx="51316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3B" w:rsidRPr="00F90C8F" w:rsidRDefault="003F643B" w:rsidP="00D1277C">
                                    <w:pPr>
                                      <w:rPr>
                                        <w:rFonts w:ascii="Lato" w:eastAsia="Times New Roman" w:hAnsi="Lato"/>
                                        <w:sz w:val="18"/>
                                        <w:szCs w:val="18"/>
                                      </w:rPr>
                                    </w:pP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12.2pt;margin-top:-1.5pt;width:98.9pt;height:18pt;z-index:251665408;mso-width-relative:margin;mso-height-relative:margin" coordorigin=",139" coordsize="1338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">
                      <v:line id="Line 3" o:spid="_x0000_s1033" style="position:absolute;visibility:visible;mso-wrap-style:square" from="0,1594" to="912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shape id="Text Box 2" o:spid="_x0000_s1034" type="#_x0000_t202" style="position:absolute;left:8254;top:139;width:51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3F643B" w:rsidRPr="00F90C8F" w:rsidRDefault="003F643B" w:rsidP="00D1277C">
                              <w:pPr>
                                <w:rPr>
                                  <w:rFonts w:ascii="Lato" w:eastAsia="Times New Roman" w:hAnsi="Lato"/>
                                  <w:sz w:val="18"/>
                                  <w:szCs w:val="18"/>
                                </w:rPr>
                              </w:pPr>
                            </w:p>
                          </w:txbxContent>
                        </v:textbox>
                      </v:shape>
                    </v:group>
                  </w:pict>
                </mc:Fallback>
              </mc:AlternateContent>
            </w:r>
            <w:proofErr w:type="spellStart"/>
            <w:r>
              <w:rPr>
                <w:rFonts w:ascii="Lato" w:hAnsi="Lato"/>
                <w:b/>
                <w:bCs/>
                <w:sz w:val="16"/>
                <w:szCs w:val="16"/>
              </w:rPr>
              <w:t>Measf</w:t>
            </w:r>
            <w:proofErr w:type="spellEnd"/>
          </w:p>
          <w:p w:rsidR="00D1277C" w:rsidRDefault="00D1277C" w:rsidP="00D1277C">
            <w:pPr>
              <w:spacing w:line="276" w:lineRule="auto"/>
              <w:jc w:val="center"/>
              <w:rPr>
                <w:rFonts w:ascii="Lato" w:hAnsi="Lato"/>
                <w:b/>
                <w:bCs/>
                <w:sz w:val="16"/>
                <w:szCs w:val="16"/>
              </w:rPr>
            </w:pPr>
            <w:r>
              <w:rPr>
                <w:rFonts w:ascii="Lato" w:hAnsi="Lato"/>
                <w:b/>
                <w:bCs/>
                <w:sz w:val="16"/>
                <w:szCs w:val="16"/>
              </w:rPr>
              <w:t>(</w:t>
            </w:r>
            <w:proofErr w:type="spellStart"/>
            <w:r>
              <w:rPr>
                <w:rFonts w:ascii="Lato" w:hAnsi="Lato"/>
                <w:b/>
                <w:bCs/>
                <w:sz w:val="16"/>
                <w:szCs w:val="16"/>
              </w:rPr>
              <w:t>Mtas</w:t>
            </w:r>
            <w:proofErr w:type="spellEnd"/>
            <w:r>
              <w:rPr>
                <w:rFonts w:ascii="Lato" w:hAnsi="Lato"/>
                <w:b/>
                <w:bCs/>
                <w:sz w:val="16"/>
                <w:szCs w:val="16"/>
              </w:rPr>
              <w:t xml:space="preserve"> /12</w:t>
            </w:r>
            <w:r w:rsidRPr="00F90C8F">
              <w:rPr>
                <w:rFonts w:ascii="Lato" w:hAnsi="Lato"/>
                <w:b/>
                <w:bCs/>
                <w:sz w:val="16"/>
                <w:szCs w:val="16"/>
              </w:rPr>
              <w:t xml:space="preserve">) </w:t>
            </w:r>
            <w:proofErr w:type="spellStart"/>
            <w:r w:rsidRPr="00F90C8F">
              <w:rPr>
                <w:rFonts w:ascii="Lato" w:hAnsi="Lato"/>
                <w:b/>
                <w:bCs/>
                <w:sz w:val="16"/>
                <w:szCs w:val="16"/>
              </w:rPr>
              <w:t>Nte</w:t>
            </w:r>
            <w:proofErr w:type="spellEnd"/>
          </w:p>
          <w:p w:rsidR="00D1277C" w:rsidRPr="00122B63" w:rsidRDefault="00D1277C" w:rsidP="00D1277C">
            <w:pPr>
              <w:spacing w:line="276" w:lineRule="auto"/>
              <w:jc w:val="center"/>
              <w:rPr>
                <w:rFonts w:ascii="Lato" w:hAnsi="Lato"/>
                <w:sz w:val="16"/>
                <w:szCs w:val="16"/>
              </w:rPr>
            </w:pPr>
          </w:p>
          <w:p w:rsidR="00D1277C" w:rsidRPr="00896F5B" w:rsidRDefault="00D1277C" w:rsidP="00D1277C">
            <w:pPr>
              <w:spacing w:line="276" w:lineRule="auto"/>
              <w:jc w:val="both"/>
              <w:rPr>
                <w:rFonts w:ascii="Lato" w:hAnsi="Lato"/>
                <w:bCs/>
                <w:sz w:val="16"/>
                <w:szCs w:val="16"/>
              </w:rPr>
            </w:pPr>
            <w:proofErr w:type="spellStart"/>
            <w:r w:rsidRPr="00896F5B">
              <w:rPr>
                <w:rFonts w:ascii="Lato" w:hAnsi="Lato"/>
                <w:b/>
                <w:bCs/>
                <w:sz w:val="16"/>
                <w:szCs w:val="16"/>
              </w:rPr>
              <w:t>Measf</w:t>
            </w:r>
            <w:proofErr w:type="spellEnd"/>
            <w:r w:rsidRPr="00896F5B">
              <w:rPr>
                <w:rFonts w:ascii="Lato" w:hAnsi="Lato"/>
                <w:b/>
                <w:bCs/>
                <w:sz w:val="16"/>
                <w:szCs w:val="16"/>
              </w:rPr>
              <w:t>:</w:t>
            </w:r>
            <w:r>
              <w:rPr>
                <w:rFonts w:ascii="Lato" w:hAnsi="Lato"/>
                <w:bCs/>
                <w:sz w:val="16"/>
                <w:szCs w:val="16"/>
              </w:rPr>
              <w:t xml:space="preserve"> </w:t>
            </w:r>
            <w:r w:rsidRPr="00896F5B">
              <w:rPr>
                <w:rFonts w:ascii="Lato" w:hAnsi="Lato"/>
                <w:bCs/>
                <w:sz w:val="16"/>
                <w:szCs w:val="16"/>
              </w:rPr>
              <w:t>Monto Ejercido Acumulado para Saneamiento Financiero, expresado como amortización para reducción del principal saldo registrado.</w:t>
            </w:r>
          </w:p>
          <w:p w:rsidR="00D1277C" w:rsidRPr="00896F5B" w:rsidRDefault="00D1277C" w:rsidP="00D1277C">
            <w:pPr>
              <w:spacing w:line="276" w:lineRule="auto"/>
              <w:jc w:val="both"/>
              <w:rPr>
                <w:rFonts w:ascii="Lato" w:hAnsi="Lato"/>
                <w:bCs/>
                <w:sz w:val="16"/>
                <w:szCs w:val="16"/>
              </w:rPr>
            </w:pPr>
          </w:p>
          <w:p w:rsidR="00D1277C" w:rsidRPr="00896F5B" w:rsidRDefault="00D1277C" w:rsidP="00D1277C">
            <w:pPr>
              <w:spacing w:line="276" w:lineRule="auto"/>
              <w:jc w:val="both"/>
              <w:rPr>
                <w:rFonts w:ascii="Lato" w:hAnsi="Lato"/>
                <w:sz w:val="16"/>
                <w:szCs w:val="16"/>
              </w:rPr>
            </w:pPr>
            <w:proofErr w:type="spellStart"/>
            <w:r w:rsidRPr="00896F5B">
              <w:rPr>
                <w:rFonts w:ascii="Lato" w:hAnsi="Lato"/>
                <w:b/>
                <w:sz w:val="16"/>
                <w:szCs w:val="16"/>
              </w:rPr>
              <w:t>Mtas</w:t>
            </w:r>
            <w:proofErr w:type="spellEnd"/>
            <w:r w:rsidRPr="00896F5B">
              <w:rPr>
                <w:rFonts w:ascii="Lato" w:hAnsi="Lato"/>
                <w:b/>
                <w:sz w:val="16"/>
                <w:szCs w:val="16"/>
              </w:rPr>
              <w:t>:</w:t>
            </w:r>
            <w:r>
              <w:rPr>
                <w:rFonts w:ascii="Lato" w:hAnsi="Lato"/>
                <w:sz w:val="16"/>
                <w:szCs w:val="16"/>
              </w:rPr>
              <w:t xml:space="preserve"> </w:t>
            </w:r>
            <w:r w:rsidRPr="00896F5B">
              <w:rPr>
                <w:rFonts w:ascii="Lato" w:hAnsi="Lato"/>
                <w:sz w:val="16"/>
                <w:szCs w:val="16"/>
              </w:rPr>
              <w:t>Monto Total Asignado publicado en el acuerdo del ejercicio fiscal correspondiente, en el Diario Oficial de la Federación, para el Ramo General 33 FAFEF.</w:t>
            </w:r>
          </w:p>
          <w:p w:rsidR="00D1277C" w:rsidRPr="00896F5B" w:rsidRDefault="00D1277C" w:rsidP="00D1277C">
            <w:pPr>
              <w:spacing w:line="276" w:lineRule="auto"/>
              <w:jc w:val="both"/>
              <w:rPr>
                <w:rFonts w:ascii="Lato" w:hAnsi="Lato"/>
                <w:sz w:val="16"/>
                <w:szCs w:val="16"/>
              </w:rPr>
            </w:pPr>
          </w:p>
          <w:p w:rsidR="00D1277C" w:rsidRPr="00122B63" w:rsidRDefault="00D1277C" w:rsidP="00D1277C">
            <w:pPr>
              <w:spacing w:line="276" w:lineRule="auto"/>
              <w:jc w:val="both"/>
              <w:rPr>
                <w:rFonts w:ascii="Lato" w:hAnsi="Lato"/>
                <w:sz w:val="16"/>
                <w:szCs w:val="16"/>
              </w:rPr>
            </w:pPr>
            <w:proofErr w:type="spellStart"/>
            <w:r w:rsidRPr="00896F5B">
              <w:rPr>
                <w:rFonts w:ascii="Lato" w:hAnsi="Lato"/>
                <w:b/>
                <w:sz w:val="16"/>
                <w:szCs w:val="16"/>
              </w:rPr>
              <w:t>Nte</w:t>
            </w:r>
            <w:proofErr w:type="spellEnd"/>
            <w:r w:rsidRPr="00896F5B">
              <w:rPr>
                <w:rFonts w:ascii="Lato" w:hAnsi="Lato"/>
                <w:b/>
                <w:sz w:val="16"/>
                <w:szCs w:val="16"/>
              </w:rPr>
              <w:t>:</w:t>
            </w:r>
            <w:r>
              <w:rPr>
                <w:rFonts w:ascii="Lato" w:hAnsi="Lato"/>
                <w:sz w:val="16"/>
                <w:szCs w:val="16"/>
              </w:rPr>
              <w:t xml:space="preserve"> </w:t>
            </w:r>
            <w:r w:rsidRPr="00896F5B">
              <w:rPr>
                <w:rFonts w:ascii="Lato" w:hAnsi="Lato"/>
                <w:sz w:val="16"/>
                <w:szCs w:val="16"/>
              </w:rPr>
              <w:t>Número del Trimestre a Evaluar (3 – Mar., 6 – Jun</w:t>
            </w:r>
            <w:proofErr w:type="gramStart"/>
            <w:r w:rsidRPr="00896F5B">
              <w:rPr>
                <w:rFonts w:ascii="Lato" w:hAnsi="Lato"/>
                <w:sz w:val="16"/>
                <w:szCs w:val="16"/>
              </w:rPr>
              <w:t>, …</w:t>
            </w:r>
            <w:proofErr w:type="gramEnd"/>
            <w:r w:rsidRPr="00896F5B">
              <w:rPr>
                <w:rFonts w:ascii="Lato" w:hAnsi="Lato"/>
                <w:sz w:val="16"/>
                <w:szCs w:val="16"/>
              </w:rPr>
              <w:t>, 12 – Dic).</w:t>
            </w:r>
          </w:p>
        </w:tc>
        <w:tc>
          <w:tcPr>
            <w:tcW w:w="1004" w:type="dxa"/>
            <w:vAlign w:val="center"/>
            <w:hideMark/>
          </w:tcPr>
          <w:p w:rsidR="00D1277C" w:rsidRPr="00122B63" w:rsidRDefault="00D1277C" w:rsidP="00D1277C">
            <w:pPr>
              <w:spacing w:line="276" w:lineRule="auto"/>
              <w:jc w:val="center"/>
              <w:rPr>
                <w:rFonts w:ascii="Lato" w:hAnsi="Lato"/>
                <w:sz w:val="16"/>
                <w:szCs w:val="16"/>
              </w:rPr>
            </w:pPr>
            <w:r>
              <w:rPr>
                <w:rFonts w:ascii="Lato" w:hAnsi="Lato"/>
                <w:sz w:val="16"/>
                <w:szCs w:val="16"/>
              </w:rPr>
              <w:t>Porcentaje</w:t>
            </w:r>
          </w:p>
        </w:tc>
        <w:tc>
          <w:tcPr>
            <w:tcW w:w="992" w:type="dxa"/>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Eficacia</w:t>
            </w:r>
          </w:p>
        </w:tc>
        <w:tc>
          <w:tcPr>
            <w:tcW w:w="994" w:type="dxa"/>
            <w:vAlign w:val="center"/>
            <w:hideMark/>
          </w:tcPr>
          <w:p w:rsidR="00D1277C" w:rsidRPr="00122B63" w:rsidRDefault="00D1277C" w:rsidP="00D1277C">
            <w:pPr>
              <w:spacing w:line="276" w:lineRule="auto"/>
              <w:jc w:val="center"/>
              <w:rPr>
                <w:rFonts w:ascii="Lato" w:hAnsi="Lato"/>
                <w:sz w:val="16"/>
                <w:szCs w:val="16"/>
              </w:rPr>
            </w:pPr>
            <w:r w:rsidRPr="00122B63">
              <w:rPr>
                <w:rFonts w:ascii="Lato" w:hAnsi="Lato"/>
                <w:sz w:val="16"/>
                <w:szCs w:val="16"/>
              </w:rPr>
              <w:t>Trimestral</w:t>
            </w:r>
          </w:p>
        </w:tc>
      </w:tr>
    </w:tbl>
    <w:p w:rsidR="00E277DB" w:rsidRPr="00D9679D" w:rsidRDefault="00E277DB" w:rsidP="00E277DB">
      <w:pPr>
        <w:spacing w:after="0" w:line="240" w:lineRule="auto"/>
        <w:rPr>
          <w:rFonts w:ascii="Arial" w:hAnsi="Arial" w:cs="Arial"/>
          <w:sz w:val="8"/>
          <w:szCs w:val="6"/>
        </w:rPr>
      </w:pPr>
    </w:p>
    <w:tbl>
      <w:tblPr>
        <w:tblStyle w:val="Tablaconcuadrcula"/>
        <w:tblW w:w="8178"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7394"/>
      </w:tblGrid>
      <w:tr w:rsidR="00E277DB" w:rsidRPr="00AC03A8" w:rsidTr="000E1BD6">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7394"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1277C" w:rsidRPr="00AD7FBA" w:rsidRDefault="00D1277C" w:rsidP="00D1277C">
      <w:pPr>
        <w:spacing w:after="0" w:line="360" w:lineRule="auto"/>
        <w:jc w:val="both"/>
        <w:rPr>
          <w:rFonts w:ascii="Arial" w:hAnsi="Arial" w:cs="Arial"/>
          <w:sz w:val="24"/>
          <w:szCs w:val="24"/>
        </w:rPr>
      </w:pPr>
    </w:p>
    <w:p w:rsidR="00AD7FBA" w:rsidRDefault="00AD7FBA" w:rsidP="00D1277C">
      <w:pPr>
        <w:spacing w:after="0" w:line="360" w:lineRule="auto"/>
        <w:jc w:val="both"/>
        <w:rPr>
          <w:rFonts w:ascii="Arial" w:hAnsi="Arial" w:cs="Arial"/>
          <w:sz w:val="24"/>
          <w:szCs w:val="24"/>
        </w:rPr>
      </w:pPr>
    </w:p>
    <w:p w:rsidR="00D1277C" w:rsidRPr="00AD7FBA" w:rsidRDefault="00D1277C" w:rsidP="00D1277C">
      <w:pPr>
        <w:spacing w:after="0" w:line="360" w:lineRule="auto"/>
        <w:jc w:val="both"/>
        <w:rPr>
          <w:rFonts w:ascii="Arial" w:hAnsi="Arial" w:cs="Arial"/>
          <w:sz w:val="24"/>
          <w:szCs w:val="24"/>
        </w:rPr>
      </w:pPr>
      <w:r w:rsidRPr="0038286E">
        <w:rPr>
          <w:rFonts w:ascii="Arial" w:hAnsi="Arial" w:cs="Arial"/>
          <w:sz w:val="24"/>
          <w:szCs w:val="24"/>
        </w:rPr>
        <w:lastRenderedPageBreak/>
        <w:t>Medios de verificación:</w:t>
      </w:r>
    </w:p>
    <w:tbl>
      <w:tblPr>
        <w:tblStyle w:val="Listaclara-nfasis3"/>
        <w:tblW w:w="6614" w:type="dxa"/>
        <w:jc w:val="center"/>
        <w:tblBorders>
          <w:left w:val="none" w:sz="0" w:space="0" w:color="auto"/>
          <w:right w:val="none" w:sz="0" w:space="0" w:color="auto"/>
          <w:insideH w:val="single" w:sz="8" w:space="0" w:color="9BBB59" w:themeColor="accent3"/>
        </w:tblBorders>
        <w:tblLayout w:type="fixed"/>
        <w:tblLook w:val="0420" w:firstRow="1" w:lastRow="0" w:firstColumn="0" w:lastColumn="0" w:noHBand="0" w:noVBand="1"/>
      </w:tblPr>
      <w:tblGrid>
        <w:gridCol w:w="3307"/>
        <w:gridCol w:w="3307"/>
      </w:tblGrid>
      <w:tr w:rsidR="00D1277C" w:rsidRPr="00496472" w:rsidTr="00D1277C">
        <w:trPr>
          <w:cnfStyle w:val="100000000000" w:firstRow="1" w:lastRow="0" w:firstColumn="0" w:lastColumn="0" w:oddVBand="0" w:evenVBand="0" w:oddHBand="0" w:evenHBand="0" w:firstRowFirstColumn="0" w:firstRowLastColumn="0" w:lastRowFirstColumn="0" w:lastRowLastColumn="0"/>
          <w:trHeight w:val="130"/>
          <w:jc w:val="center"/>
        </w:trPr>
        <w:tc>
          <w:tcPr>
            <w:tcW w:w="3307" w:type="dxa"/>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1</w:t>
            </w:r>
          </w:p>
        </w:tc>
        <w:tc>
          <w:tcPr>
            <w:tcW w:w="3307" w:type="dxa"/>
            <w:vAlign w:val="center"/>
            <w:hideMark/>
          </w:tcPr>
          <w:p w:rsidR="00D1277C" w:rsidRPr="00496472" w:rsidRDefault="00D1277C" w:rsidP="00D1277C">
            <w:pPr>
              <w:jc w:val="center"/>
              <w:rPr>
                <w:rFonts w:ascii="Lato" w:hAnsi="Lato"/>
                <w:sz w:val="16"/>
                <w:szCs w:val="16"/>
              </w:rPr>
            </w:pPr>
            <w:r w:rsidRPr="00496472">
              <w:rPr>
                <w:rFonts w:ascii="Lato" w:hAnsi="Lato"/>
                <w:sz w:val="16"/>
                <w:szCs w:val="16"/>
              </w:rPr>
              <w:t>Variable 2</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28"/>
          <w:jc w:val="center"/>
        </w:trPr>
        <w:tc>
          <w:tcPr>
            <w:tcW w:w="3307" w:type="dxa"/>
            <w:tcBorders>
              <w:top w:val="none" w:sz="0" w:space="0" w:color="auto"/>
              <w:left w:val="none" w:sz="0" w:space="0" w:color="auto"/>
              <w:bottom w:val="none" w:sz="0" w:space="0" w:color="auto"/>
            </w:tcBorders>
            <w:vAlign w:val="center"/>
          </w:tcPr>
          <w:p w:rsidR="00D1277C" w:rsidRPr="00496472" w:rsidRDefault="00D1277C" w:rsidP="00D1277C">
            <w:pPr>
              <w:jc w:val="center"/>
              <w:rPr>
                <w:rFonts w:ascii="Lato" w:hAnsi="Lato"/>
                <w:b/>
                <w:bCs/>
                <w:i/>
                <w:iCs/>
                <w:sz w:val="2"/>
                <w:szCs w:val="2"/>
              </w:rPr>
            </w:pPr>
          </w:p>
        </w:tc>
        <w:tc>
          <w:tcPr>
            <w:tcW w:w="3307" w:type="dxa"/>
            <w:tcBorders>
              <w:top w:val="none" w:sz="0" w:space="0" w:color="auto"/>
              <w:bottom w:val="none" w:sz="0" w:space="0" w:color="auto"/>
              <w:right w:val="none" w:sz="0" w:space="0" w:color="auto"/>
            </w:tcBorders>
            <w:vAlign w:val="center"/>
          </w:tcPr>
          <w:p w:rsidR="00D1277C" w:rsidRPr="00496472" w:rsidRDefault="00D1277C" w:rsidP="00D1277C">
            <w:pPr>
              <w:jc w:val="center"/>
              <w:rPr>
                <w:rFonts w:ascii="Lato" w:hAnsi="Lato"/>
                <w:b/>
                <w:bCs/>
                <w:i/>
                <w:iCs/>
                <w:sz w:val="2"/>
                <w:szCs w:val="2"/>
              </w:rPr>
            </w:pPr>
          </w:p>
        </w:tc>
      </w:tr>
      <w:tr w:rsidR="00D1277C" w:rsidRPr="00496472" w:rsidTr="00D1277C">
        <w:trPr>
          <w:trHeight w:val="205"/>
          <w:jc w:val="center"/>
        </w:trPr>
        <w:tc>
          <w:tcPr>
            <w:tcW w:w="3307" w:type="dxa"/>
            <w:shd w:val="clear" w:color="auto" w:fill="F2F2F2" w:themeFill="background1" w:themeFillShade="F2"/>
            <w:vAlign w:val="center"/>
            <w:hideMark/>
          </w:tcPr>
          <w:p w:rsidR="00D1277C" w:rsidRPr="00BD3F1A" w:rsidRDefault="00D1277C" w:rsidP="00D1277C">
            <w:pPr>
              <w:jc w:val="center"/>
              <w:rPr>
                <w:rFonts w:ascii="Lato" w:hAnsi="Lato"/>
                <w:i/>
                <w:sz w:val="16"/>
                <w:szCs w:val="16"/>
              </w:rPr>
            </w:pPr>
            <w:proofErr w:type="spellStart"/>
            <w:r w:rsidRPr="00BD3F1A">
              <w:rPr>
                <w:rFonts w:ascii="Lato" w:hAnsi="Lato"/>
                <w:b/>
                <w:bCs/>
                <w:i/>
                <w:sz w:val="16"/>
                <w:szCs w:val="16"/>
              </w:rPr>
              <w:t>Measf</w:t>
            </w:r>
            <w:proofErr w:type="spellEnd"/>
            <w:r w:rsidRPr="00BD3F1A">
              <w:rPr>
                <w:rFonts w:ascii="Lato" w:hAnsi="Lato"/>
                <w:b/>
                <w:bCs/>
                <w:i/>
                <w:sz w:val="16"/>
                <w:szCs w:val="16"/>
              </w:rPr>
              <w:t>:</w:t>
            </w:r>
            <w:r w:rsidRPr="00BD3F1A">
              <w:rPr>
                <w:rFonts w:ascii="Lato" w:hAnsi="Lato"/>
                <w:bCs/>
                <w:i/>
                <w:sz w:val="16"/>
                <w:szCs w:val="16"/>
              </w:rPr>
              <w:t xml:space="preserve"> Monto Ejercido Acumulado para Saneamiento Financiero</w:t>
            </w:r>
          </w:p>
        </w:tc>
        <w:tc>
          <w:tcPr>
            <w:tcW w:w="3307" w:type="dxa"/>
            <w:shd w:val="clear" w:color="auto" w:fill="F2F2F2" w:themeFill="background1" w:themeFillShade="F2"/>
            <w:vAlign w:val="center"/>
            <w:hideMark/>
          </w:tcPr>
          <w:p w:rsidR="00D1277C" w:rsidRPr="00BD3F1A" w:rsidRDefault="00D1277C" w:rsidP="00D1277C">
            <w:pPr>
              <w:jc w:val="center"/>
              <w:rPr>
                <w:rFonts w:ascii="Lato" w:hAnsi="Lato"/>
                <w:i/>
                <w:sz w:val="16"/>
                <w:szCs w:val="16"/>
              </w:rPr>
            </w:pPr>
            <w:proofErr w:type="spellStart"/>
            <w:r w:rsidRPr="00BD3F1A">
              <w:rPr>
                <w:rFonts w:ascii="Lato" w:hAnsi="Lato"/>
                <w:b/>
                <w:i/>
                <w:sz w:val="16"/>
                <w:szCs w:val="16"/>
              </w:rPr>
              <w:t>Mtas</w:t>
            </w:r>
            <w:proofErr w:type="spellEnd"/>
            <w:r w:rsidRPr="00BD3F1A">
              <w:rPr>
                <w:rFonts w:ascii="Lato" w:hAnsi="Lato"/>
                <w:b/>
                <w:i/>
                <w:sz w:val="16"/>
                <w:szCs w:val="16"/>
              </w:rPr>
              <w:t>:</w:t>
            </w:r>
            <w:r w:rsidRPr="00BD3F1A">
              <w:rPr>
                <w:rFonts w:ascii="Lato" w:hAnsi="Lato"/>
                <w:i/>
                <w:sz w:val="16"/>
                <w:szCs w:val="16"/>
              </w:rPr>
              <w:t xml:space="preserve"> Monto Total Asignad</w:t>
            </w:r>
            <w:r>
              <w:rPr>
                <w:rFonts w:ascii="Lato" w:hAnsi="Lato"/>
                <w:i/>
                <w:sz w:val="16"/>
                <w:szCs w:val="16"/>
              </w:rPr>
              <w:t>o</w:t>
            </w:r>
          </w:p>
        </w:tc>
      </w:tr>
      <w:tr w:rsidR="00D1277C" w:rsidRPr="00496472" w:rsidTr="00D1277C">
        <w:trPr>
          <w:cnfStyle w:val="000000100000" w:firstRow="0" w:lastRow="0" w:firstColumn="0" w:lastColumn="0" w:oddVBand="0" w:evenVBand="0" w:oddHBand="1" w:evenHBand="0" w:firstRowFirstColumn="0" w:firstRowLastColumn="0" w:lastRowFirstColumn="0" w:lastRowLastColumn="0"/>
          <w:trHeight w:val="28"/>
          <w:jc w:val="center"/>
        </w:trPr>
        <w:tc>
          <w:tcPr>
            <w:tcW w:w="3307" w:type="dxa"/>
            <w:tcBorders>
              <w:top w:val="none" w:sz="0" w:space="0" w:color="auto"/>
              <w:left w:val="none" w:sz="0" w:space="0" w:color="auto"/>
              <w:bottom w:val="none" w:sz="0" w:space="0" w:color="auto"/>
            </w:tcBorders>
            <w:vAlign w:val="center"/>
          </w:tcPr>
          <w:p w:rsidR="00D1277C" w:rsidRPr="00496472" w:rsidRDefault="00D1277C" w:rsidP="00D1277C">
            <w:pPr>
              <w:jc w:val="center"/>
              <w:rPr>
                <w:rFonts w:ascii="Lato" w:hAnsi="Lato"/>
                <w:sz w:val="4"/>
                <w:szCs w:val="4"/>
              </w:rPr>
            </w:pPr>
          </w:p>
        </w:tc>
        <w:tc>
          <w:tcPr>
            <w:tcW w:w="3307" w:type="dxa"/>
            <w:tcBorders>
              <w:top w:val="none" w:sz="0" w:space="0" w:color="auto"/>
              <w:bottom w:val="none" w:sz="0" w:space="0" w:color="auto"/>
              <w:right w:val="none" w:sz="0" w:space="0" w:color="auto"/>
            </w:tcBorders>
            <w:vAlign w:val="center"/>
          </w:tcPr>
          <w:p w:rsidR="00D1277C" w:rsidRPr="00496472" w:rsidRDefault="00D1277C" w:rsidP="00D1277C">
            <w:pPr>
              <w:jc w:val="center"/>
              <w:rPr>
                <w:rFonts w:ascii="Lato" w:hAnsi="Lato"/>
                <w:sz w:val="4"/>
                <w:szCs w:val="4"/>
              </w:rPr>
            </w:pPr>
          </w:p>
        </w:tc>
      </w:tr>
      <w:tr w:rsidR="00D1277C" w:rsidRPr="00496472" w:rsidTr="00D1277C">
        <w:trPr>
          <w:trHeight w:val="1707"/>
          <w:jc w:val="center"/>
        </w:trPr>
        <w:tc>
          <w:tcPr>
            <w:tcW w:w="3307" w:type="dxa"/>
            <w:vAlign w:val="center"/>
            <w:hideMark/>
          </w:tcPr>
          <w:p w:rsidR="00D1277C" w:rsidRPr="00496472" w:rsidRDefault="00D1277C" w:rsidP="00D1277C">
            <w:pPr>
              <w:spacing w:line="276" w:lineRule="auto"/>
              <w:jc w:val="both"/>
              <w:rPr>
                <w:rFonts w:ascii="Lato" w:hAnsi="Lato"/>
                <w:sz w:val="16"/>
                <w:szCs w:val="16"/>
              </w:rPr>
            </w:pPr>
            <w:r w:rsidRPr="00BD3F1A">
              <w:rPr>
                <w:rFonts w:ascii="Lato" w:hAnsi="Lato"/>
                <w:sz w:val="16"/>
                <w:szCs w:val="16"/>
              </w:rPr>
              <w:t>Formato de Requerimiento de Información para Evaluar, debidamente llenado, rubricado por del servidor público responsable de la información (Coordinador de Administración y Finanzas de la Entidad Fiscalizable) y sello oficial.</w:t>
            </w:r>
          </w:p>
        </w:tc>
        <w:tc>
          <w:tcPr>
            <w:tcW w:w="3307" w:type="dxa"/>
            <w:vAlign w:val="center"/>
            <w:hideMark/>
          </w:tcPr>
          <w:p w:rsidR="00D1277C" w:rsidRPr="00496472" w:rsidRDefault="00D1277C" w:rsidP="00D1277C">
            <w:pPr>
              <w:spacing w:line="276" w:lineRule="auto"/>
              <w:jc w:val="both"/>
              <w:rPr>
                <w:rFonts w:ascii="Lato" w:hAnsi="Lato"/>
                <w:sz w:val="16"/>
                <w:szCs w:val="16"/>
              </w:rPr>
            </w:pPr>
            <w:r w:rsidRPr="00BD3F1A">
              <w:rPr>
                <w:rFonts w:ascii="Lato" w:hAnsi="Lato"/>
                <w:sz w:val="16"/>
                <w:szCs w:val="16"/>
              </w:rPr>
              <w:t>Acuerdo por el que se da a conocer a los Gobiernos de las Entidades Federativas la distribución y calendarización para la ministración de los recursos del Ramo General 33 Aportaciones Federales del ejercicio fiscal correspondiente, publicado en el Diario Oficial de la Federación.</w:t>
            </w:r>
          </w:p>
        </w:tc>
      </w:tr>
    </w:tbl>
    <w:p w:rsidR="00E277DB" w:rsidRPr="00D9679D" w:rsidRDefault="00E277DB" w:rsidP="00E277DB">
      <w:pPr>
        <w:spacing w:after="0" w:line="240" w:lineRule="auto"/>
        <w:rPr>
          <w:rFonts w:ascii="Arial" w:hAnsi="Arial" w:cs="Arial"/>
          <w:sz w:val="8"/>
          <w:szCs w:val="6"/>
        </w:rPr>
      </w:pPr>
    </w:p>
    <w:tbl>
      <w:tblPr>
        <w:tblStyle w:val="Tablaconcuadrcula"/>
        <w:tblW w:w="4636" w:type="dxa"/>
        <w:tblInd w:w="1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3852"/>
      </w:tblGrid>
      <w:tr w:rsidR="00E277DB" w:rsidRPr="00AC03A8" w:rsidTr="00175C8D">
        <w:trPr>
          <w:trHeight w:val="206"/>
        </w:trPr>
        <w:tc>
          <w:tcPr>
            <w:tcW w:w="784" w:type="dxa"/>
          </w:tcPr>
          <w:p w:rsidR="00E277DB" w:rsidRPr="00AC03A8" w:rsidRDefault="00E277DB" w:rsidP="000E1BD6">
            <w:pPr>
              <w:spacing w:line="240" w:lineRule="auto"/>
              <w:ind w:left="-96" w:right="-250" w:hanging="14"/>
              <w:rPr>
                <w:rFonts w:ascii="Arial" w:hAnsi="Arial" w:cs="Arial"/>
                <w:b/>
                <w:sz w:val="16"/>
                <w:szCs w:val="16"/>
                <w:lang w:val="es-MX"/>
              </w:rPr>
            </w:pPr>
            <w:r w:rsidRPr="00AC03A8">
              <w:rPr>
                <w:rFonts w:ascii="Arial" w:hAnsi="Arial" w:cs="Arial"/>
                <w:b/>
                <w:sz w:val="16"/>
                <w:szCs w:val="16"/>
                <w:lang w:val="es-MX"/>
              </w:rPr>
              <w:t>FUENTE:</w:t>
            </w:r>
          </w:p>
        </w:tc>
        <w:tc>
          <w:tcPr>
            <w:tcW w:w="3852" w:type="dxa"/>
          </w:tcPr>
          <w:p w:rsidR="00E277DB" w:rsidRPr="00AC03A8" w:rsidRDefault="00E277DB" w:rsidP="000E1BD6">
            <w:pPr>
              <w:spacing w:line="240" w:lineRule="auto"/>
              <w:ind w:left="-96" w:right="-94"/>
              <w:rPr>
                <w:rFonts w:ascii="Arial" w:hAnsi="Arial" w:cs="Arial"/>
                <w:sz w:val="16"/>
                <w:szCs w:val="16"/>
                <w:lang w:val="es-MX"/>
              </w:rPr>
            </w:pPr>
            <w:r w:rsidRPr="00AC03A8">
              <w:rPr>
                <w:rFonts w:ascii="Arial" w:hAnsi="Arial" w:cs="Arial"/>
                <w:sz w:val="16"/>
                <w:szCs w:val="16"/>
                <w:lang w:val="es-MX"/>
              </w:rPr>
              <w:t xml:space="preserve">Elaboración </w:t>
            </w:r>
            <w:r w:rsidR="00473EE4">
              <w:rPr>
                <w:rFonts w:ascii="Arial" w:hAnsi="Arial" w:cs="Arial"/>
                <w:sz w:val="16"/>
                <w:szCs w:val="16"/>
                <w:lang w:val="es-MX"/>
              </w:rPr>
              <w:t>propia</w:t>
            </w:r>
            <w:r w:rsidRPr="00AC03A8">
              <w:rPr>
                <w:rFonts w:ascii="Arial" w:hAnsi="Arial" w:cs="Arial"/>
                <w:sz w:val="16"/>
                <w:szCs w:val="16"/>
                <w:lang w:val="es-MX"/>
              </w:rPr>
              <w:t>.</w:t>
            </w:r>
          </w:p>
        </w:tc>
      </w:tr>
    </w:tbl>
    <w:p w:rsidR="00D1277C" w:rsidRPr="0038286E" w:rsidRDefault="00D1277C" w:rsidP="00D1277C">
      <w:pPr>
        <w:spacing w:after="0" w:line="360" w:lineRule="auto"/>
        <w:jc w:val="both"/>
        <w:rPr>
          <w:rFonts w:ascii="Arial" w:hAnsi="Arial" w:cs="Arial"/>
          <w:sz w:val="24"/>
          <w:szCs w:val="24"/>
        </w:rPr>
      </w:pPr>
    </w:p>
    <w:p w:rsidR="00D1277C" w:rsidRPr="0038286E" w:rsidRDefault="00D1277C" w:rsidP="00D1277C">
      <w:pPr>
        <w:spacing w:after="0" w:line="360" w:lineRule="auto"/>
        <w:jc w:val="both"/>
        <w:rPr>
          <w:rFonts w:ascii="Arial" w:hAnsi="Arial" w:cs="Arial"/>
          <w:sz w:val="24"/>
          <w:szCs w:val="24"/>
        </w:rPr>
      </w:pPr>
      <w:r w:rsidRPr="0038286E">
        <w:rPr>
          <w:rFonts w:ascii="Arial" w:hAnsi="Arial" w:cs="Arial"/>
          <w:sz w:val="24"/>
          <w:szCs w:val="24"/>
        </w:rPr>
        <w:t>Los indicadores diseñados por el OSFEM y evaluados a través del SIEP, son alimentados con información mensual solicitada de manera oficial a las distintas dependencias que administran y ejercen los recursos en mención.</w:t>
      </w:r>
    </w:p>
    <w:p w:rsidR="00D1277C" w:rsidRPr="0038286E" w:rsidRDefault="00D1277C"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sz w:val="24"/>
          <w:szCs w:val="24"/>
        </w:rPr>
      </w:pPr>
      <w:r w:rsidRPr="0038286E">
        <w:rPr>
          <w:rFonts w:ascii="Arial" w:hAnsi="Arial" w:cs="Arial"/>
          <w:sz w:val="24"/>
          <w:szCs w:val="24"/>
        </w:rPr>
        <w:t xml:space="preserve">Como resultado de la </w:t>
      </w:r>
      <w:r w:rsidR="006821D6" w:rsidRPr="0038286E">
        <w:rPr>
          <w:rFonts w:ascii="Arial" w:hAnsi="Arial" w:cs="Arial"/>
          <w:sz w:val="24"/>
          <w:szCs w:val="24"/>
        </w:rPr>
        <w:t>F</w:t>
      </w:r>
      <w:r w:rsidRPr="0038286E">
        <w:rPr>
          <w:rFonts w:ascii="Arial" w:hAnsi="Arial" w:cs="Arial"/>
          <w:sz w:val="24"/>
          <w:szCs w:val="24"/>
        </w:rPr>
        <w:t>iscalización del Ramo General 33, la AEEP emite Pliegos de Recomendaciones de Evaluación, de forma trimestral; los cuales son remitidos a las distintas Entidades Fiscalizables para adoptar las recomendaciones indicadas y dar seguimiento a las mismas, con un plazo único de 30 días hábiles contados a partir de que surta efecto la notificación del Pliego.</w:t>
      </w:r>
    </w:p>
    <w:p w:rsidR="0038286E" w:rsidRPr="0038286E" w:rsidRDefault="0038286E" w:rsidP="00D1277C">
      <w:pPr>
        <w:spacing w:after="0" w:line="360" w:lineRule="auto"/>
        <w:jc w:val="both"/>
        <w:rPr>
          <w:rFonts w:ascii="Arial" w:hAnsi="Arial" w:cs="Arial"/>
          <w:sz w:val="24"/>
          <w:szCs w:val="24"/>
        </w:rPr>
      </w:pPr>
    </w:p>
    <w:p w:rsidR="000219CF" w:rsidRPr="0038286E" w:rsidRDefault="00E401E4" w:rsidP="000219CF">
      <w:pPr>
        <w:pStyle w:val="Default"/>
        <w:spacing w:line="360" w:lineRule="auto"/>
        <w:jc w:val="both"/>
        <w:rPr>
          <w:color w:val="auto"/>
        </w:rPr>
      </w:pPr>
      <w:r w:rsidRPr="0038286E">
        <w:rPr>
          <w:color w:val="auto"/>
        </w:rPr>
        <w:t>A</w:t>
      </w:r>
      <w:r w:rsidR="000219CF" w:rsidRPr="0038286E">
        <w:rPr>
          <w:color w:val="auto"/>
        </w:rPr>
        <w:t>l realizar la fiscalización de los recursos federales transferidos al estado (Ramo General 33), a través del Sistema Integral de Evaluación Programática (SIEP), la aplicación de los recursos (que forman parte en la atención médica, infraestructura social, asistencia social, seguridad pública y saneamiento financiero), por parte de las Entidades Ejecutoras ha mejorado en el transcursos de los años, lo anterior lo podemos observar dentro de las gráficas</w:t>
      </w:r>
      <w:r w:rsidR="00371B5E">
        <w:rPr>
          <w:color w:val="auto"/>
        </w:rPr>
        <w:t xml:space="preserve"> 2 a 7</w:t>
      </w:r>
      <w:r w:rsidR="000219CF" w:rsidRPr="0038286E">
        <w:rPr>
          <w:color w:val="auto"/>
        </w:rPr>
        <w:t>.</w:t>
      </w:r>
    </w:p>
    <w:p w:rsidR="000219CF" w:rsidRPr="0038286E" w:rsidRDefault="000219CF" w:rsidP="000219CF">
      <w:pPr>
        <w:pStyle w:val="Default"/>
        <w:spacing w:line="360" w:lineRule="auto"/>
        <w:jc w:val="both"/>
        <w:rPr>
          <w:color w:val="auto"/>
        </w:rPr>
      </w:pPr>
    </w:p>
    <w:p w:rsidR="00371B5E" w:rsidRPr="00371B5E" w:rsidRDefault="00371B5E" w:rsidP="0050647C">
      <w:pPr>
        <w:pStyle w:val="Epgrafe"/>
        <w:keepNext/>
        <w:spacing w:after="0"/>
        <w:jc w:val="center"/>
        <w:rPr>
          <w:rFonts w:ascii="Arial" w:hAnsi="Arial" w:cs="Arial"/>
          <w:color w:val="auto"/>
          <w:sz w:val="24"/>
          <w:szCs w:val="24"/>
        </w:rPr>
      </w:pPr>
      <w:bookmarkStart w:id="12" w:name="_Toc510525570"/>
      <w:r w:rsidRPr="00371B5E">
        <w:rPr>
          <w:rFonts w:ascii="Arial" w:hAnsi="Arial" w:cs="Arial"/>
          <w:color w:val="auto"/>
          <w:sz w:val="24"/>
          <w:szCs w:val="24"/>
        </w:rPr>
        <w:lastRenderedPageBreak/>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2</w:t>
      </w:r>
      <w:bookmarkEnd w:id="12"/>
      <w:r w:rsidRPr="00371B5E">
        <w:rPr>
          <w:rFonts w:ascii="Arial" w:hAnsi="Arial" w:cs="Arial"/>
          <w:color w:val="auto"/>
          <w:sz w:val="24"/>
          <w:szCs w:val="24"/>
        </w:rPr>
        <w:fldChar w:fldCharType="end"/>
      </w:r>
    </w:p>
    <w:p w:rsidR="000219CF" w:rsidRDefault="00737C17" w:rsidP="000219CF">
      <w:pPr>
        <w:pStyle w:val="Default"/>
        <w:jc w:val="center"/>
        <w:rPr>
          <w:color w:val="auto"/>
        </w:rPr>
      </w:pPr>
      <w:r w:rsidRPr="00737C17">
        <w:rPr>
          <w:noProof/>
          <w:lang w:eastAsia="es-MX"/>
        </w:rPr>
        <w:drawing>
          <wp:inline distT="0" distB="0" distL="0" distR="0" wp14:anchorId="60418799" wp14:editId="4CFBEA3F">
            <wp:extent cx="4337050" cy="2787650"/>
            <wp:effectExtent l="0" t="0" r="6350"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A87CC3"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Pr="00E401E4" w:rsidRDefault="000219CF" w:rsidP="000219CF">
      <w:pPr>
        <w:pStyle w:val="Default"/>
        <w:spacing w:line="360" w:lineRule="auto"/>
        <w:jc w:val="both"/>
        <w:rPr>
          <w:color w:val="auto"/>
          <w:sz w:val="22"/>
        </w:rPr>
      </w:pPr>
    </w:p>
    <w:p w:rsidR="00E401E4" w:rsidRPr="00E401E4" w:rsidRDefault="00E401E4" w:rsidP="000219CF">
      <w:pPr>
        <w:pStyle w:val="Default"/>
        <w:spacing w:line="360" w:lineRule="auto"/>
        <w:jc w:val="both"/>
        <w:rPr>
          <w:color w:val="auto"/>
          <w:sz w:val="22"/>
        </w:rPr>
      </w:pPr>
    </w:p>
    <w:p w:rsidR="00371B5E" w:rsidRPr="00371B5E" w:rsidRDefault="00371B5E" w:rsidP="0050647C">
      <w:pPr>
        <w:pStyle w:val="Epgrafe"/>
        <w:keepNext/>
        <w:spacing w:after="0"/>
        <w:jc w:val="center"/>
        <w:rPr>
          <w:rFonts w:ascii="Arial" w:hAnsi="Arial" w:cs="Arial"/>
          <w:color w:val="auto"/>
          <w:sz w:val="24"/>
          <w:szCs w:val="24"/>
        </w:rPr>
      </w:pPr>
      <w:bookmarkStart w:id="13" w:name="_Toc510525571"/>
      <w:r w:rsidRPr="00371B5E">
        <w:rPr>
          <w:rFonts w:ascii="Arial" w:hAnsi="Arial" w:cs="Arial"/>
          <w:color w:val="auto"/>
          <w:sz w:val="24"/>
          <w:szCs w:val="24"/>
        </w:rPr>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3</w:t>
      </w:r>
      <w:bookmarkEnd w:id="13"/>
      <w:r w:rsidRPr="00371B5E">
        <w:rPr>
          <w:rFonts w:ascii="Arial" w:hAnsi="Arial" w:cs="Arial"/>
          <w:color w:val="auto"/>
          <w:sz w:val="24"/>
          <w:szCs w:val="24"/>
        </w:rPr>
        <w:fldChar w:fldCharType="end"/>
      </w:r>
    </w:p>
    <w:p w:rsidR="000219CF" w:rsidRDefault="00C15E1B" w:rsidP="000219CF">
      <w:pPr>
        <w:pStyle w:val="Default"/>
        <w:jc w:val="center"/>
        <w:rPr>
          <w:color w:val="auto"/>
        </w:rPr>
      </w:pPr>
      <w:r w:rsidRPr="00C15E1B">
        <w:rPr>
          <w:noProof/>
          <w:lang w:eastAsia="es-MX"/>
        </w:rPr>
        <w:drawing>
          <wp:inline distT="0" distB="0" distL="0" distR="0" wp14:anchorId="775661C7" wp14:editId="47F208E7">
            <wp:extent cx="4337050" cy="2787650"/>
            <wp:effectExtent l="0" t="0" r="635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824D32"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371B5E" w:rsidRPr="00371B5E" w:rsidRDefault="00371B5E" w:rsidP="0050647C">
      <w:pPr>
        <w:pStyle w:val="Epgrafe"/>
        <w:keepNext/>
        <w:spacing w:after="0"/>
        <w:jc w:val="center"/>
        <w:rPr>
          <w:rFonts w:ascii="Arial" w:hAnsi="Arial" w:cs="Arial"/>
          <w:color w:val="auto"/>
          <w:sz w:val="24"/>
          <w:szCs w:val="24"/>
        </w:rPr>
      </w:pPr>
      <w:bookmarkStart w:id="14" w:name="_Toc510525572"/>
      <w:r w:rsidRPr="00371B5E">
        <w:rPr>
          <w:rFonts w:ascii="Arial" w:hAnsi="Arial" w:cs="Arial"/>
          <w:color w:val="auto"/>
          <w:sz w:val="24"/>
          <w:szCs w:val="24"/>
        </w:rPr>
        <w:lastRenderedPageBreak/>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4</w:t>
      </w:r>
      <w:bookmarkEnd w:id="14"/>
      <w:r w:rsidRPr="00371B5E">
        <w:rPr>
          <w:rFonts w:ascii="Arial" w:hAnsi="Arial" w:cs="Arial"/>
          <w:color w:val="auto"/>
          <w:sz w:val="24"/>
          <w:szCs w:val="24"/>
        </w:rPr>
        <w:fldChar w:fldCharType="end"/>
      </w:r>
    </w:p>
    <w:p w:rsidR="000219CF" w:rsidRDefault="00824D32" w:rsidP="000219CF">
      <w:pPr>
        <w:pStyle w:val="Default"/>
        <w:jc w:val="center"/>
        <w:rPr>
          <w:color w:val="auto"/>
        </w:rPr>
      </w:pPr>
      <w:r w:rsidRPr="00824D32">
        <w:rPr>
          <w:noProof/>
          <w:lang w:eastAsia="es-MX"/>
        </w:rPr>
        <w:drawing>
          <wp:inline distT="0" distB="0" distL="0" distR="0" wp14:anchorId="2B4C5844" wp14:editId="2AE2F415">
            <wp:extent cx="4337050" cy="2787650"/>
            <wp:effectExtent l="0" t="0" r="635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824D32"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371B5E" w:rsidRPr="00371B5E" w:rsidRDefault="00371B5E" w:rsidP="0050647C">
      <w:pPr>
        <w:pStyle w:val="Epgrafe"/>
        <w:keepNext/>
        <w:spacing w:after="0"/>
        <w:jc w:val="center"/>
        <w:rPr>
          <w:rFonts w:ascii="Arial" w:hAnsi="Arial" w:cs="Arial"/>
          <w:color w:val="auto"/>
          <w:sz w:val="24"/>
          <w:szCs w:val="24"/>
        </w:rPr>
      </w:pPr>
      <w:bookmarkStart w:id="15" w:name="_Toc510525573"/>
      <w:r w:rsidRPr="00371B5E">
        <w:rPr>
          <w:rFonts w:ascii="Arial" w:hAnsi="Arial" w:cs="Arial"/>
          <w:color w:val="auto"/>
          <w:sz w:val="24"/>
          <w:szCs w:val="24"/>
        </w:rPr>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5</w:t>
      </w:r>
      <w:bookmarkEnd w:id="15"/>
      <w:r w:rsidRPr="00371B5E">
        <w:rPr>
          <w:rFonts w:ascii="Arial" w:hAnsi="Arial" w:cs="Arial"/>
          <w:color w:val="auto"/>
          <w:sz w:val="24"/>
          <w:szCs w:val="24"/>
        </w:rPr>
        <w:fldChar w:fldCharType="end"/>
      </w:r>
    </w:p>
    <w:p w:rsidR="000219CF" w:rsidRDefault="00D223E4" w:rsidP="000219CF">
      <w:pPr>
        <w:pStyle w:val="Default"/>
        <w:jc w:val="center"/>
        <w:rPr>
          <w:color w:val="auto"/>
        </w:rPr>
      </w:pPr>
      <w:r w:rsidRPr="00D223E4">
        <w:rPr>
          <w:noProof/>
          <w:lang w:eastAsia="es-MX"/>
        </w:rPr>
        <w:drawing>
          <wp:inline distT="0" distB="0" distL="0" distR="0" wp14:anchorId="5FBA9920" wp14:editId="1491561E">
            <wp:extent cx="4337050" cy="2787650"/>
            <wp:effectExtent l="0" t="0" r="635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824D32"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371B5E" w:rsidRPr="00371B5E" w:rsidRDefault="00371B5E" w:rsidP="0050647C">
      <w:pPr>
        <w:pStyle w:val="Epgrafe"/>
        <w:keepNext/>
        <w:spacing w:after="0"/>
        <w:jc w:val="center"/>
        <w:rPr>
          <w:rFonts w:ascii="Arial" w:hAnsi="Arial" w:cs="Arial"/>
          <w:color w:val="auto"/>
          <w:sz w:val="24"/>
          <w:szCs w:val="24"/>
        </w:rPr>
      </w:pPr>
      <w:bookmarkStart w:id="16" w:name="_Toc510525574"/>
      <w:r w:rsidRPr="00371B5E">
        <w:rPr>
          <w:rFonts w:ascii="Arial" w:hAnsi="Arial" w:cs="Arial"/>
          <w:color w:val="auto"/>
          <w:sz w:val="24"/>
          <w:szCs w:val="24"/>
        </w:rPr>
        <w:lastRenderedPageBreak/>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6</w:t>
      </w:r>
      <w:bookmarkEnd w:id="16"/>
      <w:r w:rsidRPr="00371B5E">
        <w:rPr>
          <w:rFonts w:ascii="Arial" w:hAnsi="Arial" w:cs="Arial"/>
          <w:color w:val="auto"/>
          <w:sz w:val="24"/>
          <w:szCs w:val="24"/>
        </w:rPr>
        <w:fldChar w:fldCharType="end"/>
      </w:r>
    </w:p>
    <w:p w:rsidR="000219CF" w:rsidRDefault="00913350" w:rsidP="000219CF">
      <w:pPr>
        <w:pStyle w:val="Default"/>
        <w:jc w:val="center"/>
        <w:rPr>
          <w:color w:val="auto"/>
        </w:rPr>
      </w:pPr>
      <w:r w:rsidRPr="00913350">
        <w:rPr>
          <w:noProof/>
          <w:lang w:eastAsia="es-MX"/>
        </w:rPr>
        <w:drawing>
          <wp:inline distT="0" distB="0" distL="0" distR="0" wp14:anchorId="26A1692F" wp14:editId="194CF0F7">
            <wp:extent cx="4337050" cy="2787650"/>
            <wp:effectExtent l="0" t="0" r="635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824D32"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0219CF" w:rsidRDefault="000219CF" w:rsidP="000219CF">
      <w:pPr>
        <w:pStyle w:val="Default"/>
        <w:spacing w:line="360" w:lineRule="auto"/>
        <w:jc w:val="both"/>
        <w:rPr>
          <w:color w:val="auto"/>
        </w:rPr>
      </w:pPr>
    </w:p>
    <w:p w:rsidR="00371B5E" w:rsidRPr="00371B5E" w:rsidRDefault="00371B5E" w:rsidP="0050647C">
      <w:pPr>
        <w:pStyle w:val="Epgrafe"/>
        <w:keepNext/>
        <w:spacing w:after="0"/>
        <w:jc w:val="center"/>
        <w:rPr>
          <w:rFonts w:ascii="Arial" w:hAnsi="Arial" w:cs="Arial"/>
          <w:color w:val="auto"/>
          <w:sz w:val="24"/>
          <w:szCs w:val="24"/>
        </w:rPr>
      </w:pPr>
      <w:bookmarkStart w:id="17" w:name="_Toc510525575"/>
      <w:r w:rsidRPr="00371B5E">
        <w:rPr>
          <w:rFonts w:ascii="Arial" w:hAnsi="Arial" w:cs="Arial"/>
          <w:color w:val="auto"/>
          <w:sz w:val="24"/>
          <w:szCs w:val="24"/>
        </w:rPr>
        <w:t xml:space="preserve">Gráfica </w:t>
      </w:r>
      <w:r w:rsidRPr="00371B5E">
        <w:rPr>
          <w:rFonts w:ascii="Arial" w:hAnsi="Arial" w:cs="Arial"/>
          <w:color w:val="auto"/>
          <w:sz w:val="24"/>
          <w:szCs w:val="24"/>
        </w:rPr>
        <w:fldChar w:fldCharType="begin"/>
      </w:r>
      <w:r w:rsidRPr="00371B5E">
        <w:rPr>
          <w:rFonts w:ascii="Arial" w:hAnsi="Arial" w:cs="Arial"/>
          <w:color w:val="auto"/>
          <w:sz w:val="24"/>
          <w:szCs w:val="24"/>
        </w:rPr>
        <w:instrText xml:space="preserve"> SEQ Gráfica \* ARABIC </w:instrText>
      </w:r>
      <w:r w:rsidRPr="00371B5E">
        <w:rPr>
          <w:rFonts w:ascii="Arial" w:hAnsi="Arial" w:cs="Arial"/>
          <w:color w:val="auto"/>
          <w:sz w:val="24"/>
          <w:szCs w:val="24"/>
        </w:rPr>
        <w:fldChar w:fldCharType="separate"/>
      </w:r>
      <w:r w:rsidR="004D25BA">
        <w:rPr>
          <w:rFonts w:ascii="Arial" w:hAnsi="Arial" w:cs="Arial"/>
          <w:noProof/>
          <w:color w:val="auto"/>
          <w:sz w:val="24"/>
          <w:szCs w:val="24"/>
        </w:rPr>
        <w:t>7</w:t>
      </w:r>
      <w:bookmarkEnd w:id="17"/>
      <w:r w:rsidRPr="00371B5E">
        <w:rPr>
          <w:rFonts w:ascii="Arial" w:hAnsi="Arial" w:cs="Arial"/>
          <w:color w:val="auto"/>
          <w:sz w:val="24"/>
          <w:szCs w:val="24"/>
        </w:rPr>
        <w:fldChar w:fldCharType="end"/>
      </w:r>
    </w:p>
    <w:p w:rsidR="000219CF" w:rsidRDefault="00C15E1B" w:rsidP="000219CF">
      <w:pPr>
        <w:pStyle w:val="Default"/>
        <w:jc w:val="center"/>
        <w:rPr>
          <w:color w:val="auto"/>
        </w:rPr>
      </w:pPr>
      <w:r w:rsidRPr="00C15E1B">
        <w:rPr>
          <w:noProof/>
          <w:lang w:eastAsia="es-MX"/>
        </w:rPr>
        <w:drawing>
          <wp:inline distT="0" distB="0" distL="0" distR="0" wp14:anchorId="37C4F2BF" wp14:editId="19A15A03">
            <wp:extent cx="4337050" cy="2787650"/>
            <wp:effectExtent l="0" t="0" r="635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0" cy="2787650"/>
                    </a:xfrm>
                    <a:prstGeom prst="rect">
                      <a:avLst/>
                    </a:prstGeom>
                    <a:noFill/>
                    <a:ln>
                      <a:noFill/>
                    </a:ln>
                  </pic:spPr>
                </pic:pic>
              </a:graphicData>
            </a:graphic>
          </wp:inline>
        </w:drawing>
      </w:r>
    </w:p>
    <w:p w:rsidR="000219CF" w:rsidRPr="00332C00" w:rsidRDefault="000219CF" w:rsidP="000219CF">
      <w:pPr>
        <w:pStyle w:val="Default"/>
        <w:ind w:left="1022"/>
        <w:jc w:val="center"/>
        <w:rPr>
          <w:color w:val="auto"/>
          <w:sz w:val="6"/>
          <w:szCs w:val="6"/>
        </w:rPr>
      </w:pPr>
    </w:p>
    <w:p w:rsidR="000219CF" w:rsidRPr="00824D32" w:rsidRDefault="000219CF" w:rsidP="000219CF">
      <w:pPr>
        <w:pStyle w:val="Default"/>
        <w:ind w:left="1022"/>
        <w:jc w:val="both"/>
        <w:rPr>
          <w:color w:val="auto"/>
          <w:sz w:val="16"/>
          <w:szCs w:val="16"/>
        </w:rPr>
      </w:pPr>
      <w:r w:rsidRPr="00DC5045">
        <w:rPr>
          <w:rFonts w:eastAsia="Times New Roman"/>
          <w:b/>
          <w:sz w:val="16"/>
          <w:szCs w:val="16"/>
          <w:lang w:eastAsia="es-MX"/>
        </w:rPr>
        <w:t>FUENTE:</w:t>
      </w:r>
      <w:r w:rsidRPr="00DC5045">
        <w:rPr>
          <w:rFonts w:eastAsia="Times New Roman"/>
          <w:sz w:val="16"/>
          <w:szCs w:val="16"/>
          <w:lang w:eastAsia="es-MX"/>
        </w:rPr>
        <w:t xml:space="preserve"> Elaboración</w:t>
      </w:r>
      <w:r>
        <w:rPr>
          <w:rFonts w:eastAsia="Times New Roman"/>
          <w:sz w:val="16"/>
          <w:szCs w:val="16"/>
          <w:lang w:eastAsia="es-MX"/>
        </w:rPr>
        <w:t xml:space="preserve"> propia, con información del SIEP periodo 2010-2017.</w:t>
      </w:r>
    </w:p>
    <w:p w:rsidR="000219CF" w:rsidRDefault="000219CF" w:rsidP="000219CF">
      <w:pPr>
        <w:pStyle w:val="Default"/>
        <w:spacing w:line="360" w:lineRule="auto"/>
        <w:jc w:val="both"/>
        <w:rPr>
          <w:color w:val="auto"/>
        </w:rPr>
      </w:pPr>
    </w:p>
    <w:p w:rsidR="00353591" w:rsidRPr="0038286E" w:rsidRDefault="00353591" w:rsidP="000219CF">
      <w:pPr>
        <w:pStyle w:val="Default"/>
        <w:spacing w:line="360" w:lineRule="auto"/>
        <w:jc w:val="both"/>
        <w:rPr>
          <w:color w:val="auto"/>
        </w:rPr>
      </w:pPr>
    </w:p>
    <w:p w:rsidR="00FE013E" w:rsidRPr="0038286E" w:rsidRDefault="00FE013E" w:rsidP="000219CF">
      <w:pPr>
        <w:pStyle w:val="Default"/>
        <w:spacing w:line="360" w:lineRule="auto"/>
        <w:jc w:val="both"/>
        <w:rPr>
          <w:color w:val="auto"/>
        </w:rPr>
      </w:pPr>
      <w:r w:rsidRPr="0038286E">
        <w:rPr>
          <w:color w:val="auto"/>
        </w:rPr>
        <w:t xml:space="preserve">Con respecto al ejercicio de los recursos FISE </w:t>
      </w:r>
      <w:r w:rsidR="00824D32" w:rsidRPr="0038286E">
        <w:rPr>
          <w:color w:val="auto"/>
        </w:rPr>
        <w:t>realizado por</w:t>
      </w:r>
      <w:r w:rsidRPr="0038286E">
        <w:rPr>
          <w:color w:val="auto"/>
        </w:rPr>
        <w:t xml:space="preserve"> la Secretaría de Finanzas del Estado, se debe menciona</w:t>
      </w:r>
      <w:r w:rsidR="00824D32" w:rsidRPr="0038286E">
        <w:rPr>
          <w:color w:val="auto"/>
        </w:rPr>
        <w:t xml:space="preserve">r que para el 2017, se muestra </w:t>
      </w:r>
      <w:r w:rsidRPr="0038286E">
        <w:rPr>
          <w:color w:val="auto"/>
        </w:rPr>
        <w:t>l</w:t>
      </w:r>
      <w:r w:rsidR="00824D32" w:rsidRPr="0038286E">
        <w:rPr>
          <w:color w:val="auto"/>
        </w:rPr>
        <w:t>o</w:t>
      </w:r>
      <w:r w:rsidRPr="0038286E">
        <w:rPr>
          <w:color w:val="auto"/>
        </w:rPr>
        <w:t xml:space="preserve"> </w:t>
      </w:r>
      <w:r w:rsidRPr="0038286E">
        <w:rPr>
          <w:color w:val="auto"/>
        </w:rPr>
        <w:lastRenderedPageBreak/>
        <w:t>eje</w:t>
      </w:r>
      <w:r w:rsidR="00824D32" w:rsidRPr="0038286E">
        <w:rPr>
          <w:color w:val="auto"/>
        </w:rPr>
        <w:t>cutado</w:t>
      </w:r>
      <w:r w:rsidRPr="0038286E">
        <w:rPr>
          <w:color w:val="auto"/>
        </w:rPr>
        <w:t xml:space="preserve"> al mes de noviembre, derivado </w:t>
      </w:r>
      <w:r w:rsidR="004E7F82" w:rsidRPr="0038286E">
        <w:rPr>
          <w:color w:val="auto"/>
        </w:rPr>
        <w:t xml:space="preserve">a </w:t>
      </w:r>
      <w:r w:rsidRPr="0038286E">
        <w:rPr>
          <w:color w:val="auto"/>
        </w:rPr>
        <w:t>que su aplicación corresponde a obras de infraestructura, el ejercicio real se observara una vez que se cierr</w:t>
      </w:r>
      <w:r w:rsidR="00F06ED7">
        <w:rPr>
          <w:color w:val="auto"/>
        </w:rPr>
        <w:t>a</w:t>
      </w:r>
      <w:r w:rsidRPr="0038286E">
        <w:rPr>
          <w:color w:val="auto"/>
        </w:rPr>
        <w:t xml:space="preserve"> el ejercicio fiscal correspondiente</w:t>
      </w:r>
      <w:r w:rsidR="00824D32" w:rsidRPr="0038286E">
        <w:rPr>
          <w:color w:val="auto"/>
        </w:rPr>
        <w:t xml:space="preserve">; sin embargo, la fiscalización de los recursos continua hasta </w:t>
      </w:r>
      <w:r w:rsidR="005B1C32" w:rsidRPr="0038286E">
        <w:rPr>
          <w:color w:val="auto"/>
        </w:rPr>
        <w:t>la aplicación del 100 por ciento de los recursos o, en su defecto, el reintegro a la federación de los recursos no aplicados</w:t>
      </w:r>
      <w:r w:rsidRPr="0038286E">
        <w:rPr>
          <w:color w:val="auto"/>
        </w:rPr>
        <w:t>.</w:t>
      </w:r>
    </w:p>
    <w:p w:rsidR="006344F3" w:rsidRPr="0038286E" w:rsidRDefault="006344F3" w:rsidP="000219CF">
      <w:pPr>
        <w:pStyle w:val="Default"/>
        <w:spacing w:line="360" w:lineRule="auto"/>
        <w:jc w:val="both"/>
        <w:rPr>
          <w:color w:val="auto"/>
        </w:rPr>
      </w:pPr>
    </w:p>
    <w:p w:rsidR="000219CF" w:rsidRPr="0038286E" w:rsidRDefault="000219CF" w:rsidP="000219CF">
      <w:pPr>
        <w:pStyle w:val="Default"/>
        <w:spacing w:line="360" w:lineRule="auto"/>
        <w:jc w:val="both"/>
        <w:rPr>
          <w:color w:val="auto"/>
        </w:rPr>
      </w:pPr>
      <w:r w:rsidRPr="0038286E">
        <w:rPr>
          <w:color w:val="auto"/>
        </w:rPr>
        <w:t xml:space="preserve">Es por lo anterior que aun cuando la aplicación de los recursos mejora con el transcurso del tiempo, es necesario llevar a cabo la fiscalización a través de indicadores con parámetros de cumplimiento en los diversos procesos de la administración pública mexiquense (Transferencia, Depósito, Trámite de Autorización, Destino y Ejecución), ya que si este tipo de fiscalización se implementa, se tendría un mayor control, seguimiento y evaluación en el </w:t>
      </w:r>
      <w:r w:rsidRPr="0038286E">
        <w:rPr>
          <w:rFonts w:eastAsia="Times New Roman"/>
        </w:rPr>
        <w:t>qué se hace, qué se logra y cuál es su impacto en el bienestar de la población; con lo cual disminuiría el mal manejo de los recursos y por tanto la corrupción de los servidores públicos que se encuentran inmersos en la administración y aplicación de los mismos.</w:t>
      </w:r>
    </w:p>
    <w:p w:rsidR="000219CF" w:rsidRPr="0038286E" w:rsidRDefault="000219CF" w:rsidP="00D1277C">
      <w:pPr>
        <w:spacing w:after="0" w:line="360" w:lineRule="auto"/>
        <w:jc w:val="both"/>
        <w:rPr>
          <w:rFonts w:ascii="Arial" w:hAnsi="Arial" w:cs="Arial"/>
          <w:sz w:val="24"/>
          <w:szCs w:val="24"/>
        </w:rPr>
      </w:pPr>
    </w:p>
    <w:p w:rsidR="00D1277C" w:rsidRPr="0038286E" w:rsidRDefault="00E401E4" w:rsidP="00D1277C">
      <w:pPr>
        <w:spacing w:after="0" w:line="360" w:lineRule="auto"/>
        <w:jc w:val="both"/>
        <w:rPr>
          <w:rFonts w:ascii="Arial" w:hAnsi="Arial" w:cs="Arial"/>
          <w:sz w:val="24"/>
          <w:szCs w:val="24"/>
        </w:rPr>
      </w:pPr>
      <w:r w:rsidRPr="0038286E">
        <w:rPr>
          <w:rFonts w:ascii="Arial" w:hAnsi="Arial" w:cs="Arial"/>
          <w:sz w:val="24"/>
          <w:szCs w:val="24"/>
        </w:rPr>
        <w:t>Con los resultados arrojados por el SIEP</w:t>
      </w:r>
      <w:r w:rsidR="00D1277C" w:rsidRPr="0038286E">
        <w:rPr>
          <w:rFonts w:ascii="Arial" w:hAnsi="Arial" w:cs="Arial"/>
          <w:sz w:val="24"/>
          <w:szCs w:val="24"/>
        </w:rPr>
        <w:t xml:space="preserve">, </w:t>
      </w:r>
      <w:r w:rsidRPr="0038286E">
        <w:rPr>
          <w:rFonts w:ascii="Arial" w:hAnsi="Arial" w:cs="Arial"/>
          <w:sz w:val="24"/>
          <w:szCs w:val="24"/>
        </w:rPr>
        <w:t xml:space="preserve">se </w:t>
      </w:r>
      <w:r w:rsidR="00D1277C" w:rsidRPr="0038286E">
        <w:rPr>
          <w:rFonts w:ascii="Arial" w:hAnsi="Arial" w:cs="Arial"/>
          <w:sz w:val="24"/>
          <w:szCs w:val="24"/>
        </w:rPr>
        <w:t>elabora el “Informe de Resultados de la Evaluación de Fondos de Aportaciones Federales al Estado de México”, documento que se abordara en el siguiente punto.</w:t>
      </w:r>
    </w:p>
    <w:p w:rsidR="00D1277C" w:rsidRPr="0038286E" w:rsidRDefault="00D1277C" w:rsidP="00D1277C">
      <w:pPr>
        <w:spacing w:after="0" w:line="360" w:lineRule="auto"/>
        <w:jc w:val="both"/>
        <w:rPr>
          <w:rFonts w:ascii="Arial" w:hAnsi="Arial" w:cs="Arial"/>
          <w:sz w:val="24"/>
          <w:szCs w:val="24"/>
        </w:rPr>
      </w:pPr>
    </w:p>
    <w:p w:rsidR="00D1277C" w:rsidRDefault="00D1277C"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50647C" w:rsidRDefault="0050647C"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38286E" w:rsidRDefault="0038286E" w:rsidP="00D1277C">
      <w:pPr>
        <w:spacing w:after="0" w:line="360" w:lineRule="auto"/>
        <w:jc w:val="both"/>
        <w:rPr>
          <w:rFonts w:ascii="Arial" w:hAnsi="Arial" w:cs="Arial"/>
          <w:sz w:val="24"/>
          <w:szCs w:val="24"/>
        </w:rPr>
      </w:pPr>
    </w:p>
    <w:p w:rsidR="00D1277C" w:rsidRPr="0038286E" w:rsidRDefault="00D1277C" w:rsidP="00F06ED7">
      <w:pPr>
        <w:spacing w:after="0" w:line="360" w:lineRule="auto"/>
        <w:ind w:left="725" w:hanging="714"/>
        <w:rPr>
          <w:rFonts w:ascii="Arial" w:eastAsia="Times New Roman" w:hAnsi="Arial" w:cs="Arial"/>
          <w:b/>
          <w:color w:val="000000"/>
          <w:sz w:val="24"/>
          <w:szCs w:val="24"/>
        </w:rPr>
      </w:pPr>
      <w:r w:rsidRPr="0038286E">
        <w:rPr>
          <w:rFonts w:ascii="Arial" w:eastAsia="Times New Roman" w:hAnsi="Arial" w:cs="Arial"/>
          <w:b/>
          <w:color w:val="000000"/>
          <w:sz w:val="24"/>
          <w:szCs w:val="24"/>
        </w:rPr>
        <w:lastRenderedPageBreak/>
        <w:t>3.4</w:t>
      </w:r>
      <w:r w:rsidRPr="0038286E">
        <w:rPr>
          <w:rFonts w:ascii="Arial" w:eastAsia="Times New Roman" w:hAnsi="Arial" w:cs="Arial"/>
          <w:b/>
          <w:color w:val="000000"/>
          <w:sz w:val="24"/>
          <w:szCs w:val="24"/>
        </w:rPr>
        <w:tab/>
        <w:t>Informe de Resultados de la Evaluación de Fondos de Aportaciones Federales al Estado de México</w:t>
      </w:r>
      <w:r w:rsidR="006821D6" w:rsidRPr="0038286E">
        <w:rPr>
          <w:rFonts w:ascii="Arial" w:eastAsia="Times New Roman" w:hAnsi="Arial" w:cs="Arial"/>
          <w:b/>
          <w:color w:val="000000"/>
          <w:sz w:val="24"/>
          <w:szCs w:val="24"/>
        </w:rPr>
        <w:t>.</w:t>
      </w:r>
    </w:p>
    <w:p w:rsidR="00D1277C" w:rsidRPr="0038286E" w:rsidRDefault="00D1277C" w:rsidP="00D1277C">
      <w:pPr>
        <w:spacing w:after="0" w:line="360" w:lineRule="auto"/>
        <w:jc w:val="both"/>
        <w:rPr>
          <w:rFonts w:ascii="Arial" w:hAnsi="Arial" w:cs="Arial"/>
          <w:sz w:val="24"/>
          <w:szCs w:val="24"/>
        </w:rPr>
      </w:pPr>
    </w:p>
    <w:p w:rsidR="00D1277C" w:rsidRPr="0038286E" w:rsidRDefault="00D1277C" w:rsidP="00D1277C">
      <w:pPr>
        <w:spacing w:after="0" w:line="360" w:lineRule="auto"/>
        <w:jc w:val="both"/>
        <w:rPr>
          <w:rFonts w:ascii="Arial" w:hAnsi="Arial" w:cs="Arial"/>
          <w:sz w:val="24"/>
          <w:szCs w:val="24"/>
        </w:rPr>
      </w:pPr>
      <w:r w:rsidRPr="0038286E">
        <w:rPr>
          <w:rFonts w:ascii="Arial" w:hAnsi="Arial" w:cs="Arial"/>
          <w:sz w:val="24"/>
          <w:szCs w:val="24"/>
        </w:rPr>
        <w:t>En el marco del Convenio de Coordinación y Colaboración para la Fiscalización de los Recursos Públicos Federales Transferidos para su Administración, Ejercicio y Aplicación al Gobierno del Estado Libre y Soberano de México, firmado el 19 de noviembre del 2014 entre la Auditoría Superior de la Federación y el Órgano Superior de Fiscalización del Estado de México, así como para dar cumplimiento a lo establecido en el Programa Anual de Metas (PAM); la AEEP, a través de la SEPF (específicamente el Departamento de Auditoría de Desempeño a Educación y Cultura), realiza de forma permanente y en periodos trimestrales (enero-marzo, abril-junio, julio-septiembre y octubre-diciembre) el “Informe de Resultados de la Evaluación de Fondos de Aportaciones Federales al Estado de México”.</w:t>
      </w:r>
    </w:p>
    <w:p w:rsidR="00D1277C" w:rsidRPr="0038286E" w:rsidRDefault="00D1277C" w:rsidP="00D1277C">
      <w:pPr>
        <w:spacing w:after="0" w:line="360" w:lineRule="auto"/>
        <w:jc w:val="both"/>
        <w:rPr>
          <w:rFonts w:ascii="Arial" w:hAnsi="Arial" w:cs="Arial"/>
          <w:sz w:val="24"/>
          <w:szCs w:val="24"/>
        </w:rPr>
      </w:pPr>
    </w:p>
    <w:p w:rsidR="00D1277C" w:rsidRPr="0038286E" w:rsidRDefault="00D1277C" w:rsidP="00D1277C">
      <w:pPr>
        <w:spacing w:after="0" w:line="360" w:lineRule="auto"/>
        <w:jc w:val="both"/>
        <w:rPr>
          <w:rFonts w:ascii="Arial" w:hAnsi="Arial" w:cs="Arial"/>
          <w:sz w:val="24"/>
          <w:szCs w:val="24"/>
        </w:rPr>
      </w:pPr>
      <w:r w:rsidRPr="0038286E">
        <w:rPr>
          <w:rFonts w:ascii="Arial" w:hAnsi="Arial" w:cs="Arial"/>
          <w:sz w:val="24"/>
          <w:szCs w:val="24"/>
        </w:rPr>
        <w:t>El alcance del informe se centra en los recursos ministrados, por parte de la SHCP al GEM a través del Ramo General 33; no olvidemos que los recursos que son fiscalizados por parte de la SEPF en el informe, corresponden a un trimestre del año fiscal en curso, el cual está siendo evaluado.</w:t>
      </w:r>
    </w:p>
    <w:p w:rsidR="00D1277C" w:rsidRPr="0038286E" w:rsidRDefault="00D1277C" w:rsidP="00D1277C">
      <w:pPr>
        <w:spacing w:after="0" w:line="360" w:lineRule="auto"/>
        <w:jc w:val="both"/>
        <w:rPr>
          <w:rFonts w:ascii="Arial" w:hAnsi="Arial" w:cs="Arial"/>
          <w:sz w:val="24"/>
          <w:szCs w:val="24"/>
        </w:rPr>
      </w:pPr>
    </w:p>
    <w:p w:rsidR="00956BCF" w:rsidRPr="0038286E" w:rsidRDefault="00D1277C" w:rsidP="00956BCF">
      <w:pPr>
        <w:spacing w:after="0" w:line="360" w:lineRule="auto"/>
        <w:jc w:val="both"/>
        <w:rPr>
          <w:rFonts w:ascii="Arial" w:hAnsi="Arial" w:cs="Arial"/>
          <w:sz w:val="24"/>
          <w:szCs w:val="24"/>
        </w:rPr>
      </w:pPr>
      <w:r w:rsidRPr="0038286E">
        <w:rPr>
          <w:rFonts w:ascii="Arial" w:hAnsi="Arial" w:cs="Arial"/>
          <w:sz w:val="24"/>
          <w:szCs w:val="24"/>
        </w:rPr>
        <w:t>El informe presenta una sola limitante, esta corresponde a</w:t>
      </w:r>
      <w:r w:rsidRPr="0038286E">
        <w:rPr>
          <w:rFonts w:ascii="Arial" w:hAnsi="Arial" w:cs="Arial"/>
          <w:sz w:val="24"/>
          <w:szCs w:val="24"/>
          <w:highlight w:val="white"/>
        </w:rPr>
        <w:t xml:space="preserve"> las Entidades Fiscalizables y se suscita cuando no envían la información en tiempo y forma para su evaluación; lo que repercute en el retraso en la elaboración, revisión y autorización.</w:t>
      </w:r>
    </w:p>
    <w:p w:rsidR="00956BCF" w:rsidRPr="0038286E" w:rsidRDefault="00956BCF" w:rsidP="00956BCF">
      <w:pPr>
        <w:spacing w:after="0" w:line="360" w:lineRule="auto"/>
        <w:jc w:val="both"/>
        <w:rPr>
          <w:rFonts w:ascii="Arial" w:hAnsi="Arial" w:cs="Arial"/>
          <w:sz w:val="24"/>
          <w:szCs w:val="24"/>
        </w:rPr>
      </w:pPr>
    </w:p>
    <w:p w:rsidR="004D3A4A" w:rsidRPr="0038286E" w:rsidRDefault="00D1277C" w:rsidP="00956BCF">
      <w:pPr>
        <w:spacing w:after="0" w:line="360" w:lineRule="auto"/>
        <w:jc w:val="both"/>
        <w:rPr>
          <w:rFonts w:ascii="Arial" w:hAnsi="Arial" w:cs="Arial"/>
          <w:sz w:val="24"/>
          <w:szCs w:val="24"/>
        </w:rPr>
      </w:pPr>
      <w:r w:rsidRPr="0038286E">
        <w:rPr>
          <w:rFonts w:ascii="Arial" w:hAnsi="Arial" w:cs="Arial"/>
          <w:sz w:val="24"/>
          <w:szCs w:val="24"/>
        </w:rPr>
        <w:t xml:space="preserve">El </w:t>
      </w:r>
      <w:r w:rsidR="00CF0343" w:rsidRPr="0038286E">
        <w:rPr>
          <w:rFonts w:ascii="Arial" w:hAnsi="Arial" w:cs="Arial"/>
          <w:sz w:val="24"/>
          <w:szCs w:val="24"/>
        </w:rPr>
        <w:t>documento</w:t>
      </w:r>
      <w:r w:rsidRPr="0038286E">
        <w:rPr>
          <w:rFonts w:ascii="Arial" w:hAnsi="Arial" w:cs="Arial"/>
          <w:sz w:val="24"/>
          <w:szCs w:val="24"/>
        </w:rPr>
        <w:t xml:space="preserve"> tiene </w:t>
      </w:r>
      <w:r w:rsidR="00CF0343" w:rsidRPr="0038286E">
        <w:rPr>
          <w:rFonts w:ascii="Arial" w:hAnsi="Arial" w:cs="Arial"/>
          <w:sz w:val="24"/>
          <w:szCs w:val="24"/>
        </w:rPr>
        <w:t xml:space="preserve">como </w:t>
      </w:r>
      <w:r w:rsidRPr="0038286E">
        <w:rPr>
          <w:rFonts w:ascii="Arial" w:hAnsi="Arial" w:cs="Arial"/>
          <w:sz w:val="24"/>
          <w:szCs w:val="24"/>
        </w:rPr>
        <w:t>objetivo</w:t>
      </w:r>
      <w:r w:rsidR="00956BCF" w:rsidRPr="0038286E">
        <w:rPr>
          <w:rFonts w:ascii="Arial" w:hAnsi="Arial" w:cs="Arial"/>
          <w:sz w:val="24"/>
          <w:szCs w:val="24"/>
        </w:rPr>
        <w:t xml:space="preserve"> </w:t>
      </w:r>
      <w:r w:rsidR="004D3A4A" w:rsidRPr="0038286E">
        <w:rPr>
          <w:rFonts w:ascii="Arial" w:hAnsi="Arial" w:cs="Arial"/>
          <w:sz w:val="24"/>
          <w:szCs w:val="24"/>
        </w:rPr>
        <w:t xml:space="preserve">observar la eficacia y eficiencia con la cual el área responsable </w:t>
      </w:r>
      <w:r w:rsidR="00956BCF" w:rsidRPr="0038286E">
        <w:rPr>
          <w:rFonts w:ascii="Arial" w:hAnsi="Arial" w:cs="Arial"/>
          <w:sz w:val="24"/>
          <w:szCs w:val="24"/>
        </w:rPr>
        <w:t>entrega oportuna</w:t>
      </w:r>
      <w:r w:rsidR="004D3A4A" w:rsidRPr="0038286E">
        <w:rPr>
          <w:rFonts w:ascii="Arial" w:hAnsi="Arial" w:cs="Arial"/>
          <w:sz w:val="24"/>
          <w:szCs w:val="24"/>
        </w:rPr>
        <w:t>mente</w:t>
      </w:r>
      <w:r w:rsidR="00956BCF" w:rsidRPr="0038286E">
        <w:rPr>
          <w:rFonts w:ascii="Arial" w:hAnsi="Arial" w:cs="Arial"/>
          <w:sz w:val="24"/>
          <w:szCs w:val="24"/>
        </w:rPr>
        <w:t xml:space="preserve"> los recursos (en tiempo y forma) y </w:t>
      </w:r>
      <w:r w:rsidR="004C0406" w:rsidRPr="0038286E">
        <w:rPr>
          <w:rFonts w:ascii="Arial" w:hAnsi="Arial" w:cs="Arial"/>
          <w:sz w:val="24"/>
          <w:szCs w:val="24"/>
        </w:rPr>
        <w:t>en</w:t>
      </w:r>
      <w:r w:rsidR="00956BCF" w:rsidRPr="0038286E">
        <w:rPr>
          <w:rFonts w:ascii="Arial" w:hAnsi="Arial" w:cs="Arial"/>
          <w:sz w:val="24"/>
          <w:szCs w:val="24"/>
        </w:rPr>
        <w:t xml:space="preserve"> </w:t>
      </w:r>
      <w:r w:rsidR="004C0406" w:rsidRPr="0038286E">
        <w:rPr>
          <w:rFonts w:ascii="Arial" w:hAnsi="Arial" w:cs="Arial"/>
          <w:sz w:val="24"/>
          <w:szCs w:val="24"/>
        </w:rPr>
        <w:t>la</w:t>
      </w:r>
      <w:r w:rsidR="00956BCF" w:rsidRPr="0038286E">
        <w:rPr>
          <w:rFonts w:ascii="Arial" w:hAnsi="Arial" w:cs="Arial"/>
          <w:sz w:val="24"/>
          <w:szCs w:val="24"/>
        </w:rPr>
        <w:t xml:space="preserve"> aplicación de los mismos por parte de los ejecutores; así como mostrar los </w:t>
      </w:r>
      <w:r w:rsidR="00CC0325" w:rsidRPr="0038286E">
        <w:rPr>
          <w:rFonts w:ascii="Arial" w:hAnsi="Arial" w:cs="Arial"/>
          <w:sz w:val="24"/>
          <w:szCs w:val="24"/>
        </w:rPr>
        <w:t>focos de atención en la administración y</w:t>
      </w:r>
      <w:r w:rsidR="00956BCF" w:rsidRPr="0038286E">
        <w:rPr>
          <w:rFonts w:ascii="Arial" w:hAnsi="Arial" w:cs="Arial"/>
          <w:sz w:val="24"/>
          <w:szCs w:val="24"/>
        </w:rPr>
        <w:t xml:space="preserve"> en las</w:t>
      </w:r>
      <w:r w:rsidR="00CC0325" w:rsidRPr="0038286E">
        <w:rPr>
          <w:rFonts w:ascii="Arial" w:hAnsi="Arial" w:cs="Arial"/>
          <w:sz w:val="24"/>
          <w:szCs w:val="24"/>
        </w:rPr>
        <w:t xml:space="preserve"> actividades institucionales</w:t>
      </w:r>
      <w:r w:rsidR="004D3A4A" w:rsidRPr="0038286E">
        <w:rPr>
          <w:rFonts w:ascii="Arial" w:hAnsi="Arial" w:cs="Arial"/>
          <w:sz w:val="24"/>
          <w:szCs w:val="24"/>
        </w:rPr>
        <w:t xml:space="preserve"> con respecto a la ejecución de los fondos</w:t>
      </w:r>
      <w:r w:rsidR="00956BCF" w:rsidRPr="0038286E">
        <w:rPr>
          <w:rFonts w:ascii="Arial" w:hAnsi="Arial" w:cs="Arial"/>
          <w:sz w:val="24"/>
          <w:szCs w:val="24"/>
        </w:rPr>
        <w:t>.</w:t>
      </w:r>
      <w:r w:rsidR="004C0406" w:rsidRPr="0038286E">
        <w:rPr>
          <w:rFonts w:ascii="Arial" w:hAnsi="Arial" w:cs="Arial"/>
          <w:sz w:val="24"/>
          <w:szCs w:val="24"/>
        </w:rPr>
        <w:t xml:space="preserve"> </w:t>
      </w:r>
    </w:p>
    <w:p w:rsidR="004D3A4A" w:rsidRPr="0038286E" w:rsidRDefault="004D3A4A" w:rsidP="00956BCF">
      <w:pPr>
        <w:spacing w:after="0" w:line="360" w:lineRule="auto"/>
        <w:jc w:val="both"/>
        <w:rPr>
          <w:rFonts w:ascii="Arial" w:hAnsi="Arial" w:cs="Arial"/>
          <w:sz w:val="24"/>
          <w:szCs w:val="24"/>
        </w:rPr>
      </w:pPr>
    </w:p>
    <w:p w:rsidR="00D1277C" w:rsidRPr="0038286E" w:rsidRDefault="006D2FEF" w:rsidP="00D1277C">
      <w:pPr>
        <w:spacing w:after="0" w:line="360" w:lineRule="auto"/>
        <w:jc w:val="both"/>
        <w:rPr>
          <w:rFonts w:ascii="Arial" w:hAnsi="Arial" w:cs="Arial"/>
          <w:sz w:val="24"/>
          <w:szCs w:val="24"/>
        </w:rPr>
      </w:pPr>
      <w:r w:rsidRPr="0038286E">
        <w:rPr>
          <w:rFonts w:ascii="Arial" w:hAnsi="Arial" w:cs="Arial"/>
          <w:sz w:val="24"/>
          <w:szCs w:val="24"/>
        </w:rPr>
        <w:lastRenderedPageBreak/>
        <w:t>C</w:t>
      </w:r>
      <w:r w:rsidR="00F80829" w:rsidRPr="0038286E">
        <w:rPr>
          <w:rFonts w:ascii="Arial" w:hAnsi="Arial" w:cs="Arial"/>
          <w:sz w:val="24"/>
          <w:szCs w:val="24"/>
        </w:rPr>
        <w:t>on</w:t>
      </w:r>
      <w:r w:rsidR="004C0406" w:rsidRPr="0038286E">
        <w:rPr>
          <w:rFonts w:ascii="Arial" w:hAnsi="Arial" w:cs="Arial"/>
          <w:sz w:val="24"/>
          <w:szCs w:val="24"/>
        </w:rPr>
        <w:t xml:space="preserve"> base en</w:t>
      </w:r>
      <w:r w:rsidR="00F80829" w:rsidRPr="0038286E">
        <w:rPr>
          <w:rFonts w:ascii="Arial" w:hAnsi="Arial" w:cs="Arial"/>
          <w:sz w:val="24"/>
          <w:szCs w:val="24"/>
        </w:rPr>
        <w:t xml:space="preserve"> el </w:t>
      </w:r>
      <w:r w:rsidR="004D3A4A" w:rsidRPr="0038286E">
        <w:rPr>
          <w:rFonts w:ascii="Arial" w:hAnsi="Arial" w:cs="Arial"/>
          <w:sz w:val="24"/>
          <w:szCs w:val="24"/>
        </w:rPr>
        <w:t xml:space="preserve">análisis y </w:t>
      </w:r>
      <w:r w:rsidR="00F80829" w:rsidRPr="0038286E">
        <w:rPr>
          <w:rFonts w:ascii="Arial" w:hAnsi="Arial" w:cs="Arial"/>
          <w:sz w:val="24"/>
          <w:szCs w:val="24"/>
        </w:rPr>
        <w:t>seguimiento</w:t>
      </w:r>
      <w:r w:rsidR="004D3A4A" w:rsidRPr="0038286E">
        <w:rPr>
          <w:rFonts w:ascii="Arial" w:hAnsi="Arial" w:cs="Arial"/>
          <w:sz w:val="24"/>
          <w:szCs w:val="24"/>
        </w:rPr>
        <w:t xml:space="preserve"> de los resultados del informe, se muestra una perspectiva </w:t>
      </w:r>
      <w:r w:rsidRPr="0038286E">
        <w:rPr>
          <w:rFonts w:ascii="Arial" w:hAnsi="Arial" w:cs="Arial"/>
          <w:sz w:val="24"/>
          <w:szCs w:val="24"/>
        </w:rPr>
        <w:t>en cuanto</w:t>
      </w:r>
      <w:r w:rsidR="004D3A4A" w:rsidRPr="0038286E">
        <w:rPr>
          <w:rFonts w:ascii="Arial" w:hAnsi="Arial" w:cs="Arial"/>
          <w:sz w:val="24"/>
          <w:szCs w:val="24"/>
        </w:rPr>
        <w:t xml:space="preserve"> a los logros y el cumplimiento de los objetivos </w:t>
      </w:r>
      <w:r w:rsidR="004C0406" w:rsidRPr="0038286E">
        <w:rPr>
          <w:rFonts w:ascii="Arial" w:hAnsi="Arial" w:cs="Arial"/>
          <w:sz w:val="24"/>
          <w:szCs w:val="24"/>
        </w:rPr>
        <w:t>de los programas presupuestarios</w:t>
      </w:r>
      <w:r w:rsidR="004D3A4A" w:rsidRPr="0038286E">
        <w:rPr>
          <w:rFonts w:ascii="Arial" w:hAnsi="Arial" w:cs="Arial"/>
          <w:sz w:val="24"/>
          <w:szCs w:val="24"/>
        </w:rPr>
        <w:t xml:space="preserve">; lo que nos permite identificar las oportunidades de mejora dentro de los procesos </w:t>
      </w:r>
      <w:r w:rsidR="004C0406" w:rsidRPr="0038286E">
        <w:rPr>
          <w:rFonts w:ascii="Arial" w:hAnsi="Arial" w:cs="Arial"/>
          <w:sz w:val="24"/>
          <w:szCs w:val="24"/>
        </w:rPr>
        <w:t>administrativos</w:t>
      </w:r>
      <w:r w:rsidR="004D3A4A" w:rsidRPr="0038286E">
        <w:rPr>
          <w:rFonts w:ascii="Arial" w:hAnsi="Arial" w:cs="Arial"/>
          <w:sz w:val="24"/>
          <w:szCs w:val="24"/>
        </w:rPr>
        <w:t>.</w:t>
      </w:r>
      <w:r w:rsidRPr="0038286E">
        <w:rPr>
          <w:rFonts w:ascii="Arial" w:hAnsi="Arial" w:cs="Arial"/>
          <w:sz w:val="24"/>
          <w:szCs w:val="24"/>
        </w:rPr>
        <w:t xml:space="preserve"> Así mismo, el</w:t>
      </w:r>
      <w:r w:rsidR="00D1277C" w:rsidRPr="0038286E">
        <w:rPr>
          <w:rFonts w:ascii="Arial" w:hAnsi="Arial" w:cs="Arial"/>
          <w:sz w:val="24"/>
          <w:szCs w:val="24"/>
        </w:rPr>
        <w:t xml:space="preserve"> informe se remite (para su consulta, análisis y soporte documental), a la Auditoria Superior de la Federación, en el marco del convenio de coordinación inicialmente descrito y se presenta por completo en el Anexo 2.</w:t>
      </w:r>
    </w:p>
    <w:p w:rsidR="005B77EF" w:rsidRDefault="005B77EF">
      <w:pPr>
        <w:rPr>
          <w:rFonts w:ascii="Arial" w:hAnsi="Arial" w:cs="Arial"/>
        </w:rPr>
      </w:pPr>
      <w:r>
        <w:rPr>
          <w:rFonts w:ascii="Arial" w:hAnsi="Arial" w:cs="Arial"/>
        </w:rPr>
        <w:br w:type="page"/>
      </w:r>
    </w:p>
    <w:p w:rsidR="0024464F" w:rsidRP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Pr="0024464F" w:rsidRDefault="0024464F" w:rsidP="0024464F">
      <w:pPr>
        <w:spacing w:after="0" w:line="360" w:lineRule="auto"/>
        <w:jc w:val="both"/>
        <w:rPr>
          <w:rFonts w:ascii="Arial" w:hAnsi="Arial" w:cs="Arial"/>
          <w:sz w:val="24"/>
          <w:szCs w:val="24"/>
        </w:rPr>
      </w:pPr>
    </w:p>
    <w:p w:rsidR="0024464F" w:rsidRPr="00B16C0B" w:rsidRDefault="0024464F" w:rsidP="00B16C0B">
      <w:pPr>
        <w:pStyle w:val="Default"/>
        <w:spacing w:after="120"/>
        <w:jc w:val="right"/>
        <w:rPr>
          <w:rFonts w:eastAsia="Times New Roman"/>
          <w:color w:val="auto"/>
          <w:sz w:val="96"/>
          <w:szCs w:val="96"/>
        </w:rPr>
      </w:pPr>
      <w:r w:rsidRPr="00B16C0B">
        <w:rPr>
          <w:rFonts w:eastAsia="Times New Roman"/>
          <w:color w:val="auto"/>
          <w:sz w:val="96"/>
          <w:szCs w:val="96"/>
        </w:rPr>
        <w:t>CONCLUSIONES</w:t>
      </w:r>
      <w:r w:rsidR="00B16C0B">
        <w:rPr>
          <w:rFonts w:eastAsia="Times New Roman"/>
          <w:color w:val="auto"/>
          <w:sz w:val="96"/>
          <w:szCs w:val="96"/>
        </w:rPr>
        <w:t>:</w:t>
      </w: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24464F" w:rsidRDefault="0024464F" w:rsidP="0024464F">
      <w:pPr>
        <w:spacing w:after="0" w:line="360" w:lineRule="auto"/>
        <w:jc w:val="both"/>
        <w:rPr>
          <w:rFonts w:ascii="Arial" w:hAnsi="Arial" w:cs="Arial"/>
          <w:sz w:val="24"/>
          <w:szCs w:val="24"/>
        </w:rPr>
      </w:pPr>
    </w:p>
    <w:p w:rsidR="00B16C0B" w:rsidRDefault="00B16C0B" w:rsidP="0024464F">
      <w:pPr>
        <w:spacing w:after="0" w:line="360" w:lineRule="auto"/>
        <w:jc w:val="both"/>
        <w:rPr>
          <w:rFonts w:ascii="Arial" w:hAnsi="Arial" w:cs="Arial"/>
          <w:sz w:val="24"/>
          <w:szCs w:val="24"/>
        </w:rPr>
      </w:pPr>
    </w:p>
    <w:p w:rsidR="00B16C0B" w:rsidRDefault="00B16C0B" w:rsidP="0024464F">
      <w:pPr>
        <w:spacing w:after="0" w:line="360" w:lineRule="auto"/>
        <w:jc w:val="both"/>
        <w:rPr>
          <w:rFonts w:ascii="Arial" w:hAnsi="Arial" w:cs="Arial"/>
          <w:sz w:val="24"/>
          <w:szCs w:val="24"/>
        </w:rPr>
      </w:pPr>
    </w:p>
    <w:p w:rsidR="00462FA4" w:rsidRPr="00B401A7" w:rsidRDefault="004E6B7C" w:rsidP="004E6B7C">
      <w:pPr>
        <w:pStyle w:val="Prrafodelista"/>
        <w:numPr>
          <w:ilvl w:val="0"/>
          <w:numId w:val="16"/>
        </w:numPr>
        <w:spacing w:after="0" w:line="360" w:lineRule="auto"/>
        <w:ind w:left="364"/>
        <w:jc w:val="both"/>
        <w:rPr>
          <w:rFonts w:ascii="Arial" w:hAnsi="Arial" w:cs="Arial"/>
          <w:sz w:val="24"/>
          <w:szCs w:val="24"/>
        </w:rPr>
      </w:pPr>
      <w:r w:rsidRPr="00B401A7">
        <w:rPr>
          <w:rFonts w:ascii="Arial" w:hAnsi="Arial" w:cs="Arial"/>
          <w:sz w:val="24"/>
          <w:szCs w:val="24"/>
        </w:rPr>
        <w:lastRenderedPageBreak/>
        <w:t xml:space="preserve">Como se observó a lo largo de este estudio, </w:t>
      </w:r>
      <w:r w:rsidR="00530E29" w:rsidRPr="00B401A7">
        <w:rPr>
          <w:rFonts w:ascii="Arial" w:hAnsi="Arial" w:cs="Arial"/>
          <w:sz w:val="24"/>
          <w:szCs w:val="24"/>
        </w:rPr>
        <w:t>las Entidades Fiscalizadoras han evolucionado con</w:t>
      </w:r>
      <w:r w:rsidR="00F27B88" w:rsidRPr="00B401A7">
        <w:rPr>
          <w:rFonts w:ascii="Arial" w:hAnsi="Arial" w:cs="Arial"/>
          <w:sz w:val="24"/>
          <w:szCs w:val="24"/>
        </w:rPr>
        <w:t xml:space="preserve"> base a la aplicación de nuevos métodos, técnicas y herramientas </w:t>
      </w:r>
      <w:r w:rsidR="00E31DC8" w:rsidRPr="00B401A7">
        <w:rPr>
          <w:rFonts w:ascii="Arial" w:hAnsi="Arial" w:cs="Arial"/>
          <w:sz w:val="24"/>
          <w:szCs w:val="24"/>
        </w:rPr>
        <w:t>que han sido aplicadas en los diferentes ámbit</w:t>
      </w:r>
      <w:r w:rsidR="00462FA4" w:rsidRPr="00B401A7">
        <w:rPr>
          <w:rFonts w:ascii="Arial" w:hAnsi="Arial" w:cs="Arial"/>
          <w:sz w:val="24"/>
          <w:szCs w:val="24"/>
        </w:rPr>
        <w:t>os de la administración pública.</w:t>
      </w:r>
    </w:p>
    <w:p w:rsidR="00462FA4" w:rsidRPr="00B401A7" w:rsidRDefault="00462FA4" w:rsidP="00462FA4">
      <w:pPr>
        <w:pStyle w:val="Prrafodelista"/>
        <w:spacing w:after="0" w:line="360" w:lineRule="auto"/>
        <w:ind w:left="364"/>
        <w:jc w:val="both"/>
        <w:rPr>
          <w:rFonts w:ascii="Arial" w:hAnsi="Arial" w:cs="Arial"/>
          <w:sz w:val="24"/>
          <w:szCs w:val="24"/>
        </w:rPr>
      </w:pPr>
    </w:p>
    <w:p w:rsidR="00530E29" w:rsidRPr="00B401A7" w:rsidRDefault="00462FA4" w:rsidP="00462FA4">
      <w:pPr>
        <w:pStyle w:val="Prrafodelista"/>
        <w:numPr>
          <w:ilvl w:val="0"/>
          <w:numId w:val="16"/>
        </w:numPr>
        <w:spacing w:after="0" w:line="360" w:lineRule="auto"/>
        <w:ind w:left="364"/>
        <w:jc w:val="both"/>
        <w:rPr>
          <w:rFonts w:ascii="Arial" w:hAnsi="Arial" w:cs="Arial"/>
          <w:sz w:val="24"/>
          <w:szCs w:val="24"/>
        </w:rPr>
      </w:pPr>
      <w:r w:rsidRPr="00B401A7">
        <w:rPr>
          <w:rFonts w:ascii="Arial" w:hAnsi="Arial" w:cs="Arial"/>
          <w:sz w:val="24"/>
          <w:szCs w:val="24"/>
        </w:rPr>
        <w:t>La evolución de las Entidades Fiscalizadoras</w:t>
      </w:r>
      <w:r w:rsidR="00E31DC8" w:rsidRPr="00B401A7">
        <w:rPr>
          <w:rFonts w:ascii="Arial" w:hAnsi="Arial" w:cs="Arial"/>
          <w:sz w:val="24"/>
          <w:szCs w:val="24"/>
        </w:rPr>
        <w:t xml:space="preserve"> </w:t>
      </w:r>
      <w:r w:rsidRPr="00B401A7">
        <w:rPr>
          <w:rFonts w:ascii="Arial" w:hAnsi="Arial" w:cs="Arial"/>
          <w:sz w:val="24"/>
          <w:szCs w:val="24"/>
        </w:rPr>
        <w:t>se encuentra ligada</w:t>
      </w:r>
      <w:r w:rsidR="00530E29" w:rsidRPr="00B401A7">
        <w:rPr>
          <w:rFonts w:ascii="Arial" w:hAnsi="Arial" w:cs="Arial"/>
          <w:sz w:val="24"/>
          <w:szCs w:val="24"/>
        </w:rPr>
        <w:t xml:space="preserve"> a </w:t>
      </w:r>
      <w:r w:rsidR="004E6B7C" w:rsidRPr="00B401A7">
        <w:rPr>
          <w:rFonts w:ascii="Arial" w:hAnsi="Arial" w:cs="Arial"/>
          <w:sz w:val="24"/>
          <w:szCs w:val="24"/>
        </w:rPr>
        <w:t>l</w:t>
      </w:r>
      <w:r w:rsidR="00530E29" w:rsidRPr="00B401A7">
        <w:rPr>
          <w:rFonts w:ascii="Arial" w:hAnsi="Arial" w:cs="Arial"/>
          <w:sz w:val="24"/>
          <w:szCs w:val="24"/>
        </w:rPr>
        <w:t>a historia nacional e internacional</w:t>
      </w:r>
      <w:r w:rsidR="004E6B7C" w:rsidRPr="00B401A7">
        <w:rPr>
          <w:rFonts w:ascii="Arial" w:hAnsi="Arial" w:cs="Arial"/>
          <w:sz w:val="24"/>
          <w:szCs w:val="24"/>
        </w:rPr>
        <w:t>,</w:t>
      </w:r>
      <w:r w:rsidR="00530E29" w:rsidRPr="00B401A7">
        <w:rPr>
          <w:rFonts w:ascii="Arial" w:hAnsi="Arial" w:cs="Arial"/>
          <w:sz w:val="24"/>
          <w:szCs w:val="24"/>
        </w:rPr>
        <w:t xml:space="preserve"> </w:t>
      </w:r>
      <w:r w:rsidRPr="00B401A7">
        <w:rPr>
          <w:rFonts w:ascii="Arial" w:hAnsi="Arial" w:cs="Arial"/>
          <w:sz w:val="24"/>
          <w:szCs w:val="24"/>
        </w:rPr>
        <w:t>puesto que</w:t>
      </w:r>
      <w:r w:rsidR="00530E29" w:rsidRPr="00B401A7">
        <w:rPr>
          <w:rFonts w:ascii="Arial" w:hAnsi="Arial" w:cs="Arial"/>
          <w:sz w:val="24"/>
          <w:szCs w:val="24"/>
        </w:rPr>
        <w:t xml:space="preserve"> han pasado de ser Instituciones que </w:t>
      </w:r>
      <w:r w:rsidRPr="00B401A7">
        <w:rPr>
          <w:rFonts w:ascii="Arial" w:hAnsi="Arial" w:cs="Arial"/>
          <w:sz w:val="24"/>
          <w:szCs w:val="24"/>
        </w:rPr>
        <w:t xml:space="preserve">tan solo </w:t>
      </w:r>
      <w:r w:rsidR="00530E29" w:rsidRPr="00B401A7">
        <w:rPr>
          <w:rFonts w:ascii="Arial" w:hAnsi="Arial" w:cs="Arial"/>
          <w:sz w:val="24"/>
          <w:szCs w:val="24"/>
        </w:rPr>
        <w:t>registra</w:t>
      </w:r>
      <w:r w:rsidRPr="00B401A7">
        <w:rPr>
          <w:rFonts w:ascii="Arial" w:hAnsi="Arial" w:cs="Arial"/>
          <w:sz w:val="24"/>
          <w:szCs w:val="24"/>
        </w:rPr>
        <w:t>ban, a grandes rasgos, los i</w:t>
      </w:r>
      <w:r w:rsidR="00530E29" w:rsidRPr="00B401A7">
        <w:rPr>
          <w:rFonts w:ascii="Arial" w:hAnsi="Arial" w:cs="Arial"/>
          <w:sz w:val="24"/>
          <w:szCs w:val="24"/>
        </w:rPr>
        <w:t xml:space="preserve">ngresos y </w:t>
      </w:r>
      <w:r w:rsidR="004E6B7C" w:rsidRPr="00B401A7">
        <w:rPr>
          <w:rFonts w:ascii="Arial" w:hAnsi="Arial" w:cs="Arial"/>
          <w:sz w:val="24"/>
          <w:szCs w:val="24"/>
        </w:rPr>
        <w:t>g</w:t>
      </w:r>
      <w:r w:rsidR="00530E29" w:rsidRPr="00B401A7">
        <w:rPr>
          <w:rFonts w:ascii="Arial" w:hAnsi="Arial" w:cs="Arial"/>
          <w:sz w:val="24"/>
          <w:szCs w:val="24"/>
        </w:rPr>
        <w:t>astos</w:t>
      </w:r>
      <w:r w:rsidR="00E31DC8" w:rsidRPr="00B401A7">
        <w:rPr>
          <w:rFonts w:ascii="Arial" w:hAnsi="Arial" w:cs="Arial"/>
          <w:sz w:val="24"/>
          <w:szCs w:val="24"/>
        </w:rPr>
        <w:t xml:space="preserve"> </w:t>
      </w:r>
      <w:r w:rsidR="00530E29" w:rsidRPr="00B401A7">
        <w:rPr>
          <w:rFonts w:ascii="Arial" w:hAnsi="Arial" w:cs="Arial"/>
          <w:sz w:val="24"/>
          <w:szCs w:val="24"/>
        </w:rPr>
        <w:t>a Entidades Fiscalizadoras</w:t>
      </w:r>
      <w:r w:rsidR="005B77EF" w:rsidRPr="00B401A7">
        <w:rPr>
          <w:rFonts w:ascii="Arial" w:hAnsi="Arial" w:cs="Arial"/>
          <w:sz w:val="24"/>
          <w:szCs w:val="24"/>
        </w:rPr>
        <w:t>,</w:t>
      </w:r>
      <w:r w:rsidR="00530E29" w:rsidRPr="00B401A7">
        <w:rPr>
          <w:rFonts w:ascii="Arial" w:hAnsi="Arial" w:cs="Arial"/>
          <w:sz w:val="24"/>
          <w:szCs w:val="24"/>
        </w:rPr>
        <w:t xml:space="preserve"> las cuales tiene</w:t>
      </w:r>
      <w:r w:rsidR="00E31DC8" w:rsidRPr="00B401A7">
        <w:rPr>
          <w:rFonts w:ascii="Arial" w:hAnsi="Arial" w:cs="Arial"/>
          <w:sz w:val="24"/>
          <w:szCs w:val="24"/>
        </w:rPr>
        <w:t>n</w:t>
      </w:r>
      <w:r w:rsidR="00530E29" w:rsidRPr="00B401A7">
        <w:rPr>
          <w:rFonts w:ascii="Arial" w:hAnsi="Arial" w:cs="Arial"/>
          <w:sz w:val="24"/>
          <w:szCs w:val="24"/>
        </w:rPr>
        <w:t xml:space="preserve"> como objetivo llevar a cabo una revisión minuciosa sobre los ingresos y egresos del erario público tomando en cuenta la administración y aplicación de estos, con base en los principios de eficacia, eficiencia, economía y calidad</w:t>
      </w:r>
      <w:r w:rsidR="00A9519C" w:rsidRPr="00B401A7">
        <w:rPr>
          <w:rFonts w:ascii="Arial" w:hAnsi="Arial" w:cs="Arial"/>
          <w:sz w:val="24"/>
          <w:szCs w:val="24"/>
        </w:rPr>
        <w:t xml:space="preserve"> para</w:t>
      </w:r>
      <w:r w:rsidR="00530E29" w:rsidRPr="00B401A7">
        <w:rPr>
          <w:rFonts w:ascii="Arial" w:hAnsi="Arial" w:cs="Arial"/>
          <w:sz w:val="24"/>
          <w:szCs w:val="24"/>
        </w:rPr>
        <w:t xml:space="preserve"> la producción de bienes y servicios de uso público.</w:t>
      </w:r>
    </w:p>
    <w:p w:rsidR="00E31DC8" w:rsidRPr="00B401A7" w:rsidRDefault="00E31DC8" w:rsidP="0024464F">
      <w:pPr>
        <w:spacing w:after="0" w:line="360" w:lineRule="auto"/>
        <w:jc w:val="both"/>
        <w:rPr>
          <w:rFonts w:ascii="Arial" w:hAnsi="Arial" w:cs="Arial"/>
          <w:sz w:val="24"/>
          <w:szCs w:val="24"/>
        </w:rPr>
      </w:pPr>
    </w:p>
    <w:p w:rsidR="007D4FF5" w:rsidRPr="00B401A7" w:rsidRDefault="004E6B7C" w:rsidP="00866B23">
      <w:pPr>
        <w:pStyle w:val="Prrafodelista"/>
        <w:numPr>
          <w:ilvl w:val="0"/>
          <w:numId w:val="16"/>
        </w:numPr>
        <w:spacing w:after="0" w:line="360" w:lineRule="auto"/>
        <w:ind w:left="364"/>
        <w:jc w:val="both"/>
        <w:rPr>
          <w:rFonts w:ascii="Arial" w:hAnsi="Arial" w:cs="Arial"/>
          <w:sz w:val="24"/>
          <w:szCs w:val="24"/>
        </w:rPr>
      </w:pPr>
      <w:r w:rsidRPr="00B401A7">
        <w:rPr>
          <w:rFonts w:ascii="Arial" w:hAnsi="Arial" w:cs="Arial"/>
          <w:sz w:val="24"/>
          <w:szCs w:val="24"/>
        </w:rPr>
        <w:t>El Órgano Superior de Fiscalización del Estado de México, es</w:t>
      </w:r>
      <w:r w:rsidR="00866B23" w:rsidRPr="00B401A7">
        <w:rPr>
          <w:rFonts w:ascii="Arial" w:hAnsi="Arial" w:cs="Arial"/>
          <w:sz w:val="24"/>
          <w:szCs w:val="24"/>
        </w:rPr>
        <w:t xml:space="preserve"> la Entidad Fiscalizadora</w:t>
      </w:r>
      <w:r w:rsidRPr="00B401A7">
        <w:rPr>
          <w:rFonts w:ascii="Arial" w:hAnsi="Arial" w:cs="Arial"/>
          <w:sz w:val="24"/>
          <w:szCs w:val="24"/>
        </w:rPr>
        <w:t xml:space="preserve"> resultado de cambios significativos</w:t>
      </w:r>
      <w:r w:rsidR="00866B23" w:rsidRPr="00B401A7">
        <w:rPr>
          <w:rFonts w:ascii="Arial" w:hAnsi="Arial" w:cs="Arial"/>
          <w:sz w:val="24"/>
          <w:szCs w:val="24"/>
        </w:rPr>
        <w:t>,</w:t>
      </w:r>
      <w:r w:rsidRPr="00B401A7">
        <w:rPr>
          <w:rFonts w:ascii="Arial" w:hAnsi="Arial" w:cs="Arial"/>
          <w:sz w:val="24"/>
          <w:szCs w:val="24"/>
        </w:rPr>
        <w:t xml:space="preserve"> la cual se </w:t>
      </w:r>
      <w:r w:rsidR="007D4FF5" w:rsidRPr="00B401A7">
        <w:rPr>
          <w:rFonts w:ascii="Arial" w:hAnsi="Arial" w:cs="Arial"/>
          <w:sz w:val="24"/>
          <w:szCs w:val="24"/>
        </w:rPr>
        <w:t>muestra</w:t>
      </w:r>
      <w:r w:rsidRPr="00B401A7">
        <w:rPr>
          <w:rFonts w:ascii="Arial" w:hAnsi="Arial" w:cs="Arial"/>
          <w:sz w:val="24"/>
          <w:szCs w:val="24"/>
        </w:rPr>
        <w:t xml:space="preserve"> en la actualidad como una institución </w:t>
      </w:r>
      <w:r w:rsidR="007D4FF5" w:rsidRPr="00B401A7">
        <w:rPr>
          <w:rFonts w:ascii="Arial" w:hAnsi="Arial" w:cs="Arial"/>
          <w:sz w:val="24"/>
          <w:szCs w:val="24"/>
        </w:rPr>
        <w:t xml:space="preserve">que tiene como misión realizar la fiscalización superior en apego a derecho e informar a la sociedad sobre el </w:t>
      </w:r>
      <w:r w:rsidR="00866B23" w:rsidRPr="00B401A7">
        <w:rPr>
          <w:rFonts w:ascii="Arial" w:hAnsi="Arial" w:cs="Arial"/>
          <w:sz w:val="24"/>
          <w:szCs w:val="24"/>
        </w:rPr>
        <w:t xml:space="preserve">resultado en el </w:t>
      </w:r>
      <w:r w:rsidR="007D4FF5" w:rsidRPr="00B401A7">
        <w:rPr>
          <w:rFonts w:ascii="Arial" w:hAnsi="Arial" w:cs="Arial"/>
          <w:sz w:val="24"/>
          <w:szCs w:val="24"/>
        </w:rPr>
        <w:t>ejercicio de los recursos públicos</w:t>
      </w:r>
      <w:r w:rsidR="00866B23" w:rsidRPr="00B401A7">
        <w:rPr>
          <w:rFonts w:ascii="Arial" w:hAnsi="Arial" w:cs="Arial"/>
          <w:sz w:val="24"/>
          <w:szCs w:val="24"/>
        </w:rPr>
        <w:t xml:space="preserve"> mexiquenses, </w:t>
      </w:r>
      <w:r w:rsidR="007D4FF5" w:rsidRPr="00B401A7">
        <w:rPr>
          <w:rFonts w:ascii="Arial" w:hAnsi="Arial" w:cs="Arial"/>
          <w:sz w:val="24"/>
          <w:szCs w:val="24"/>
        </w:rPr>
        <w:t xml:space="preserve">que garantice a la sociedad estar a la vanguardia en la </w:t>
      </w:r>
      <w:r w:rsidR="00866B23" w:rsidRPr="00B401A7">
        <w:rPr>
          <w:rFonts w:ascii="Arial" w:hAnsi="Arial" w:cs="Arial"/>
          <w:sz w:val="24"/>
          <w:szCs w:val="24"/>
        </w:rPr>
        <w:t>materia</w:t>
      </w:r>
      <w:r w:rsidR="007D4FF5" w:rsidRPr="00B401A7">
        <w:rPr>
          <w:rFonts w:ascii="Arial" w:hAnsi="Arial" w:cs="Arial"/>
          <w:sz w:val="24"/>
          <w:szCs w:val="24"/>
        </w:rPr>
        <w:t xml:space="preserve"> y </w:t>
      </w:r>
      <w:r w:rsidR="00866B23" w:rsidRPr="00B401A7">
        <w:rPr>
          <w:rFonts w:ascii="Arial" w:hAnsi="Arial" w:cs="Arial"/>
          <w:sz w:val="24"/>
          <w:szCs w:val="24"/>
        </w:rPr>
        <w:t>determine</w:t>
      </w:r>
      <w:r w:rsidR="007D4FF5" w:rsidRPr="00B401A7">
        <w:rPr>
          <w:rFonts w:ascii="Arial" w:hAnsi="Arial" w:cs="Arial"/>
          <w:sz w:val="24"/>
          <w:szCs w:val="24"/>
        </w:rPr>
        <w:t xml:space="preserve"> </w:t>
      </w:r>
      <w:r w:rsidR="00866B23" w:rsidRPr="00B401A7">
        <w:rPr>
          <w:rFonts w:ascii="Arial" w:hAnsi="Arial" w:cs="Arial"/>
          <w:sz w:val="24"/>
          <w:szCs w:val="24"/>
        </w:rPr>
        <w:t>las</w:t>
      </w:r>
      <w:r w:rsidR="007D4FF5" w:rsidRPr="00B401A7">
        <w:rPr>
          <w:rFonts w:ascii="Arial" w:hAnsi="Arial" w:cs="Arial"/>
          <w:sz w:val="24"/>
          <w:szCs w:val="24"/>
        </w:rPr>
        <w:t xml:space="preserve"> responsabilidades </w:t>
      </w:r>
      <w:r w:rsidR="00866B23" w:rsidRPr="00B401A7">
        <w:rPr>
          <w:rFonts w:ascii="Arial" w:hAnsi="Arial" w:cs="Arial"/>
          <w:sz w:val="24"/>
          <w:szCs w:val="24"/>
        </w:rPr>
        <w:t>dentro de</w:t>
      </w:r>
      <w:r w:rsidR="007D4FF5" w:rsidRPr="00B401A7">
        <w:rPr>
          <w:rFonts w:ascii="Arial" w:hAnsi="Arial" w:cs="Arial"/>
          <w:sz w:val="24"/>
          <w:szCs w:val="24"/>
        </w:rPr>
        <w:t xml:space="preserve"> la administración pública estatal.</w:t>
      </w:r>
    </w:p>
    <w:p w:rsidR="00866B23" w:rsidRPr="00B401A7" w:rsidRDefault="00866B23" w:rsidP="004E6B7C">
      <w:pPr>
        <w:spacing w:after="0" w:line="360" w:lineRule="auto"/>
        <w:ind w:left="336"/>
        <w:jc w:val="both"/>
        <w:rPr>
          <w:rFonts w:ascii="Arial" w:hAnsi="Arial" w:cs="Arial"/>
          <w:sz w:val="24"/>
          <w:szCs w:val="24"/>
        </w:rPr>
      </w:pPr>
    </w:p>
    <w:p w:rsidR="00F90057" w:rsidRPr="00B401A7" w:rsidRDefault="00602FCC" w:rsidP="00602FCC">
      <w:pPr>
        <w:pStyle w:val="Prrafodelista"/>
        <w:numPr>
          <w:ilvl w:val="0"/>
          <w:numId w:val="16"/>
        </w:numPr>
        <w:spacing w:after="0" w:line="360" w:lineRule="auto"/>
        <w:ind w:left="364"/>
        <w:jc w:val="both"/>
        <w:rPr>
          <w:rFonts w:ascii="Arial" w:hAnsi="Arial" w:cs="Arial"/>
          <w:sz w:val="24"/>
          <w:szCs w:val="24"/>
        </w:rPr>
      </w:pPr>
      <w:r w:rsidRPr="00B401A7">
        <w:rPr>
          <w:rFonts w:ascii="Arial" w:hAnsi="Arial" w:cs="Arial"/>
          <w:sz w:val="24"/>
          <w:szCs w:val="24"/>
        </w:rPr>
        <w:t>E</w:t>
      </w:r>
      <w:r w:rsidR="00530E29" w:rsidRPr="00B401A7">
        <w:rPr>
          <w:rFonts w:ascii="Arial" w:hAnsi="Arial" w:cs="Arial"/>
          <w:sz w:val="24"/>
          <w:szCs w:val="24"/>
        </w:rPr>
        <w:t>l OSFEM</w:t>
      </w:r>
      <w:r w:rsidRPr="00B401A7">
        <w:rPr>
          <w:rFonts w:ascii="Arial" w:hAnsi="Arial" w:cs="Arial"/>
          <w:sz w:val="24"/>
          <w:szCs w:val="24"/>
        </w:rPr>
        <w:t>,</w:t>
      </w:r>
      <w:r w:rsidR="00E66322" w:rsidRPr="00B401A7">
        <w:rPr>
          <w:rFonts w:ascii="Arial" w:hAnsi="Arial" w:cs="Arial"/>
          <w:sz w:val="24"/>
          <w:szCs w:val="24"/>
        </w:rPr>
        <w:t xml:space="preserve"> como Entidad Fiscalizadora Superior en el Estado de México,</w:t>
      </w:r>
      <w:r w:rsidR="00530E29" w:rsidRPr="00B401A7">
        <w:rPr>
          <w:rFonts w:ascii="Arial" w:hAnsi="Arial" w:cs="Arial"/>
          <w:sz w:val="24"/>
          <w:szCs w:val="24"/>
        </w:rPr>
        <w:t xml:space="preserve"> </w:t>
      </w:r>
      <w:r w:rsidR="00A9519C" w:rsidRPr="00B401A7">
        <w:rPr>
          <w:rFonts w:ascii="Arial" w:hAnsi="Arial" w:cs="Arial"/>
          <w:sz w:val="24"/>
          <w:szCs w:val="24"/>
        </w:rPr>
        <w:t>dispone de</w:t>
      </w:r>
      <w:r w:rsidR="00530E29" w:rsidRPr="00B401A7">
        <w:rPr>
          <w:rFonts w:ascii="Arial" w:hAnsi="Arial" w:cs="Arial"/>
          <w:sz w:val="24"/>
          <w:szCs w:val="24"/>
        </w:rPr>
        <w:t xml:space="preserve"> los recursos físicos, humanos, económicos y </w:t>
      </w:r>
      <w:r w:rsidR="00A9519C" w:rsidRPr="00B401A7">
        <w:rPr>
          <w:rFonts w:ascii="Arial" w:hAnsi="Arial" w:cs="Arial"/>
          <w:sz w:val="24"/>
          <w:szCs w:val="24"/>
        </w:rPr>
        <w:t>tecnológicos necesarios</w:t>
      </w:r>
      <w:r w:rsidR="00530E29" w:rsidRPr="00B401A7">
        <w:rPr>
          <w:rFonts w:ascii="Arial" w:hAnsi="Arial" w:cs="Arial"/>
          <w:sz w:val="24"/>
          <w:szCs w:val="24"/>
        </w:rPr>
        <w:t xml:space="preserve"> para llevar a cabo la fiscalización</w:t>
      </w:r>
      <w:r w:rsidRPr="00B401A7">
        <w:rPr>
          <w:rFonts w:ascii="Arial" w:hAnsi="Arial" w:cs="Arial"/>
          <w:sz w:val="24"/>
          <w:szCs w:val="24"/>
        </w:rPr>
        <w:t xml:space="preserve"> de los recursos</w:t>
      </w:r>
      <w:r w:rsidR="006416CF" w:rsidRPr="00B401A7">
        <w:rPr>
          <w:rFonts w:ascii="Arial" w:hAnsi="Arial" w:cs="Arial"/>
          <w:sz w:val="24"/>
          <w:szCs w:val="24"/>
        </w:rPr>
        <w:t xml:space="preserve"> </w:t>
      </w:r>
      <w:r w:rsidR="00E66322" w:rsidRPr="00B401A7">
        <w:rPr>
          <w:rFonts w:ascii="Arial" w:hAnsi="Arial" w:cs="Arial"/>
          <w:sz w:val="24"/>
          <w:szCs w:val="24"/>
        </w:rPr>
        <w:t>a través d</w:t>
      </w:r>
      <w:r w:rsidR="006416CF" w:rsidRPr="00B401A7">
        <w:rPr>
          <w:rFonts w:ascii="Arial" w:hAnsi="Arial" w:cs="Arial"/>
          <w:sz w:val="24"/>
          <w:szCs w:val="24"/>
        </w:rPr>
        <w:t>el SIEP</w:t>
      </w:r>
      <w:r w:rsidR="00084268" w:rsidRPr="00B401A7">
        <w:rPr>
          <w:rFonts w:ascii="Arial" w:hAnsi="Arial" w:cs="Arial"/>
          <w:sz w:val="24"/>
          <w:szCs w:val="24"/>
        </w:rPr>
        <w:t xml:space="preserve">, </w:t>
      </w:r>
      <w:r w:rsidR="00F90057" w:rsidRPr="00B401A7">
        <w:rPr>
          <w:rFonts w:ascii="Arial" w:hAnsi="Arial" w:cs="Arial"/>
          <w:sz w:val="24"/>
          <w:szCs w:val="24"/>
        </w:rPr>
        <w:t xml:space="preserve">herramienta de fácil manejo con semaforización, la cual nos da alertas sobre los puntos críticos que deben tener mayor control antes, durante y después de la aplicación </w:t>
      </w:r>
      <w:r w:rsidR="00530E29" w:rsidRPr="00B401A7">
        <w:rPr>
          <w:rFonts w:ascii="Arial" w:hAnsi="Arial" w:cs="Arial"/>
          <w:sz w:val="24"/>
          <w:szCs w:val="24"/>
        </w:rPr>
        <w:t xml:space="preserve">de los </w:t>
      </w:r>
      <w:r w:rsidR="00B55C2E" w:rsidRPr="00B401A7">
        <w:rPr>
          <w:rFonts w:ascii="Arial" w:hAnsi="Arial" w:cs="Arial"/>
          <w:sz w:val="24"/>
          <w:szCs w:val="24"/>
        </w:rPr>
        <w:t xml:space="preserve">recursos públicos federales transferidos al Estado </w:t>
      </w:r>
      <w:r w:rsidR="006416CF" w:rsidRPr="00B401A7">
        <w:rPr>
          <w:rFonts w:ascii="Arial" w:hAnsi="Arial" w:cs="Arial"/>
          <w:sz w:val="24"/>
          <w:szCs w:val="24"/>
        </w:rPr>
        <w:t xml:space="preserve">a través del </w:t>
      </w:r>
      <w:r w:rsidR="00530E29" w:rsidRPr="00B401A7">
        <w:rPr>
          <w:rFonts w:ascii="Arial" w:hAnsi="Arial" w:cs="Arial"/>
          <w:sz w:val="24"/>
          <w:szCs w:val="24"/>
        </w:rPr>
        <w:t>Ra</w:t>
      </w:r>
      <w:r w:rsidR="00B55C2E" w:rsidRPr="00B401A7">
        <w:rPr>
          <w:rFonts w:ascii="Arial" w:hAnsi="Arial" w:cs="Arial"/>
          <w:sz w:val="24"/>
          <w:szCs w:val="24"/>
        </w:rPr>
        <w:t>mo General 33</w:t>
      </w:r>
      <w:r w:rsidR="00F90057" w:rsidRPr="00B401A7">
        <w:rPr>
          <w:rFonts w:ascii="Arial" w:hAnsi="Arial" w:cs="Arial"/>
          <w:sz w:val="24"/>
          <w:szCs w:val="24"/>
        </w:rPr>
        <w:t>.</w:t>
      </w:r>
      <w:r w:rsidR="00B55C2E" w:rsidRPr="00B401A7">
        <w:rPr>
          <w:rFonts w:ascii="Arial" w:hAnsi="Arial" w:cs="Arial"/>
          <w:sz w:val="24"/>
          <w:szCs w:val="24"/>
        </w:rPr>
        <w:t xml:space="preserve"> </w:t>
      </w:r>
    </w:p>
    <w:p w:rsidR="00F90057" w:rsidRPr="00B401A7" w:rsidRDefault="00F90057" w:rsidP="00602FCC">
      <w:pPr>
        <w:spacing w:after="0" w:line="360" w:lineRule="auto"/>
        <w:ind w:left="350"/>
        <w:jc w:val="both"/>
        <w:rPr>
          <w:rFonts w:ascii="Arial" w:hAnsi="Arial" w:cs="Arial"/>
          <w:sz w:val="24"/>
          <w:szCs w:val="24"/>
        </w:rPr>
      </w:pPr>
    </w:p>
    <w:p w:rsidR="00483EE3" w:rsidRPr="00B401A7" w:rsidRDefault="00773B73" w:rsidP="00602FCC">
      <w:pPr>
        <w:pStyle w:val="Prrafodelista"/>
        <w:numPr>
          <w:ilvl w:val="0"/>
          <w:numId w:val="16"/>
        </w:numPr>
        <w:spacing w:after="0" w:line="360" w:lineRule="auto"/>
        <w:ind w:left="364"/>
        <w:jc w:val="both"/>
        <w:rPr>
          <w:rFonts w:ascii="Arial" w:hAnsi="Arial" w:cs="Arial"/>
          <w:sz w:val="24"/>
          <w:szCs w:val="24"/>
        </w:rPr>
      </w:pPr>
      <w:r w:rsidRPr="00B401A7">
        <w:rPr>
          <w:rFonts w:ascii="Arial" w:hAnsi="Arial" w:cs="Arial"/>
          <w:sz w:val="24"/>
          <w:szCs w:val="24"/>
        </w:rPr>
        <w:lastRenderedPageBreak/>
        <w:t>La fiscalización a través de indicadores de desempeño del</w:t>
      </w:r>
      <w:r w:rsidR="00763333" w:rsidRPr="00B401A7">
        <w:rPr>
          <w:rFonts w:ascii="Arial" w:hAnsi="Arial" w:cs="Arial"/>
          <w:sz w:val="24"/>
          <w:szCs w:val="24"/>
        </w:rPr>
        <w:t xml:space="preserve"> Ramo General 33</w:t>
      </w:r>
      <w:r w:rsidR="00483EE3" w:rsidRPr="00B401A7">
        <w:rPr>
          <w:rFonts w:ascii="Arial" w:hAnsi="Arial" w:cs="Arial"/>
          <w:sz w:val="24"/>
          <w:szCs w:val="24"/>
        </w:rPr>
        <w:t xml:space="preserve">, </w:t>
      </w:r>
      <w:r w:rsidR="00763333" w:rsidRPr="00B401A7">
        <w:rPr>
          <w:rFonts w:ascii="Arial" w:hAnsi="Arial" w:cs="Arial"/>
          <w:sz w:val="24"/>
          <w:szCs w:val="24"/>
        </w:rPr>
        <w:t>instrumento utilizado por la Federación para ministrar recursos</w:t>
      </w:r>
      <w:r w:rsidR="00483EE3" w:rsidRPr="00B401A7">
        <w:rPr>
          <w:rFonts w:ascii="Arial" w:hAnsi="Arial" w:cs="Arial"/>
          <w:sz w:val="24"/>
          <w:szCs w:val="24"/>
        </w:rPr>
        <w:t xml:space="preserve"> que son utilizados por el</w:t>
      </w:r>
      <w:r w:rsidR="00763333" w:rsidRPr="00B401A7">
        <w:rPr>
          <w:rFonts w:ascii="Arial" w:hAnsi="Arial" w:cs="Arial"/>
          <w:sz w:val="24"/>
          <w:szCs w:val="24"/>
        </w:rPr>
        <w:t xml:space="preserve"> Estado </w:t>
      </w:r>
      <w:r w:rsidR="00483EE3" w:rsidRPr="00B401A7">
        <w:rPr>
          <w:rFonts w:ascii="Arial" w:hAnsi="Arial" w:cs="Arial"/>
          <w:sz w:val="24"/>
          <w:szCs w:val="24"/>
        </w:rPr>
        <w:t>con</w:t>
      </w:r>
      <w:r w:rsidR="00763333" w:rsidRPr="00B401A7">
        <w:rPr>
          <w:rFonts w:ascii="Arial" w:hAnsi="Arial" w:cs="Arial"/>
          <w:sz w:val="24"/>
          <w:szCs w:val="24"/>
        </w:rPr>
        <w:t xml:space="preserve"> un fin determinado </w:t>
      </w:r>
      <w:r w:rsidR="00483EE3" w:rsidRPr="00B401A7">
        <w:rPr>
          <w:rFonts w:ascii="Arial" w:hAnsi="Arial" w:cs="Arial"/>
          <w:sz w:val="24"/>
          <w:szCs w:val="24"/>
        </w:rPr>
        <w:t>(</w:t>
      </w:r>
      <w:r w:rsidR="00763333" w:rsidRPr="00B401A7">
        <w:rPr>
          <w:rFonts w:ascii="Arial" w:hAnsi="Arial" w:cs="Arial"/>
          <w:sz w:val="24"/>
          <w:szCs w:val="24"/>
        </w:rPr>
        <w:t>Educación, Seguridad, Asistencia Social, Salud, Infraestructura Social y Educativa, Saneamiento Financiero</w:t>
      </w:r>
      <w:r w:rsidR="00483EE3" w:rsidRPr="00B401A7">
        <w:rPr>
          <w:rFonts w:ascii="Arial" w:hAnsi="Arial" w:cs="Arial"/>
          <w:sz w:val="24"/>
          <w:szCs w:val="24"/>
        </w:rPr>
        <w:t xml:space="preserve">), </w:t>
      </w:r>
      <w:r w:rsidRPr="00B401A7">
        <w:rPr>
          <w:rFonts w:ascii="Arial" w:hAnsi="Arial" w:cs="Arial"/>
          <w:sz w:val="24"/>
          <w:szCs w:val="24"/>
        </w:rPr>
        <w:t>es viable; ya que al evaluar su aplicación se mantiene un seguimiento y como resultado se mantiene un control, evitando vicios y malas prácticas</w:t>
      </w:r>
      <w:r w:rsidR="00483EE3" w:rsidRPr="00B401A7">
        <w:rPr>
          <w:rFonts w:ascii="Arial" w:hAnsi="Arial" w:cs="Arial"/>
          <w:sz w:val="24"/>
          <w:szCs w:val="24"/>
        </w:rPr>
        <w:t>.</w:t>
      </w:r>
    </w:p>
    <w:p w:rsidR="00446AC9" w:rsidRPr="00B401A7" w:rsidRDefault="00446AC9" w:rsidP="0024464F">
      <w:pPr>
        <w:spacing w:after="0" w:line="360" w:lineRule="auto"/>
        <w:jc w:val="both"/>
        <w:rPr>
          <w:rFonts w:ascii="Arial" w:hAnsi="Arial" w:cs="Arial"/>
          <w:sz w:val="24"/>
          <w:szCs w:val="24"/>
        </w:rPr>
      </w:pPr>
    </w:p>
    <w:p w:rsidR="00446AC9" w:rsidRPr="00B401A7" w:rsidRDefault="00446AC9" w:rsidP="0024464F">
      <w:pPr>
        <w:spacing w:after="0" w:line="360" w:lineRule="auto"/>
        <w:jc w:val="both"/>
        <w:rPr>
          <w:rFonts w:ascii="Arial" w:hAnsi="Arial" w:cs="Arial"/>
          <w:sz w:val="24"/>
          <w:szCs w:val="24"/>
        </w:rPr>
      </w:pPr>
    </w:p>
    <w:p w:rsidR="00446AC9" w:rsidRPr="008E4D33" w:rsidRDefault="00446AC9" w:rsidP="0024464F">
      <w:pPr>
        <w:spacing w:after="0" w:line="360" w:lineRule="auto"/>
        <w:jc w:val="both"/>
        <w:rPr>
          <w:rFonts w:ascii="Arial" w:hAnsi="Arial" w:cs="Arial"/>
          <w:sz w:val="24"/>
          <w:szCs w:val="24"/>
        </w:rPr>
      </w:pPr>
    </w:p>
    <w:p w:rsidR="00446AC9" w:rsidRPr="008E4D33" w:rsidRDefault="00446AC9" w:rsidP="0024464F">
      <w:pPr>
        <w:spacing w:after="0" w:line="360" w:lineRule="auto"/>
        <w:jc w:val="both"/>
        <w:rPr>
          <w:rFonts w:ascii="Arial" w:hAnsi="Arial" w:cs="Arial"/>
          <w:sz w:val="24"/>
          <w:szCs w:val="24"/>
        </w:rPr>
      </w:pPr>
    </w:p>
    <w:p w:rsidR="00446AC9" w:rsidRPr="008E4D33" w:rsidRDefault="00446AC9" w:rsidP="0024464F">
      <w:pPr>
        <w:spacing w:after="0" w:line="360" w:lineRule="auto"/>
        <w:jc w:val="both"/>
        <w:rPr>
          <w:rFonts w:ascii="Arial" w:hAnsi="Arial" w:cs="Arial"/>
          <w:sz w:val="24"/>
          <w:szCs w:val="24"/>
        </w:rPr>
      </w:pPr>
    </w:p>
    <w:p w:rsidR="00446AC9" w:rsidRPr="008E4D33" w:rsidRDefault="00446AC9" w:rsidP="0024464F">
      <w:pPr>
        <w:spacing w:after="0" w:line="360" w:lineRule="auto"/>
        <w:jc w:val="both"/>
        <w:rPr>
          <w:rFonts w:ascii="Arial" w:hAnsi="Arial" w:cs="Arial"/>
          <w:sz w:val="24"/>
          <w:szCs w:val="24"/>
        </w:rPr>
      </w:pPr>
    </w:p>
    <w:p w:rsidR="008E4D33" w:rsidRP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353591" w:rsidRDefault="00353591" w:rsidP="0024464F">
      <w:pPr>
        <w:pStyle w:val="Default"/>
        <w:spacing w:line="360" w:lineRule="auto"/>
        <w:jc w:val="both"/>
        <w:sectPr w:rsidR="00353591" w:rsidSect="001E47CD">
          <w:headerReference w:type="default" r:id="rId36"/>
          <w:footerReference w:type="default" r:id="rId37"/>
          <w:pgSz w:w="12240" w:h="15840"/>
          <w:pgMar w:top="1602" w:right="1701" w:bottom="1417" w:left="1701" w:header="708" w:footer="708" w:gutter="0"/>
          <w:cols w:space="708"/>
          <w:docGrid w:linePitch="360"/>
        </w:sectPr>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8E4D33" w:rsidRDefault="008E4D33"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353591" w:rsidRDefault="00353591" w:rsidP="0024464F">
      <w:pPr>
        <w:pStyle w:val="Default"/>
        <w:spacing w:line="360" w:lineRule="auto"/>
        <w:jc w:val="both"/>
      </w:pPr>
    </w:p>
    <w:p w:rsidR="006821D6" w:rsidRPr="008E4D33" w:rsidRDefault="008E4D33" w:rsidP="008E4D33">
      <w:pPr>
        <w:pStyle w:val="Default"/>
        <w:spacing w:after="120"/>
        <w:jc w:val="right"/>
        <w:rPr>
          <w:rFonts w:eastAsia="Times New Roman"/>
          <w:color w:val="auto"/>
          <w:sz w:val="96"/>
          <w:szCs w:val="96"/>
        </w:rPr>
      </w:pPr>
      <w:r w:rsidRPr="008E4D33">
        <w:rPr>
          <w:rFonts w:eastAsia="Times New Roman"/>
          <w:color w:val="auto"/>
          <w:sz w:val="96"/>
          <w:szCs w:val="96"/>
        </w:rPr>
        <w:t>BIBLIOGRAFÍA</w:t>
      </w:r>
    </w:p>
    <w:p w:rsidR="006821D6" w:rsidRDefault="006821D6" w:rsidP="0024464F">
      <w:pPr>
        <w:pStyle w:val="Default"/>
        <w:spacing w:line="360" w:lineRule="auto"/>
        <w:jc w:val="both"/>
        <w:rPr>
          <w:rFonts w:eastAsia="Times New Roman"/>
        </w:rPr>
      </w:pPr>
    </w:p>
    <w:p w:rsidR="008E4D33" w:rsidRDefault="008E4D33" w:rsidP="0024464F">
      <w:pPr>
        <w:pStyle w:val="Default"/>
        <w:spacing w:line="360" w:lineRule="auto"/>
        <w:jc w:val="both"/>
        <w:rPr>
          <w:rFonts w:eastAsia="Times New Roman"/>
        </w:rPr>
      </w:pPr>
    </w:p>
    <w:p w:rsidR="008E4D33" w:rsidRDefault="008E4D33" w:rsidP="0024464F">
      <w:pPr>
        <w:pStyle w:val="Default"/>
        <w:spacing w:line="360" w:lineRule="auto"/>
        <w:jc w:val="both"/>
        <w:rPr>
          <w:rFonts w:eastAsia="Times New Roman"/>
        </w:rPr>
      </w:pPr>
    </w:p>
    <w:p w:rsidR="008E4D33" w:rsidRDefault="008E4D33" w:rsidP="0024464F">
      <w:pPr>
        <w:pStyle w:val="Default"/>
        <w:spacing w:line="360" w:lineRule="auto"/>
        <w:jc w:val="both"/>
        <w:rPr>
          <w:rFonts w:eastAsia="Times New Roman"/>
        </w:rPr>
      </w:pPr>
    </w:p>
    <w:p w:rsidR="008E4D33" w:rsidRDefault="008E4D33" w:rsidP="0024464F">
      <w:pPr>
        <w:pStyle w:val="Default"/>
        <w:spacing w:line="360" w:lineRule="auto"/>
        <w:jc w:val="both"/>
        <w:rPr>
          <w:rFonts w:eastAsia="Times New Roman"/>
        </w:rPr>
      </w:pPr>
    </w:p>
    <w:p w:rsidR="008E4D33" w:rsidRDefault="008E4D33" w:rsidP="0024464F">
      <w:pPr>
        <w:pStyle w:val="Default"/>
        <w:spacing w:line="360" w:lineRule="auto"/>
        <w:jc w:val="both"/>
        <w:rPr>
          <w:rFonts w:eastAsia="Times New Roman"/>
        </w:rPr>
      </w:pPr>
    </w:p>
    <w:p w:rsidR="008E4D33" w:rsidRPr="0024464F" w:rsidRDefault="008E4D33" w:rsidP="0024464F">
      <w:pPr>
        <w:pStyle w:val="Default"/>
        <w:spacing w:line="360" w:lineRule="auto"/>
        <w:jc w:val="both"/>
        <w:rPr>
          <w:rFonts w:eastAsia="Times New Roman"/>
        </w:rPr>
      </w:pPr>
    </w:p>
    <w:p w:rsidR="006821D6" w:rsidRPr="00B401A7" w:rsidRDefault="00AF6A66" w:rsidP="008E4D33">
      <w:pPr>
        <w:pStyle w:val="Default"/>
        <w:numPr>
          <w:ilvl w:val="0"/>
          <w:numId w:val="15"/>
        </w:numPr>
        <w:spacing w:line="360" w:lineRule="auto"/>
        <w:ind w:left="567"/>
        <w:jc w:val="both"/>
        <w:rPr>
          <w:rFonts w:eastAsia="Times New Roman"/>
          <w:color w:val="auto"/>
        </w:rPr>
      </w:pPr>
      <w:r w:rsidRPr="00B401A7">
        <w:rPr>
          <w:rFonts w:eastAsia="Times New Roman"/>
          <w:color w:val="auto"/>
        </w:rPr>
        <w:lastRenderedPageBreak/>
        <w:t>CENTRO DE ESTUDIOS DE LAS FINANZAS PÚBLICAS</w:t>
      </w:r>
      <w:r w:rsidR="006821D6" w:rsidRPr="00B401A7">
        <w:rPr>
          <w:rFonts w:eastAsia="Times New Roman"/>
          <w:color w:val="auto"/>
        </w:rPr>
        <w:t xml:space="preserve"> (CEFP) </w:t>
      </w:r>
      <w:r w:rsidRPr="00B401A7">
        <w:rPr>
          <w:rFonts w:eastAsia="Times New Roman"/>
          <w:color w:val="auto"/>
        </w:rPr>
        <w:t>[</w:t>
      </w:r>
      <w:r w:rsidR="006821D6" w:rsidRPr="00B401A7">
        <w:rPr>
          <w:rFonts w:eastAsia="Times New Roman"/>
          <w:color w:val="auto"/>
        </w:rPr>
        <w:t>2006</w:t>
      </w:r>
      <w:r w:rsidRPr="00B401A7">
        <w:rPr>
          <w:rFonts w:eastAsia="Times New Roman"/>
          <w:color w:val="auto"/>
        </w:rPr>
        <w:t>]</w:t>
      </w:r>
      <w:r w:rsidR="006821D6" w:rsidRPr="00B401A7">
        <w:rPr>
          <w:rFonts w:eastAsia="Times New Roman"/>
          <w:color w:val="auto"/>
        </w:rPr>
        <w:t xml:space="preserve">. </w:t>
      </w:r>
      <w:r w:rsidR="006821D6" w:rsidRPr="00B401A7">
        <w:rPr>
          <w:rFonts w:eastAsia="Times New Roman"/>
          <w:i/>
          <w:color w:val="auto"/>
        </w:rPr>
        <w:t>“</w:t>
      </w:r>
      <w:r w:rsidR="006821D6" w:rsidRPr="00B401A7">
        <w:rPr>
          <w:rFonts w:eastAsia="Times New Roman"/>
          <w:i/>
          <w:color w:val="auto"/>
          <w:u w:val="single"/>
        </w:rPr>
        <w:t>Ramo 33 aportaciones federales para entidades federativas y municipios</w:t>
      </w:r>
      <w:r w:rsidR="006821D6" w:rsidRPr="00B401A7">
        <w:rPr>
          <w:rFonts w:eastAsia="Times New Roman"/>
          <w:i/>
          <w:color w:val="auto"/>
        </w:rPr>
        <w:t>”</w:t>
      </w:r>
      <w:r w:rsidRPr="00B401A7">
        <w:rPr>
          <w:rFonts w:eastAsia="Times New Roman"/>
          <w:i/>
          <w:color w:val="auto"/>
        </w:rPr>
        <w:t>,</w:t>
      </w:r>
      <w:r w:rsidR="006821D6" w:rsidRPr="00B401A7">
        <w:rPr>
          <w:rFonts w:eastAsia="Times New Roman"/>
          <w:color w:val="auto"/>
        </w:rPr>
        <w:t xml:space="preserve"> Serie de Cuadernos de Finanzas Públicas 2006, 9. Palacio Legislativo de San Lázaro.</w:t>
      </w:r>
    </w:p>
    <w:p w:rsidR="006821D6" w:rsidRPr="00B401A7" w:rsidRDefault="006821D6" w:rsidP="008E4D33">
      <w:pPr>
        <w:pStyle w:val="Default"/>
        <w:spacing w:line="360" w:lineRule="auto"/>
        <w:ind w:left="567"/>
        <w:jc w:val="both"/>
        <w:rPr>
          <w:rFonts w:eastAsia="Times New Roman"/>
          <w:color w:val="auto"/>
        </w:rPr>
      </w:pPr>
    </w:p>
    <w:p w:rsidR="00B33962" w:rsidRPr="00B401A7" w:rsidRDefault="008E4D33" w:rsidP="008E4D33">
      <w:pPr>
        <w:pStyle w:val="Default"/>
        <w:numPr>
          <w:ilvl w:val="0"/>
          <w:numId w:val="15"/>
        </w:numPr>
        <w:spacing w:line="360" w:lineRule="auto"/>
        <w:ind w:left="567"/>
        <w:jc w:val="both"/>
        <w:rPr>
          <w:rFonts w:eastAsia="Times New Roman"/>
          <w:color w:val="auto"/>
        </w:rPr>
      </w:pPr>
      <w:r w:rsidRPr="00B401A7">
        <w:rPr>
          <w:rFonts w:eastAsia="Times New Roman"/>
          <w:color w:val="auto"/>
        </w:rPr>
        <w:t>EL COLEGIO</w:t>
      </w:r>
      <w:r w:rsidR="00B33962" w:rsidRPr="00B401A7">
        <w:rPr>
          <w:rFonts w:eastAsia="Times New Roman"/>
          <w:color w:val="auto"/>
        </w:rPr>
        <w:t xml:space="preserve"> </w:t>
      </w:r>
      <w:r w:rsidR="00AF6A66" w:rsidRPr="00B401A7">
        <w:rPr>
          <w:rFonts w:eastAsia="Times New Roman"/>
          <w:color w:val="auto"/>
        </w:rPr>
        <w:t>DE MÉXICO [</w:t>
      </w:r>
      <w:r w:rsidR="00B33962" w:rsidRPr="00B401A7">
        <w:rPr>
          <w:rFonts w:eastAsia="Times New Roman"/>
          <w:color w:val="auto"/>
        </w:rPr>
        <w:t>2009</w:t>
      </w:r>
      <w:r w:rsidR="00AF6A66" w:rsidRPr="00B401A7">
        <w:rPr>
          <w:rFonts w:eastAsia="Times New Roman"/>
          <w:color w:val="auto"/>
        </w:rPr>
        <w:t>]</w:t>
      </w:r>
      <w:r w:rsidR="00B33962" w:rsidRPr="00B401A7">
        <w:rPr>
          <w:rFonts w:eastAsia="Times New Roman"/>
          <w:color w:val="auto"/>
        </w:rPr>
        <w:t xml:space="preserve">. </w:t>
      </w:r>
      <w:r w:rsidR="00B33962" w:rsidRPr="00B401A7">
        <w:rPr>
          <w:rFonts w:eastAsia="Times New Roman"/>
          <w:i/>
          <w:color w:val="auto"/>
        </w:rPr>
        <w:t>“</w:t>
      </w:r>
      <w:r w:rsidR="00B33962" w:rsidRPr="00B401A7">
        <w:rPr>
          <w:rFonts w:eastAsia="Times New Roman"/>
          <w:i/>
          <w:color w:val="auto"/>
          <w:u w:val="single"/>
        </w:rPr>
        <w:t>Evaluación estratégica del Ramo 33</w:t>
      </w:r>
      <w:r w:rsidR="00B33962" w:rsidRPr="00B401A7">
        <w:rPr>
          <w:rFonts w:eastAsia="Times New Roman"/>
          <w:i/>
          <w:color w:val="auto"/>
        </w:rPr>
        <w:t>”</w:t>
      </w:r>
      <w:r w:rsidR="00AF6A66" w:rsidRPr="00B401A7">
        <w:rPr>
          <w:rFonts w:eastAsia="Times New Roman"/>
          <w:i/>
          <w:color w:val="auto"/>
        </w:rPr>
        <w:t>,</w:t>
      </w:r>
      <w:r w:rsidR="00AF6A66" w:rsidRPr="00B401A7">
        <w:rPr>
          <w:rFonts w:eastAsia="Times New Roman"/>
          <w:color w:val="auto"/>
        </w:rPr>
        <w:t xml:space="preserve"> </w:t>
      </w:r>
      <w:r w:rsidR="00B33962" w:rsidRPr="00B401A7">
        <w:rPr>
          <w:rFonts w:eastAsia="Times New Roman"/>
          <w:color w:val="auto"/>
        </w:rPr>
        <w:t>Estudio desarrollado por El Colegio de México para el CONEVAL.</w:t>
      </w:r>
    </w:p>
    <w:p w:rsidR="00B56E5A" w:rsidRPr="00B401A7" w:rsidRDefault="00B56E5A" w:rsidP="00B56E5A">
      <w:pPr>
        <w:pStyle w:val="Default"/>
        <w:spacing w:line="360" w:lineRule="auto"/>
        <w:ind w:left="567"/>
        <w:jc w:val="both"/>
        <w:rPr>
          <w:rFonts w:eastAsia="Times New Roman"/>
          <w:color w:val="auto"/>
        </w:rPr>
      </w:pPr>
    </w:p>
    <w:p w:rsidR="00B56E5A" w:rsidRPr="00B401A7" w:rsidRDefault="00B56E5A" w:rsidP="00B56E5A">
      <w:pPr>
        <w:pStyle w:val="Default"/>
        <w:numPr>
          <w:ilvl w:val="0"/>
          <w:numId w:val="15"/>
        </w:numPr>
        <w:spacing w:line="360" w:lineRule="auto"/>
        <w:ind w:left="567"/>
        <w:jc w:val="both"/>
        <w:rPr>
          <w:rFonts w:eastAsia="Times New Roman"/>
          <w:color w:val="auto"/>
        </w:rPr>
      </w:pPr>
      <w:r w:rsidRPr="00B401A7">
        <w:rPr>
          <w:rFonts w:eastAsia="Times New Roman"/>
          <w:color w:val="auto"/>
        </w:rPr>
        <w:t>ESQUIVEL MARTÍNEZ, Marco Antonio [2012]. “</w:t>
      </w:r>
      <w:r w:rsidRPr="00B401A7">
        <w:rPr>
          <w:rFonts w:eastAsia="Times New Roman"/>
          <w:i/>
          <w:color w:val="auto"/>
          <w:u w:val="single"/>
        </w:rPr>
        <w:t>Revisión y Fiscalización de la Cuenta Pública en la Federación y el Estado de México”</w:t>
      </w:r>
      <w:r w:rsidRPr="00B401A7">
        <w:rPr>
          <w:rFonts w:eastAsia="Times New Roman"/>
          <w:color w:val="auto"/>
        </w:rPr>
        <w:t>. Toluca de Lerdo, Estado de México, Consejo Editorial de la Administración Pública Estatal.</w:t>
      </w:r>
    </w:p>
    <w:p w:rsidR="00B33962" w:rsidRPr="00B401A7" w:rsidRDefault="00B33962" w:rsidP="008E4D33">
      <w:pPr>
        <w:pStyle w:val="Default"/>
        <w:spacing w:line="360" w:lineRule="auto"/>
        <w:ind w:left="567"/>
        <w:jc w:val="both"/>
        <w:rPr>
          <w:rFonts w:eastAsia="Times New Roman"/>
          <w:color w:val="auto"/>
        </w:rPr>
      </w:pPr>
    </w:p>
    <w:p w:rsidR="009D6F7E" w:rsidRPr="00B401A7" w:rsidRDefault="00AF6A66" w:rsidP="008E4D33">
      <w:pPr>
        <w:pStyle w:val="Default"/>
        <w:numPr>
          <w:ilvl w:val="0"/>
          <w:numId w:val="15"/>
        </w:numPr>
        <w:spacing w:line="360" w:lineRule="auto"/>
        <w:ind w:left="567"/>
        <w:jc w:val="both"/>
        <w:rPr>
          <w:color w:val="auto"/>
        </w:rPr>
      </w:pPr>
      <w:r w:rsidRPr="00B401A7">
        <w:rPr>
          <w:color w:val="auto"/>
        </w:rPr>
        <w:t>INSTITUTO LATINOAMERICANO Y DEL CARIBE DE PLANIFICACIÓN ECONÓMICA SOCIAL (</w:t>
      </w:r>
      <w:r w:rsidR="009D6F7E" w:rsidRPr="00B401A7">
        <w:rPr>
          <w:color w:val="auto"/>
        </w:rPr>
        <w:t>ILPES</w:t>
      </w:r>
      <w:r w:rsidRPr="00B401A7">
        <w:rPr>
          <w:color w:val="auto"/>
        </w:rPr>
        <w:t>) [</w:t>
      </w:r>
      <w:r w:rsidR="009D6F7E" w:rsidRPr="00B401A7">
        <w:rPr>
          <w:color w:val="auto"/>
        </w:rPr>
        <w:t>2003</w:t>
      </w:r>
      <w:r w:rsidRPr="00B401A7">
        <w:rPr>
          <w:color w:val="auto"/>
        </w:rPr>
        <w:t>]</w:t>
      </w:r>
      <w:r w:rsidR="009D6F7E" w:rsidRPr="00B401A7">
        <w:rPr>
          <w:color w:val="auto"/>
        </w:rPr>
        <w:t xml:space="preserve">. </w:t>
      </w:r>
      <w:r w:rsidR="009D6F7E" w:rsidRPr="00B401A7">
        <w:rPr>
          <w:i/>
          <w:color w:val="auto"/>
        </w:rPr>
        <w:t>“</w:t>
      </w:r>
      <w:r w:rsidR="009D6F7E" w:rsidRPr="00B401A7">
        <w:rPr>
          <w:i/>
          <w:color w:val="auto"/>
          <w:u w:val="single"/>
        </w:rPr>
        <w:t>Los indicadores de evaluación del desempeño: una herramienta para la Gestión por Resultados en América Latina</w:t>
      </w:r>
      <w:r w:rsidR="009D6F7E" w:rsidRPr="00B401A7">
        <w:rPr>
          <w:i/>
          <w:color w:val="auto"/>
        </w:rPr>
        <w:t>”</w:t>
      </w:r>
      <w:r w:rsidR="009D6F7E" w:rsidRPr="00B401A7">
        <w:rPr>
          <w:color w:val="auto"/>
        </w:rPr>
        <w:t>, Boletín del Instituto, núm. 13.</w:t>
      </w:r>
    </w:p>
    <w:p w:rsidR="009D6F7E" w:rsidRPr="00B401A7" w:rsidRDefault="009D6F7E" w:rsidP="008E4D33">
      <w:pPr>
        <w:pStyle w:val="Default"/>
        <w:spacing w:line="360" w:lineRule="auto"/>
        <w:ind w:left="567"/>
        <w:jc w:val="both"/>
        <w:rPr>
          <w:color w:val="auto"/>
        </w:rPr>
      </w:pPr>
    </w:p>
    <w:p w:rsidR="009D6F7E" w:rsidRPr="00B401A7" w:rsidRDefault="00B56E5A" w:rsidP="008E4D33">
      <w:pPr>
        <w:pStyle w:val="Default"/>
        <w:numPr>
          <w:ilvl w:val="0"/>
          <w:numId w:val="15"/>
        </w:numPr>
        <w:spacing w:line="360" w:lineRule="auto"/>
        <w:ind w:left="567"/>
        <w:jc w:val="both"/>
        <w:rPr>
          <w:color w:val="auto"/>
        </w:rPr>
      </w:pPr>
      <w:r w:rsidRPr="00B401A7">
        <w:rPr>
          <w:color w:val="auto"/>
        </w:rPr>
        <w:t>INSTITUTO LATINOAMERICANO Y DEL CARIBE DE PLANIFICACIÓN ECONÓMICA SOCIAL (ILPES)</w:t>
      </w:r>
      <w:r w:rsidR="00AF6A66" w:rsidRPr="00B401A7">
        <w:rPr>
          <w:color w:val="auto"/>
        </w:rPr>
        <w:t xml:space="preserve"> [</w:t>
      </w:r>
      <w:r w:rsidR="009D6F7E" w:rsidRPr="00B401A7">
        <w:rPr>
          <w:color w:val="auto"/>
        </w:rPr>
        <w:t>2004</w:t>
      </w:r>
      <w:r w:rsidR="00AF6A66" w:rsidRPr="00B401A7">
        <w:rPr>
          <w:color w:val="auto"/>
        </w:rPr>
        <w:t>]</w:t>
      </w:r>
      <w:r w:rsidR="009D6F7E" w:rsidRPr="00B401A7">
        <w:rPr>
          <w:color w:val="auto"/>
        </w:rPr>
        <w:t>. “</w:t>
      </w:r>
      <w:r w:rsidR="009D6F7E" w:rsidRPr="00B401A7">
        <w:rPr>
          <w:color w:val="auto"/>
          <w:u w:val="single"/>
        </w:rPr>
        <w:t>Metodología del marco lógico</w:t>
      </w:r>
      <w:r w:rsidR="009D6F7E" w:rsidRPr="00B401A7">
        <w:rPr>
          <w:color w:val="auto"/>
        </w:rPr>
        <w:t>”, Boletín del Instituto, núm. 15.</w:t>
      </w:r>
    </w:p>
    <w:p w:rsidR="00B33962" w:rsidRPr="00B401A7" w:rsidRDefault="00B33962" w:rsidP="008E4D33">
      <w:pPr>
        <w:pStyle w:val="Default"/>
        <w:spacing w:line="360" w:lineRule="auto"/>
        <w:ind w:left="567"/>
        <w:jc w:val="both"/>
        <w:rPr>
          <w:rFonts w:eastAsia="Times New Roman"/>
          <w:color w:val="auto"/>
        </w:rPr>
      </w:pPr>
    </w:p>
    <w:p w:rsidR="00B33962" w:rsidRPr="00B401A7" w:rsidRDefault="009D6F7E" w:rsidP="008E4D33">
      <w:pPr>
        <w:pStyle w:val="Default"/>
        <w:numPr>
          <w:ilvl w:val="0"/>
          <w:numId w:val="15"/>
        </w:numPr>
        <w:spacing w:line="360" w:lineRule="auto"/>
        <w:ind w:left="567"/>
        <w:jc w:val="both"/>
        <w:rPr>
          <w:rFonts w:eastAsia="Times New Roman"/>
          <w:color w:val="auto"/>
          <w:lang w:val="en-US"/>
        </w:rPr>
      </w:pPr>
      <w:r w:rsidRPr="00B401A7">
        <w:rPr>
          <w:rFonts w:eastAsia="Times New Roman"/>
          <w:color w:val="auto"/>
        </w:rPr>
        <w:t>ISSAI1 (</w:t>
      </w:r>
      <w:proofErr w:type="spellStart"/>
      <w:r w:rsidRPr="00B401A7">
        <w:rPr>
          <w:rFonts w:eastAsia="Times New Roman"/>
          <w:color w:val="auto"/>
        </w:rPr>
        <w:t>n.d</w:t>
      </w:r>
      <w:proofErr w:type="spellEnd"/>
      <w:r w:rsidRPr="00B401A7">
        <w:rPr>
          <w:rFonts w:eastAsia="Times New Roman"/>
          <w:color w:val="auto"/>
        </w:rPr>
        <w:t xml:space="preserve">), </w:t>
      </w:r>
      <w:r w:rsidR="00AF6A66" w:rsidRPr="00B401A7">
        <w:rPr>
          <w:rFonts w:eastAsia="Times New Roman"/>
          <w:color w:val="auto"/>
        </w:rPr>
        <w:t>“</w:t>
      </w:r>
      <w:r w:rsidRPr="00B401A7">
        <w:rPr>
          <w:rFonts w:eastAsia="Times New Roman"/>
          <w:i/>
          <w:color w:val="auto"/>
          <w:u w:val="single"/>
        </w:rPr>
        <w:t>Declaración de Lima</w:t>
      </w:r>
      <w:r w:rsidR="00AF6A66" w:rsidRPr="00B401A7">
        <w:rPr>
          <w:rFonts w:eastAsia="Times New Roman"/>
          <w:color w:val="auto"/>
        </w:rPr>
        <w:t>”</w:t>
      </w:r>
      <w:r w:rsidRPr="00B401A7">
        <w:rPr>
          <w:rFonts w:eastAsia="Times New Roman"/>
          <w:color w:val="auto"/>
        </w:rPr>
        <w:t xml:space="preserve">. </w:t>
      </w:r>
      <w:r w:rsidRPr="00B401A7">
        <w:rPr>
          <w:rFonts w:eastAsia="Times New Roman"/>
          <w:color w:val="auto"/>
          <w:lang w:val="en-US"/>
        </w:rPr>
        <w:t>Vienna, Austria, INTOSAI General Secretariat - RECHNUNGSHOF (Austrian Court of Audit).</w:t>
      </w:r>
    </w:p>
    <w:p w:rsidR="006821D6" w:rsidRPr="00B401A7" w:rsidRDefault="006821D6" w:rsidP="008E4D33">
      <w:pPr>
        <w:pStyle w:val="Default"/>
        <w:spacing w:line="360" w:lineRule="auto"/>
        <w:ind w:left="567"/>
        <w:jc w:val="both"/>
        <w:rPr>
          <w:rFonts w:eastAsia="Times New Roman"/>
          <w:color w:val="auto"/>
          <w:lang w:val="en-US"/>
        </w:rPr>
      </w:pPr>
    </w:p>
    <w:p w:rsidR="00AB31DF" w:rsidRPr="00B401A7" w:rsidRDefault="00AF6A66" w:rsidP="008E4D33">
      <w:pPr>
        <w:pStyle w:val="Default"/>
        <w:numPr>
          <w:ilvl w:val="0"/>
          <w:numId w:val="15"/>
        </w:numPr>
        <w:spacing w:line="360" w:lineRule="auto"/>
        <w:ind w:left="567"/>
        <w:jc w:val="both"/>
        <w:rPr>
          <w:color w:val="auto"/>
        </w:rPr>
      </w:pPr>
      <w:r w:rsidRPr="00B401A7">
        <w:rPr>
          <w:color w:val="auto"/>
        </w:rPr>
        <w:t>MÉXICO</w:t>
      </w:r>
      <w:r w:rsidR="00AB31DF" w:rsidRPr="00B401A7">
        <w:rPr>
          <w:color w:val="auto"/>
        </w:rPr>
        <w:t>, H. “LV” L</w:t>
      </w:r>
      <w:r w:rsidRPr="00B401A7">
        <w:rPr>
          <w:color w:val="auto"/>
        </w:rPr>
        <w:t>egislatura del Estado de México</w:t>
      </w:r>
      <w:r w:rsidR="00AB31DF" w:rsidRPr="00B401A7">
        <w:rPr>
          <w:color w:val="auto"/>
        </w:rPr>
        <w:t xml:space="preserve"> </w:t>
      </w:r>
      <w:r w:rsidRPr="00B401A7">
        <w:rPr>
          <w:color w:val="auto"/>
        </w:rPr>
        <w:t>[</w:t>
      </w:r>
      <w:r w:rsidR="00AB31DF" w:rsidRPr="00B401A7">
        <w:rPr>
          <w:color w:val="auto"/>
        </w:rPr>
        <w:t>4 de junio de 2004</w:t>
      </w:r>
      <w:r w:rsidRPr="00B401A7">
        <w:rPr>
          <w:color w:val="auto"/>
        </w:rPr>
        <w:t>]</w:t>
      </w:r>
      <w:r w:rsidR="00AB31DF" w:rsidRPr="00B401A7">
        <w:rPr>
          <w:color w:val="auto"/>
        </w:rPr>
        <w:t xml:space="preserve">. </w:t>
      </w:r>
      <w:r w:rsidRPr="00B401A7">
        <w:rPr>
          <w:color w:val="auto"/>
        </w:rPr>
        <w:t>“</w:t>
      </w:r>
      <w:r w:rsidR="00AB31DF" w:rsidRPr="00B401A7">
        <w:rPr>
          <w:i/>
          <w:color w:val="auto"/>
          <w:u w:val="single"/>
        </w:rPr>
        <w:t>Decreto Número 48</w:t>
      </w:r>
      <w:r w:rsidRPr="00B401A7">
        <w:rPr>
          <w:i/>
          <w:color w:val="auto"/>
          <w:u w:val="single"/>
        </w:rPr>
        <w:t>”</w:t>
      </w:r>
      <w:r w:rsidR="00AB31DF" w:rsidRPr="00B401A7">
        <w:rPr>
          <w:color w:val="auto"/>
        </w:rPr>
        <w:t>. Estado de México: Gaceta del Gobierno del Estado de México.</w:t>
      </w:r>
    </w:p>
    <w:p w:rsidR="006821D6" w:rsidRPr="00B401A7" w:rsidRDefault="006821D6" w:rsidP="008E4D33">
      <w:pPr>
        <w:pStyle w:val="Default"/>
        <w:spacing w:line="360" w:lineRule="auto"/>
        <w:ind w:left="567"/>
        <w:jc w:val="both"/>
        <w:rPr>
          <w:rFonts w:eastAsia="Times New Roman"/>
          <w:color w:val="auto"/>
        </w:rPr>
      </w:pPr>
    </w:p>
    <w:p w:rsidR="006821D6" w:rsidRPr="00B401A7" w:rsidRDefault="00AF6A66" w:rsidP="008E4D33">
      <w:pPr>
        <w:pStyle w:val="Default"/>
        <w:numPr>
          <w:ilvl w:val="0"/>
          <w:numId w:val="15"/>
        </w:numPr>
        <w:spacing w:line="360" w:lineRule="auto"/>
        <w:ind w:left="567"/>
        <w:jc w:val="both"/>
        <w:rPr>
          <w:rFonts w:eastAsia="Times New Roman"/>
          <w:color w:val="auto"/>
        </w:rPr>
      </w:pPr>
      <w:r w:rsidRPr="00B401A7">
        <w:rPr>
          <w:color w:val="auto"/>
        </w:rPr>
        <w:t>MÉXICO</w:t>
      </w:r>
      <w:r w:rsidR="00AB31DF" w:rsidRPr="00B401A7">
        <w:rPr>
          <w:color w:val="auto"/>
        </w:rPr>
        <w:t xml:space="preserve">, Secretaría de Gobernación </w:t>
      </w:r>
      <w:r w:rsidRPr="00B401A7">
        <w:rPr>
          <w:color w:val="auto"/>
        </w:rPr>
        <w:t>[</w:t>
      </w:r>
      <w:r w:rsidR="00AB31DF" w:rsidRPr="00B401A7">
        <w:rPr>
          <w:color w:val="auto"/>
        </w:rPr>
        <w:t>2016</w:t>
      </w:r>
      <w:r w:rsidRPr="00B401A7">
        <w:rPr>
          <w:color w:val="auto"/>
        </w:rPr>
        <w:t>]</w:t>
      </w:r>
      <w:r w:rsidR="00AB31DF" w:rsidRPr="00B401A7">
        <w:rPr>
          <w:color w:val="auto"/>
        </w:rPr>
        <w:t>.</w:t>
      </w:r>
      <w:r w:rsidR="00AB31DF" w:rsidRPr="00B401A7">
        <w:rPr>
          <w:i/>
          <w:color w:val="auto"/>
        </w:rPr>
        <w:t xml:space="preserve"> </w:t>
      </w:r>
      <w:r w:rsidRPr="00B401A7">
        <w:rPr>
          <w:i/>
          <w:color w:val="auto"/>
        </w:rPr>
        <w:t>“</w:t>
      </w:r>
      <w:r w:rsidR="00AB31DF" w:rsidRPr="00B401A7">
        <w:rPr>
          <w:i/>
          <w:color w:val="auto"/>
          <w:u w:val="single"/>
        </w:rPr>
        <w:t>Ley de Coordinación Fiscal</w:t>
      </w:r>
      <w:r w:rsidRPr="00B401A7">
        <w:rPr>
          <w:color w:val="auto"/>
        </w:rPr>
        <w:t>”</w:t>
      </w:r>
      <w:r w:rsidR="00AB31DF" w:rsidRPr="00B401A7">
        <w:rPr>
          <w:color w:val="auto"/>
        </w:rPr>
        <w:t>. Distrito Federal: Diario Oficial de la Federación.</w:t>
      </w:r>
    </w:p>
    <w:p w:rsidR="00AB31DF" w:rsidRPr="00B401A7" w:rsidRDefault="00AB31DF" w:rsidP="008E4D33">
      <w:pPr>
        <w:pStyle w:val="Default"/>
        <w:spacing w:line="360" w:lineRule="auto"/>
        <w:ind w:left="567"/>
        <w:jc w:val="both"/>
        <w:rPr>
          <w:rFonts w:eastAsia="Times New Roman"/>
          <w:color w:val="auto"/>
        </w:rPr>
      </w:pPr>
    </w:p>
    <w:p w:rsidR="00AB31DF" w:rsidRPr="00B401A7" w:rsidRDefault="00D920B6" w:rsidP="008E4D33">
      <w:pPr>
        <w:pStyle w:val="Default"/>
        <w:numPr>
          <w:ilvl w:val="0"/>
          <w:numId w:val="15"/>
        </w:numPr>
        <w:spacing w:line="360" w:lineRule="auto"/>
        <w:ind w:left="567"/>
        <w:jc w:val="both"/>
        <w:rPr>
          <w:rFonts w:eastAsia="Times New Roman"/>
          <w:color w:val="auto"/>
        </w:rPr>
      </w:pPr>
      <w:r w:rsidRPr="00B401A7">
        <w:rPr>
          <w:color w:val="auto"/>
        </w:rPr>
        <w:t>MÉXICO</w:t>
      </w:r>
      <w:r w:rsidR="00AB31DF" w:rsidRPr="00B401A7">
        <w:rPr>
          <w:color w:val="auto"/>
        </w:rPr>
        <w:t>, Secretarí</w:t>
      </w:r>
      <w:r w:rsidR="00E62518" w:rsidRPr="00B401A7">
        <w:rPr>
          <w:color w:val="auto"/>
        </w:rPr>
        <w:t>a de Hacienda y Crédito Público</w:t>
      </w:r>
      <w:r w:rsidR="00AB31DF" w:rsidRPr="00B401A7">
        <w:rPr>
          <w:color w:val="auto"/>
        </w:rPr>
        <w:t xml:space="preserve"> </w:t>
      </w:r>
      <w:r w:rsidR="00E62518" w:rsidRPr="00B401A7">
        <w:rPr>
          <w:color w:val="auto"/>
        </w:rPr>
        <w:t>[</w:t>
      </w:r>
      <w:r w:rsidR="00AB31DF" w:rsidRPr="00B401A7">
        <w:rPr>
          <w:color w:val="auto"/>
        </w:rPr>
        <w:t>2006</w:t>
      </w:r>
      <w:r w:rsidR="00E62518" w:rsidRPr="00B401A7">
        <w:rPr>
          <w:color w:val="auto"/>
        </w:rPr>
        <w:t>]</w:t>
      </w:r>
      <w:r w:rsidR="00AB31DF" w:rsidRPr="00B401A7">
        <w:rPr>
          <w:color w:val="auto"/>
        </w:rPr>
        <w:t>.</w:t>
      </w:r>
      <w:r w:rsidR="00AB31DF" w:rsidRPr="00B401A7">
        <w:rPr>
          <w:i/>
          <w:color w:val="auto"/>
        </w:rPr>
        <w:t xml:space="preserve"> </w:t>
      </w:r>
      <w:r w:rsidR="00E62518" w:rsidRPr="00B401A7">
        <w:rPr>
          <w:i/>
          <w:color w:val="auto"/>
        </w:rPr>
        <w:t>“</w:t>
      </w:r>
      <w:r w:rsidR="00AB31DF" w:rsidRPr="00B401A7">
        <w:rPr>
          <w:i/>
          <w:color w:val="auto"/>
          <w:u w:val="single"/>
        </w:rPr>
        <w:t>Ley Federal de Presupuesto y Responsabilidad Hacendaria</w:t>
      </w:r>
      <w:r w:rsidR="00AB31DF" w:rsidRPr="00B401A7">
        <w:rPr>
          <w:color w:val="auto"/>
          <w:u w:val="single"/>
        </w:rPr>
        <w:t xml:space="preserve">, </w:t>
      </w:r>
      <w:r w:rsidR="00AB31DF" w:rsidRPr="00B401A7">
        <w:rPr>
          <w:i/>
          <w:color w:val="auto"/>
          <w:u w:val="single"/>
        </w:rPr>
        <w:t>Art. 2, Frac. LIII</w:t>
      </w:r>
      <w:r w:rsidR="00E62518" w:rsidRPr="00B401A7">
        <w:rPr>
          <w:i/>
          <w:color w:val="auto"/>
          <w:u w:val="single"/>
        </w:rPr>
        <w:t>”</w:t>
      </w:r>
      <w:r w:rsidR="00AB31DF" w:rsidRPr="00B401A7">
        <w:rPr>
          <w:color w:val="auto"/>
        </w:rPr>
        <w:t>. Distrito Federal: Diario Oficial de la Federación.</w:t>
      </w:r>
    </w:p>
    <w:p w:rsidR="00AB31DF" w:rsidRPr="00B401A7" w:rsidRDefault="00AB31DF" w:rsidP="008E4D33">
      <w:pPr>
        <w:pStyle w:val="Default"/>
        <w:spacing w:line="360" w:lineRule="auto"/>
        <w:ind w:left="567"/>
        <w:jc w:val="both"/>
        <w:rPr>
          <w:rFonts w:eastAsia="Times New Roman"/>
          <w:color w:val="auto"/>
        </w:rPr>
      </w:pPr>
    </w:p>
    <w:p w:rsidR="00AB31DF" w:rsidRPr="00B401A7" w:rsidRDefault="00E62518" w:rsidP="008E4D33">
      <w:pPr>
        <w:pStyle w:val="Default"/>
        <w:numPr>
          <w:ilvl w:val="0"/>
          <w:numId w:val="15"/>
        </w:numPr>
        <w:spacing w:line="360" w:lineRule="auto"/>
        <w:ind w:left="567"/>
        <w:jc w:val="both"/>
        <w:rPr>
          <w:rFonts w:eastAsia="Times New Roman"/>
          <w:color w:val="auto"/>
        </w:rPr>
      </w:pPr>
      <w:r w:rsidRPr="00B401A7">
        <w:rPr>
          <w:color w:val="auto"/>
        </w:rPr>
        <w:t>MÉXICO</w:t>
      </w:r>
      <w:r w:rsidR="00AB31DF" w:rsidRPr="00B401A7">
        <w:rPr>
          <w:color w:val="auto"/>
        </w:rPr>
        <w:t xml:space="preserve">, Secretaría de Hacienda y Crédito Público </w:t>
      </w:r>
      <w:r w:rsidRPr="00B401A7">
        <w:rPr>
          <w:color w:val="auto"/>
        </w:rPr>
        <w:t>[</w:t>
      </w:r>
      <w:r w:rsidR="00AB31DF" w:rsidRPr="00B401A7">
        <w:rPr>
          <w:color w:val="auto"/>
        </w:rPr>
        <w:t>2013</w:t>
      </w:r>
      <w:r w:rsidRPr="00B401A7">
        <w:rPr>
          <w:color w:val="auto"/>
        </w:rPr>
        <w:t>]</w:t>
      </w:r>
      <w:r w:rsidR="00AB31DF" w:rsidRPr="00B401A7">
        <w:rPr>
          <w:color w:val="auto"/>
        </w:rPr>
        <w:t>.</w:t>
      </w:r>
      <w:r w:rsidR="00AB31DF" w:rsidRPr="00B401A7">
        <w:rPr>
          <w:i/>
          <w:color w:val="auto"/>
        </w:rPr>
        <w:t xml:space="preserve"> </w:t>
      </w:r>
      <w:r w:rsidRPr="00B401A7">
        <w:rPr>
          <w:i/>
          <w:color w:val="auto"/>
        </w:rPr>
        <w:t>“</w:t>
      </w:r>
      <w:r w:rsidR="00AB31DF" w:rsidRPr="00B401A7">
        <w:rPr>
          <w:i/>
          <w:color w:val="auto"/>
          <w:u w:val="single"/>
        </w:rPr>
        <w:t>Marco de Referencia para la Comprensión del Ramo 33</w:t>
      </w:r>
      <w:r w:rsidRPr="00B401A7">
        <w:rPr>
          <w:color w:val="auto"/>
        </w:rPr>
        <w:t>”</w:t>
      </w:r>
      <w:r w:rsidR="00AB31DF" w:rsidRPr="00B401A7">
        <w:rPr>
          <w:color w:val="auto"/>
        </w:rPr>
        <w:t>. Distrito Federal: Diario Oficial de la Federación.</w:t>
      </w:r>
    </w:p>
    <w:p w:rsidR="006821D6" w:rsidRPr="00B401A7" w:rsidRDefault="006821D6" w:rsidP="008E4D33">
      <w:pPr>
        <w:pStyle w:val="Default"/>
        <w:spacing w:line="360" w:lineRule="auto"/>
        <w:ind w:left="567"/>
        <w:jc w:val="both"/>
        <w:rPr>
          <w:color w:val="auto"/>
        </w:rPr>
      </w:pPr>
    </w:p>
    <w:p w:rsidR="006821D6" w:rsidRPr="00B401A7" w:rsidRDefault="00E62518" w:rsidP="008E4D33">
      <w:pPr>
        <w:pStyle w:val="Default"/>
        <w:numPr>
          <w:ilvl w:val="0"/>
          <w:numId w:val="15"/>
        </w:numPr>
        <w:spacing w:line="360" w:lineRule="auto"/>
        <w:ind w:left="567"/>
        <w:jc w:val="both"/>
        <w:rPr>
          <w:rFonts w:eastAsia="Times New Roman"/>
          <w:color w:val="auto"/>
        </w:rPr>
      </w:pPr>
      <w:r w:rsidRPr="00B401A7">
        <w:rPr>
          <w:color w:val="auto"/>
        </w:rPr>
        <w:t>MÉXICO</w:t>
      </w:r>
      <w:r w:rsidR="00AB31DF" w:rsidRPr="00B401A7">
        <w:rPr>
          <w:color w:val="auto"/>
        </w:rPr>
        <w:t xml:space="preserve">, Secretaría de Hacienda y Crédito Público </w:t>
      </w:r>
      <w:r w:rsidRPr="00B401A7">
        <w:rPr>
          <w:color w:val="auto"/>
        </w:rPr>
        <w:t>[</w:t>
      </w:r>
      <w:r w:rsidR="00AB31DF" w:rsidRPr="00B401A7">
        <w:rPr>
          <w:color w:val="auto"/>
        </w:rPr>
        <w:t>25 de abril de 2013</w:t>
      </w:r>
      <w:r w:rsidRPr="00B401A7">
        <w:rPr>
          <w:color w:val="auto"/>
        </w:rPr>
        <w:t>]</w:t>
      </w:r>
      <w:r w:rsidR="00AB31DF" w:rsidRPr="00B401A7">
        <w:rPr>
          <w:color w:val="auto"/>
        </w:rPr>
        <w:t xml:space="preserve">. </w:t>
      </w:r>
      <w:r w:rsidRPr="00B401A7">
        <w:rPr>
          <w:color w:val="auto"/>
        </w:rPr>
        <w:t>“</w:t>
      </w:r>
      <w:r w:rsidR="00AB31DF" w:rsidRPr="00B401A7">
        <w:rPr>
          <w:i/>
          <w:color w:val="auto"/>
          <w:u w:val="single"/>
        </w:rPr>
        <w:t>Lineamientos para informar sobre los recursos federales transferidos a las entidades federativas, municipios y demarcaciones territoriales del distrito federal, y de operación de los recursos del ramo general 33</w:t>
      </w:r>
      <w:r w:rsidRPr="00B401A7">
        <w:rPr>
          <w:i/>
          <w:color w:val="auto"/>
          <w:u w:val="single"/>
        </w:rPr>
        <w:t>”</w:t>
      </w:r>
      <w:r w:rsidR="00AB31DF" w:rsidRPr="00B401A7">
        <w:rPr>
          <w:color w:val="auto"/>
        </w:rPr>
        <w:t>. Distrito Federal: Diario Oficial de la Federación.</w:t>
      </w:r>
    </w:p>
    <w:p w:rsidR="00B56E5A" w:rsidRPr="00B401A7" w:rsidRDefault="00B56E5A" w:rsidP="00B56E5A">
      <w:pPr>
        <w:pStyle w:val="Default"/>
        <w:spacing w:line="360" w:lineRule="auto"/>
        <w:ind w:left="567"/>
        <w:jc w:val="both"/>
        <w:rPr>
          <w:rFonts w:eastAsia="Times New Roman"/>
          <w:color w:val="auto"/>
        </w:rPr>
      </w:pPr>
    </w:p>
    <w:p w:rsidR="00B56E5A" w:rsidRPr="00B401A7" w:rsidRDefault="00B56E5A" w:rsidP="00B56E5A">
      <w:pPr>
        <w:pStyle w:val="Default"/>
        <w:numPr>
          <w:ilvl w:val="0"/>
          <w:numId w:val="15"/>
        </w:numPr>
        <w:spacing w:line="360" w:lineRule="auto"/>
        <w:ind w:left="567"/>
        <w:jc w:val="both"/>
        <w:rPr>
          <w:rFonts w:eastAsia="Times New Roman"/>
          <w:color w:val="auto"/>
        </w:rPr>
      </w:pPr>
      <w:r w:rsidRPr="00B401A7">
        <w:rPr>
          <w:rFonts w:eastAsia="Times New Roman"/>
          <w:color w:val="auto"/>
        </w:rPr>
        <w:t>PÉREZ ARMIENTA, Eduardo [09 de diciembre de 2012]. “</w:t>
      </w:r>
      <w:r w:rsidRPr="00B401A7">
        <w:rPr>
          <w:rFonts w:eastAsia="Times New Roman"/>
          <w:i/>
          <w:color w:val="auto"/>
          <w:u w:val="single"/>
        </w:rPr>
        <w:t>FATCA: El Inicio de la Fiscalización Internacional</w:t>
      </w:r>
      <w:r w:rsidRPr="00B401A7">
        <w:rPr>
          <w:rFonts w:eastAsia="Times New Roman"/>
          <w:color w:val="auto"/>
        </w:rPr>
        <w:t>”, El Economista.</w:t>
      </w:r>
    </w:p>
    <w:p w:rsidR="00E62518" w:rsidRDefault="00E62518" w:rsidP="008E4D33">
      <w:pPr>
        <w:pStyle w:val="Default"/>
        <w:spacing w:line="360" w:lineRule="auto"/>
        <w:ind w:left="567"/>
        <w:jc w:val="both"/>
        <w:rPr>
          <w:color w:val="auto"/>
        </w:rPr>
      </w:pPr>
    </w:p>
    <w:p w:rsidR="00A06A78" w:rsidRDefault="00A06A78" w:rsidP="008E4D33">
      <w:pPr>
        <w:pStyle w:val="Default"/>
        <w:spacing w:line="360" w:lineRule="auto"/>
        <w:ind w:left="567"/>
        <w:jc w:val="both"/>
        <w:rPr>
          <w:color w:val="auto"/>
        </w:rPr>
      </w:pPr>
    </w:p>
    <w:p w:rsidR="00A06A78" w:rsidRPr="00B401A7" w:rsidRDefault="00A06A7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Pr="00B401A7" w:rsidRDefault="00E62518" w:rsidP="008E4D33">
      <w:pPr>
        <w:pStyle w:val="Default"/>
        <w:spacing w:line="360" w:lineRule="auto"/>
        <w:ind w:left="567"/>
        <w:jc w:val="both"/>
        <w:rPr>
          <w:color w:val="auto"/>
        </w:rPr>
      </w:pPr>
    </w:p>
    <w:p w:rsidR="00E62518" w:rsidRDefault="00E62518" w:rsidP="008E4D33">
      <w:pPr>
        <w:pStyle w:val="Default"/>
        <w:spacing w:line="360" w:lineRule="auto"/>
        <w:ind w:left="567"/>
        <w:jc w:val="both"/>
      </w:pPr>
    </w:p>
    <w:p w:rsidR="00E62518" w:rsidRDefault="00E62518" w:rsidP="008E4D33">
      <w:pPr>
        <w:pStyle w:val="Default"/>
        <w:spacing w:line="360" w:lineRule="auto"/>
        <w:ind w:left="567"/>
        <w:jc w:val="both"/>
      </w:pPr>
    </w:p>
    <w:p w:rsidR="00E62518" w:rsidRDefault="00E62518" w:rsidP="008E4D33">
      <w:pPr>
        <w:pStyle w:val="Default"/>
        <w:spacing w:line="360" w:lineRule="auto"/>
        <w:ind w:left="567"/>
        <w:jc w:val="both"/>
      </w:pPr>
    </w:p>
    <w:p w:rsidR="00E62518" w:rsidRPr="00E62518" w:rsidRDefault="00E62518" w:rsidP="00E62518">
      <w:pPr>
        <w:pStyle w:val="Default"/>
        <w:spacing w:line="360" w:lineRule="auto"/>
        <w:jc w:val="center"/>
        <w:rPr>
          <w:b/>
        </w:rPr>
      </w:pPr>
      <w:r>
        <w:rPr>
          <w:b/>
        </w:rPr>
        <w:lastRenderedPageBreak/>
        <w:t>MESOGRAFÍA</w:t>
      </w:r>
    </w:p>
    <w:p w:rsidR="00E62518" w:rsidRPr="0024464F" w:rsidRDefault="00E62518" w:rsidP="008E4D33">
      <w:pPr>
        <w:pStyle w:val="Default"/>
        <w:spacing w:line="360" w:lineRule="auto"/>
        <w:ind w:left="567"/>
        <w:jc w:val="both"/>
      </w:pPr>
    </w:p>
    <w:p w:rsidR="00AB31DF" w:rsidRPr="0024464F" w:rsidRDefault="00E62518" w:rsidP="008E4D33">
      <w:pPr>
        <w:pStyle w:val="Default"/>
        <w:numPr>
          <w:ilvl w:val="0"/>
          <w:numId w:val="15"/>
        </w:numPr>
        <w:spacing w:line="360" w:lineRule="auto"/>
        <w:ind w:left="567"/>
        <w:jc w:val="both"/>
        <w:rPr>
          <w:rFonts w:eastAsia="Times New Roman"/>
        </w:rPr>
      </w:pPr>
      <w:r w:rsidRPr="0024464F">
        <w:rPr>
          <w:rFonts w:eastAsia="Times New Roman"/>
        </w:rPr>
        <w:t>ORGANIZACIÓN INTERNACIONAL DE ENTIDADES FISCALIZADORAS SUPERIORES</w:t>
      </w:r>
      <w:r w:rsidR="00AB31DF" w:rsidRPr="0024464F">
        <w:rPr>
          <w:rFonts w:eastAsia="Times New Roman"/>
        </w:rPr>
        <w:t xml:space="preserve"> </w:t>
      </w:r>
      <w:r>
        <w:rPr>
          <w:rFonts w:eastAsia="Times New Roman"/>
        </w:rPr>
        <w:t>(</w:t>
      </w:r>
      <w:r w:rsidR="00AB31DF" w:rsidRPr="0024464F">
        <w:rPr>
          <w:rFonts w:eastAsia="Times New Roman"/>
        </w:rPr>
        <w:t>INTOSAI</w:t>
      </w:r>
      <w:r>
        <w:rPr>
          <w:rFonts w:eastAsia="Times New Roman"/>
        </w:rPr>
        <w:t>)</w:t>
      </w:r>
      <w:r w:rsidR="00AB31DF" w:rsidRPr="0024464F">
        <w:rPr>
          <w:rFonts w:eastAsia="Times New Roman"/>
        </w:rPr>
        <w:t xml:space="preserve"> </w:t>
      </w:r>
      <w:r>
        <w:rPr>
          <w:rFonts w:eastAsia="Times New Roman"/>
        </w:rPr>
        <w:t>[</w:t>
      </w:r>
      <w:proofErr w:type="spellStart"/>
      <w:r w:rsidR="00AB31DF" w:rsidRPr="0024464F">
        <w:rPr>
          <w:rFonts w:eastAsia="Times New Roman"/>
        </w:rPr>
        <w:t>n.d</w:t>
      </w:r>
      <w:proofErr w:type="spellEnd"/>
      <w:r w:rsidR="00AB31DF" w:rsidRPr="0024464F">
        <w:rPr>
          <w:rFonts w:eastAsia="Times New Roman"/>
        </w:rPr>
        <w:t>.</w:t>
      </w:r>
      <w:r>
        <w:rPr>
          <w:rFonts w:eastAsia="Times New Roman"/>
        </w:rPr>
        <w:t>]</w:t>
      </w:r>
      <w:r w:rsidR="00AB31DF" w:rsidRPr="0024464F">
        <w:rPr>
          <w:rFonts w:eastAsia="Times New Roman"/>
        </w:rPr>
        <w:t xml:space="preserve">, </w:t>
      </w:r>
      <w:r>
        <w:rPr>
          <w:rFonts w:eastAsia="Times New Roman"/>
        </w:rPr>
        <w:t>“</w:t>
      </w:r>
      <w:r w:rsidR="00AB31DF" w:rsidRPr="00E62518">
        <w:rPr>
          <w:rFonts w:eastAsia="Times New Roman"/>
          <w:i/>
          <w:u w:val="single"/>
        </w:rPr>
        <w:t>Antecedentes y Organizaciones Regionales</w:t>
      </w:r>
      <w:r>
        <w:rPr>
          <w:rFonts w:eastAsia="Times New Roman"/>
          <w:i/>
        </w:rPr>
        <w:t>”</w:t>
      </w:r>
      <w:r w:rsidR="00AB31DF" w:rsidRPr="0024464F">
        <w:rPr>
          <w:rFonts w:eastAsia="Times New Roman"/>
        </w:rPr>
        <w:t xml:space="preserve">. </w:t>
      </w:r>
      <w:r>
        <w:rPr>
          <w:rFonts w:eastAsia="Times New Roman"/>
        </w:rPr>
        <w:t>Fecha de acceso</w:t>
      </w:r>
      <w:r w:rsidR="00AB31DF" w:rsidRPr="0024464F">
        <w:rPr>
          <w:rFonts w:eastAsia="Times New Roman"/>
        </w:rPr>
        <w:t xml:space="preserve"> 20 de junio de 2017.</w:t>
      </w:r>
    </w:p>
    <w:p w:rsidR="00AB31DF" w:rsidRPr="0024464F" w:rsidRDefault="00AB31DF" w:rsidP="00E62518">
      <w:pPr>
        <w:pStyle w:val="Default"/>
        <w:spacing w:line="360" w:lineRule="auto"/>
        <w:ind w:left="567"/>
        <w:jc w:val="both"/>
        <w:rPr>
          <w:rFonts w:eastAsia="Times New Roman"/>
        </w:rPr>
      </w:pPr>
      <w:r w:rsidRPr="0024464F">
        <w:rPr>
          <w:rFonts w:eastAsia="Times New Roman"/>
        </w:rPr>
        <w:t>htpp.www.intosai.org</w:t>
      </w:r>
    </w:p>
    <w:p w:rsidR="00AB31DF" w:rsidRPr="0024464F" w:rsidRDefault="00AB31DF" w:rsidP="008E4D33">
      <w:pPr>
        <w:pStyle w:val="Default"/>
        <w:spacing w:line="360" w:lineRule="auto"/>
        <w:ind w:left="567"/>
        <w:jc w:val="both"/>
      </w:pPr>
    </w:p>
    <w:p w:rsidR="00E62518" w:rsidRDefault="00E62518" w:rsidP="00E62518">
      <w:pPr>
        <w:pStyle w:val="Default"/>
        <w:numPr>
          <w:ilvl w:val="0"/>
          <w:numId w:val="15"/>
        </w:numPr>
        <w:spacing w:line="360" w:lineRule="auto"/>
        <w:ind w:left="567"/>
        <w:jc w:val="both"/>
        <w:rPr>
          <w:rFonts w:eastAsia="Times New Roman"/>
        </w:rPr>
      </w:pPr>
      <w:r w:rsidRPr="00E62518">
        <w:rPr>
          <w:rFonts w:eastAsia="Times New Roman"/>
        </w:rPr>
        <w:t>ÓRGANO SUPERIOR DE FISCALIZACIÓN DEL ESTADO DE MÉXICO</w:t>
      </w:r>
      <w:r w:rsidR="00AB31DF" w:rsidRPr="00E62518">
        <w:rPr>
          <w:rFonts w:eastAsia="Times New Roman"/>
        </w:rPr>
        <w:t xml:space="preserve"> </w:t>
      </w:r>
      <w:r w:rsidRPr="00E62518">
        <w:rPr>
          <w:rFonts w:eastAsia="Times New Roman"/>
        </w:rPr>
        <w:t>(</w:t>
      </w:r>
      <w:r w:rsidR="00AB31DF" w:rsidRPr="00E62518">
        <w:rPr>
          <w:rFonts w:eastAsia="Times New Roman"/>
        </w:rPr>
        <w:t>OSFEM</w:t>
      </w:r>
      <w:r w:rsidRPr="00E62518">
        <w:rPr>
          <w:rFonts w:eastAsia="Times New Roman"/>
        </w:rPr>
        <w:t>)</w:t>
      </w:r>
      <w:r w:rsidR="00AB31DF" w:rsidRPr="00E62518">
        <w:rPr>
          <w:rFonts w:eastAsia="Times New Roman"/>
        </w:rPr>
        <w:t xml:space="preserve">, </w:t>
      </w:r>
      <w:r w:rsidRPr="00E62518">
        <w:rPr>
          <w:rFonts w:eastAsia="Times New Roman"/>
        </w:rPr>
        <w:t>[</w:t>
      </w:r>
      <w:r w:rsidR="00AB31DF" w:rsidRPr="00E62518">
        <w:rPr>
          <w:rFonts w:eastAsia="Times New Roman"/>
        </w:rPr>
        <w:t>26 de agosto de 2004</w:t>
      </w:r>
      <w:r w:rsidRPr="00E62518">
        <w:rPr>
          <w:rFonts w:eastAsia="Times New Roman"/>
        </w:rPr>
        <w:t>]</w:t>
      </w:r>
      <w:r w:rsidR="00AB31DF" w:rsidRPr="00E62518">
        <w:rPr>
          <w:rFonts w:eastAsia="Times New Roman"/>
        </w:rPr>
        <w:t xml:space="preserve">, </w:t>
      </w:r>
      <w:r w:rsidRPr="00E62518">
        <w:rPr>
          <w:rFonts w:eastAsia="Times New Roman"/>
        </w:rPr>
        <w:t>“</w:t>
      </w:r>
      <w:r w:rsidR="00AB31DF" w:rsidRPr="00E62518">
        <w:rPr>
          <w:rFonts w:eastAsia="Times New Roman"/>
          <w:i/>
          <w:u w:val="single"/>
        </w:rPr>
        <w:t>Organización</w:t>
      </w:r>
      <w:r w:rsidRPr="00E62518">
        <w:rPr>
          <w:rFonts w:eastAsia="Times New Roman"/>
          <w:i/>
          <w:u w:val="single"/>
        </w:rPr>
        <w:t xml:space="preserve"> </w:t>
      </w:r>
      <w:r w:rsidR="00AB31DF" w:rsidRPr="00E62518">
        <w:rPr>
          <w:rFonts w:eastAsia="Times New Roman"/>
          <w:i/>
          <w:u w:val="single"/>
        </w:rPr>
        <w:t>-</w:t>
      </w:r>
      <w:r w:rsidRPr="00E62518">
        <w:rPr>
          <w:rFonts w:eastAsia="Times New Roman"/>
          <w:i/>
          <w:u w:val="single"/>
        </w:rPr>
        <w:t xml:space="preserve"> </w:t>
      </w:r>
      <w:r w:rsidR="00AB31DF" w:rsidRPr="00E62518">
        <w:rPr>
          <w:rFonts w:eastAsia="Times New Roman"/>
          <w:i/>
          <w:u w:val="single"/>
        </w:rPr>
        <w:t>Antecedentes</w:t>
      </w:r>
      <w:r w:rsidRPr="00E62518">
        <w:rPr>
          <w:rFonts w:eastAsia="Times New Roman"/>
        </w:rPr>
        <w:t>”</w:t>
      </w:r>
      <w:r w:rsidR="00AB31DF" w:rsidRPr="00E62518">
        <w:rPr>
          <w:rFonts w:eastAsia="Times New Roman"/>
        </w:rPr>
        <w:t xml:space="preserve">. </w:t>
      </w:r>
      <w:r w:rsidRPr="00E62518">
        <w:rPr>
          <w:rFonts w:eastAsia="Times New Roman"/>
        </w:rPr>
        <w:t>Fechas de acceso</w:t>
      </w:r>
      <w:r w:rsidR="00AB31DF" w:rsidRPr="00E62518">
        <w:rPr>
          <w:rFonts w:eastAsia="Times New Roman"/>
        </w:rPr>
        <w:t xml:space="preserve"> noviembre de 2015 y junio 2017. </w:t>
      </w:r>
    </w:p>
    <w:p w:rsidR="00AB31DF" w:rsidRPr="00E62518" w:rsidRDefault="00AB31DF" w:rsidP="00E62518">
      <w:pPr>
        <w:pStyle w:val="Default"/>
        <w:spacing w:line="360" w:lineRule="auto"/>
        <w:ind w:left="567"/>
        <w:jc w:val="both"/>
        <w:rPr>
          <w:rFonts w:eastAsia="Times New Roman"/>
        </w:rPr>
      </w:pPr>
      <w:r w:rsidRPr="00E62518">
        <w:rPr>
          <w:rFonts w:eastAsia="Times New Roman"/>
        </w:rPr>
        <w:t>http.www.osfem.gob.mx</w:t>
      </w:r>
    </w:p>
    <w:p w:rsidR="00AB31DF" w:rsidRPr="0024464F" w:rsidRDefault="00AB31DF" w:rsidP="0024464F">
      <w:pPr>
        <w:pStyle w:val="Default"/>
        <w:spacing w:line="360" w:lineRule="auto"/>
        <w:jc w:val="both"/>
        <w:rPr>
          <w:rFonts w:eastAsia="Times New Roman"/>
        </w:rPr>
      </w:pPr>
    </w:p>
    <w:p w:rsidR="00AB31DF" w:rsidRDefault="00AB31DF">
      <w:pPr>
        <w:rPr>
          <w:rFonts w:ascii="Arial" w:hAnsi="Arial" w:cs="Arial"/>
          <w:color w:val="000000"/>
        </w:rPr>
      </w:pPr>
      <w:r>
        <w:br w:type="page"/>
      </w:r>
    </w:p>
    <w:p w:rsidR="006E7F92" w:rsidRPr="00474369" w:rsidRDefault="006E7F9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870812" w:rsidRPr="00474369" w:rsidRDefault="00870812" w:rsidP="00474369">
      <w:pPr>
        <w:spacing w:after="0" w:line="360" w:lineRule="auto"/>
        <w:jc w:val="both"/>
        <w:rPr>
          <w:rFonts w:ascii="Arial" w:eastAsia="Times New Roman" w:hAnsi="Arial" w:cs="Arial"/>
          <w:color w:val="000000"/>
          <w:sz w:val="24"/>
          <w:szCs w:val="24"/>
        </w:rPr>
      </w:pPr>
    </w:p>
    <w:p w:rsidR="006E7F92" w:rsidRPr="00474369" w:rsidRDefault="006E7F92" w:rsidP="00474369">
      <w:pPr>
        <w:spacing w:after="0" w:line="360" w:lineRule="auto"/>
        <w:jc w:val="both"/>
        <w:rPr>
          <w:rFonts w:ascii="Arial" w:eastAsia="Times New Roman" w:hAnsi="Arial" w:cs="Arial"/>
          <w:color w:val="000000"/>
          <w:sz w:val="24"/>
          <w:szCs w:val="24"/>
        </w:rPr>
      </w:pPr>
    </w:p>
    <w:p w:rsidR="006E7F92" w:rsidRDefault="006E7F92" w:rsidP="00474369">
      <w:pPr>
        <w:spacing w:after="0" w:line="360" w:lineRule="auto"/>
        <w:jc w:val="both"/>
        <w:rPr>
          <w:rFonts w:ascii="Arial" w:hAnsi="Arial" w:cs="Arial"/>
          <w:sz w:val="24"/>
          <w:szCs w:val="24"/>
        </w:rPr>
      </w:pPr>
    </w:p>
    <w:p w:rsidR="00474369" w:rsidRDefault="00474369" w:rsidP="00474369">
      <w:pPr>
        <w:spacing w:after="0" w:line="360" w:lineRule="auto"/>
        <w:jc w:val="both"/>
        <w:rPr>
          <w:rFonts w:ascii="Arial" w:hAnsi="Arial" w:cs="Arial"/>
          <w:sz w:val="24"/>
          <w:szCs w:val="24"/>
        </w:rPr>
      </w:pPr>
    </w:p>
    <w:p w:rsidR="00474369" w:rsidRDefault="00474369" w:rsidP="00474369">
      <w:pPr>
        <w:spacing w:after="0" w:line="360" w:lineRule="auto"/>
        <w:jc w:val="both"/>
        <w:rPr>
          <w:rFonts w:ascii="Arial" w:hAnsi="Arial" w:cs="Arial"/>
          <w:sz w:val="24"/>
          <w:szCs w:val="24"/>
        </w:rPr>
      </w:pPr>
    </w:p>
    <w:p w:rsidR="00474369" w:rsidRDefault="00474369" w:rsidP="00474369">
      <w:pPr>
        <w:spacing w:after="0" w:line="360" w:lineRule="auto"/>
        <w:jc w:val="both"/>
        <w:rPr>
          <w:rFonts w:ascii="Arial" w:hAnsi="Arial" w:cs="Arial"/>
          <w:sz w:val="24"/>
          <w:szCs w:val="24"/>
        </w:rPr>
      </w:pPr>
    </w:p>
    <w:p w:rsidR="00474369" w:rsidRPr="00474369" w:rsidRDefault="00474369" w:rsidP="00474369">
      <w:pPr>
        <w:pStyle w:val="Default"/>
        <w:spacing w:after="120"/>
        <w:jc w:val="right"/>
        <w:rPr>
          <w:rFonts w:eastAsia="Times New Roman"/>
          <w:color w:val="auto"/>
          <w:sz w:val="96"/>
          <w:szCs w:val="96"/>
        </w:rPr>
      </w:pPr>
      <w:bookmarkStart w:id="18" w:name="_GoBack"/>
      <w:bookmarkEnd w:id="18"/>
      <w:r w:rsidRPr="00474369">
        <w:rPr>
          <w:rFonts w:eastAsia="Times New Roman"/>
          <w:color w:val="auto"/>
          <w:sz w:val="96"/>
          <w:szCs w:val="96"/>
        </w:rPr>
        <w:t>Anexos</w:t>
      </w:r>
    </w:p>
    <w:p w:rsidR="006E213E" w:rsidRDefault="006E213E"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474369" w:rsidRDefault="00474369" w:rsidP="006E213E">
      <w:pPr>
        <w:spacing w:after="0" w:line="360" w:lineRule="auto"/>
        <w:jc w:val="both"/>
        <w:rPr>
          <w:rFonts w:ascii="Arial" w:hAnsi="Arial" w:cs="Arial"/>
        </w:rPr>
      </w:pPr>
    </w:p>
    <w:p w:rsidR="006E213E" w:rsidRPr="00491EAA" w:rsidRDefault="006E213E" w:rsidP="006E213E">
      <w:pPr>
        <w:spacing w:after="0" w:line="360" w:lineRule="auto"/>
        <w:jc w:val="both"/>
        <w:rPr>
          <w:rFonts w:ascii="Arial" w:hAnsi="Arial" w:cs="Arial"/>
        </w:rPr>
      </w:pPr>
    </w:p>
    <w:p w:rsidR="006E213E" w:rsidRPr="00186186" w:rsidRDefault="006E213E" w:rsidP="006E213E">
      <w:pPr>
        <w:spacing w:after="0" w:line="360" w:lineRule="auto"/>
        <w:jc w:val="both"/>
        <w:rPr>
          <w:rFonts w:ascii="Arial" w:hAnsi="Arial" w:cs="Arial"/>
        </w:rPr>
      </w:pPr>
      <w:r w:rsidRPr="00186186">
        <w:rPr>
          <w:rFonts w:ascii="Arial" w:hAnsi="Arial" w:cs="Arial"/>
          <w:noProof/>
          <w:lang w:eastAsia="es-MX"/>
        </w:rPr>
        <mc:AlternateContent>
          <mc:Choice Requires="wpg">
            <w:drawing>
              <wp:anchor distT="0" distB="0" distL="114300" distR="114300" simplePos="0" relativeHeight="251668480" behindDoc="0" locked="0" layoutInCell="1" allowOverlap="1" wp14:anchorId="0F760E8A" wp14:editId="3F186FF7">
                <wp:simplePos x="0" y="0"/>
                <wp:positionH relativeFrom="column">
                  <wp:posOffset>799156</wp:posOffset>
                </wp:positionH>
                <wp:positionV relativeFrom="paragraph">
                  <wp:posOffset>-1342072</wp:posOffset>
                </wp:positionV>
                <wp:extent cx="1999615" cy="3944620"/>
                <wp:effectExtent l="0" t="952" r="18732" b="18733"/>
                <wp:wrapNone/>
                <wp:docPr id="583" name="583 Grupo"/>
                <wp:cNvGraphicFramePr/>
                <a:graphic xmlns:a="http://schemas.openxmlformats.org/drawingml/2006/main">
                  <a:graphicData uri="http://schemas.microsoft.com/office/word/2010/wordprocessingGroup">
                    <wpg:wgp>
                      <wpg:cNvGrpSpPr/>
                      <wpg:grpSpPr>
                        <a:xfrm rot="5400000">
                          <a:off x="0" y="0"/>
                          <a:ext cx="1999615" cy="3944620"/>
                          <a:chOff x="0" y="0"/>
                          <a:chExt cx="2000192" cy="3945015"/>
                        </a:xfrm>
                      </wpg:grpSpPr>
                      <wps:wsp>
                        <wps:cNvPr id="576" name="Rectangle 7"/>
                        <wps:cNvSpPr>
                          <a:spLocks noChangeArrowheads="1"/>
                        </wps:cNvSpPr>
                        <wps:spPr bwMode="auto">
                          <a:xfrm flipH="1">
                            <a:off x="997527" y="1971303"/>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7" name="Rectangle 8"/>
                        <wps:cNvSpPr>
                          <a:spLocks noChangeArrowheads="1"/>
                        </wps:cNvSpPr>
                        <wps:spPr bwMode="auto">
                          <a:xfrm flipH="1">
                            <a:off x="997527" y="985652"/>
                            <a:ext cx="1002665" cy="988060"/>
                          </a:xfrm>
                          <a:prstGeom prst="rect">
                            <a:avLst/>
                          </a:prstGeom>
                          <a:solidFill>
                            <a:srgbClr val="DDDDDD"/>
                          </a:solidFill>
                          <a:ln w="12700">
                            <a:solidFill>
                              <a:schemeClr val="bg1"/>
                            </a:solidFill>
                            <a:miter lim="800000"/>
                            <a:headEnd/>
                            <a:tailEnd/>
                          </a:ln>
                          <a:extLst/>
                        </wps:spPr>
                        <wps:bodyPr rot="0" vert="horz" wrap="square" lIns="91440" tIns="45720" rIns="91440" bIns="45720" anchor="ctr" anchorCtr="0" upright="1">
                          <a:noAutofit/>
                        </wps:bodyPr>
                      </wps:wsp>
                      <wps:wsp>
                        <wps:cNvPr id="578" name="Rectangle 9"/>
                        <wps:cNvSpPr>
                          <a:spLocks noChangeArrowheads="1"/>
                        </wps:cNvSpPr>
                        <wps:spPr bwMode="auto">
                          <a:xfrm flipH="1">
                            <a:off x="0" y="985652"/>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9" name="Rectangle 10"/>
                        <wps:cNvSpPr>
                          <a:spLocks noChangeArrowheads="1"/>
                        </wps:cNvSpPr>
                        <wps:spPr bwMode="auto">
                          <a:xfrm flipH="1">
                            <a:off x="0" y="0"/>
                            <a:ext cx="1002665" cy="988060"/>
                          </a:xfrm>
                          <a:prstGeom prst="rect">
                            <a:avLst/>
                          </a:prstGeom>
                          <a:gradFill>
                            <a:gsLst>
                              <a:gs pos="0">
                                <a:schemeClr val="bg1">
                                  <a:lumMod val="95000"/>
                                </a:schemeClr>
                              </a:gs>
                              <a:gs pos="50000">
                                <a:srgbClr val="DDDDDD"/>
                              </a:gs>
                              <a:gs pos="100000">
                                <a:srgbClr val="B2B2B2"/>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s:wsp>
                        <wps:cNvPr id="580" name="Rectangle 11"/>
                        <wps:cNvSpPr>
                          <a:spLocks noChangeArrowheads="1"/>
                        </wps:cNvSpPr>
                        <wps:spPr bwMode="auto">
                          <a:xfrm flipH="1">
                            <a:off x="0" y="1971303"/>
                            <a:ext cx="1002665" cy="988060"/>
                          </a:xfrm>
                          <a:prstGeom prst="rect">
                            <a:avLst/>
                          </a:prstGeom>
                          <a:solidFill>
                            <a:srgbClr val="DDDDDD"/>
                          </a:solidFill>
                          <a:ln w="12700">
                            <a:solidFill>
                              <a:schemeClr val="bg1"/>
                            </a:solidFill>
                            <a:miter lim="800000"/>
                            <a:headEnd/>
                            <a:tailEnd/>
                          </a:ln>
                          <a:extLst/>
                        </wps:spPr>
                        <wps:bodyPr rot="0" vert="horz" wrap="square" lIns="91440" tIns="45720" rIns="91440" bIns="45720" anchor="ctr" anchorCtr="0" upright="1">
                          <a:noAutofit/>
                        </wps:bodyPr>
                      </wps:wsp>
                      <wps:wsp>
                        <wps:cNvPr id="581" name="Rectangle 12"/>
                        <wps:cNvSpPr>
                          <a:spLocks noChangeArrowheads="1"/>
                        </wps:cNvSpPr>
                        <wps:spPr bwMode="auto">
                          <a:xfrm flipH="1">
                            <a:off x="997527" y="2956955"/>
                            <a:ext cx="1002665" cy="988060"/>
                          </a:xfrm>
                          <a:prstGeom prst="rect">
                            <a:avLst/>
                          </a:prstGeom>
                          <a:gradFill>
                            <a:gsLst>
                              <a:gs pos="0">
                                <a:srgbClr val="B2B2B2"/>
                              </a:gs>
                              <a:gs pos="50000">
                                <a:srgbClr val="DDDDDD"/>
                              </a:gs>
                              <a:gs pos="100000">
                                <a:schemeClr val="bg1">
                                  <a:lumMod val="95000"/>
                                </a:schemeClr>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g:wgp>
                  </a:graphicData>
                </a:graphic>
              </wp:anchor>
            </w:drawing>
          </mc:Choice>
          <mc:Fallback>
            <w:pict>
              <v:group id="583 Grupo" o:spid="_x0000_s1026" style="position:absolute;margin-left:62.95pt;margin-top:-105.65pt;width:157.45pt;height:310.6pt;rotation:90;z-index:251668480" coordsize="20001,3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">
                <v:rect id="Rectangle 7" o:spid="_x0000_s1027" style="position:absolute;left:9975;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ilMcA&#10;AADcAAAADwAAAGRycy9kb3ducmV2LnhtbESPT2vCQBTE70K/w/IKvemmAbWkriJC65+T2h7a22v2&#10;NZuafRuy2xj99K4geBxm5jfMZNbZSrTU+NKxgudBAoI4d7rkQsHnx1v/BYQPyBorx6TgRB5m04fe&#10;BDPtjryjdh8KESHsM1RgQqgzKX1uyKIfuJo4er+usRiibAqpGzxGuK1kmiQjabHkuGCwpoWh/LD/&#10;two25+THdN/v8i+dL7dpu/tya7dS6umxm7+CCNSFe/jWXmkFw/E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opTHAAAA3AAAAA8AAAAAAAAAAAAAAAAAmAIAAGRy&#10;cy9kb3ducmV2LnhtbFBLBQYAAAAABAAEAPUAAACMAwAAAAA=&#10;" fillcolor="#591b3a" strokecolor="white [3212]" strokeweight="1pt">
                  <v:fill color2="#9c3669" rotate="t" angle="135" colors="0 #591b3a;.5 #822c57;1 #9c3669" focus="100%" type="gradient"/>
                  <v:shadow color="#d8d8d8" offset="3pt,3pt"/>
                </v:rect>
                <v:rect id="Rectangle 8" o:spid="_x0000_s1028" style="position:absolute;left:9975;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W+ccA&#10;AADcAAAADwAAAGRycy9kb3ducmV2LnhtbESPQWvCQBSE7wX/w/KE3upGS7SmboK0iAWhWuPB3h7Z&#10;ZxLMvg3Zrab/visIPQ4z8w2zyHrTiAt1rrasYDyKQBAXVtdcKjjkq6cXEM4ja2wsk4JfcpClg4cF&#10;Jtpe+Ysue1+KAGGXoILK+zaR0hUVGXQj2xIH72Q7gz7IrpS6w2uAm0ZOomgqDdYcFips6a2i4rz/&#10;MQomeT5fHz8P2/XKfevnTRPv/Hus1OOwX76C8NT7//C9/aEVxLMZ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lvnHAAAA3AAAAA8AAAAAAAAAAAAAAAAAmAIAAGRy&#10;cy9kb3ducmV2LnhtbFBLBQYAAAAABAAEAPUAAACMAwAAAAA=&#10;" fillcolor="#ddd" strokecolor="white [3212]" strokeweight="1pt"/>
                <v:rect id="Rectangle 9" o:spid="_x0000_s1029" style="position:absolute;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TfcMA&#10;AADcAAAADwAAAGRycy9kb3ducmV2LnhtbERPu27CMBTdK/EP1kXqVhwi0aKAQQiphXYqjwG2S3yJ&#10;A/F1FLsh5evxUKnj0XlP552tREuNLx0rGA4SEMS50yUXCva795cxCB+QNVaOScEveZjPek9TzLS7&#10;8YbabShEDGGfoQITQp1J6XNDFv3A1cSRO7vGYoiwKaRu8BbDbSXTJHmVFkuODQZrWhrKr9sfq+Dr&#10;npxMd/yQl3Sx+k7bzcF9urVSz/1uMQERqAv/4j/3WisYvcW18U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2TfcMAAADcAAAADwAAAAAAAAAAAAAAAACYAgAAZHJzL2Rv&#10;d25yZXYueG1sUEsFBgAAAAAEAAQA9QAAAIgDAAAAAA==&#10;" fillcolor="#591b3a" strokecolor="white [3212]" strokeweight="1pt">
                  <v:fill color2="#9c3669" rotate="t" angle="135" colors="0 #591b3a;.5 #822c57;1 #9c3669" focus="100%" type="gradient"/>
                  <v:shadow color="#d8d8d8" offset="3pt,3pt"/>
                </v:rect>
                <v:rect id="Rectangle 10" o:spid="_x0000_s1030" style="position:absolute;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FAcQA&#10;AADcAAAADwAAAGRycy9kb3ducmV2LnhtbESPT4vCMBTE7wt+h/CEva2pglarUURYVk9l/YPXR/Js&#10;i81LbbJav/1mYcHjMDO/YRarztbiTq2vHCsYDhIQxNqZigsFx8PnxxSED8gGa8ek4EkeVsve2wIz&#10;4x78Tfd9KESEsM9QQRlCk0npdUkW/cA1xNG7uNZiiLItpGnxEeG2lqMkmUiLFceFEhvalKSv+x+r&#10;QA9v+W48OaXnL/nMi7zS3Sn1Sr33u/UcRKAuvML/7a1RME5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QHEAAAA3AAAAA8AAAAAAAAAAAAAAAAAmAIAAGRycy9k&#10;b3ducmV2LnhtbFBLBQYAAAAABAAEAPUAAACJAwAAAAA=&#10;" fillcolor="#f2f2f2 [3052]" strokecolor="white [3212]" strokeweight="1pt">
                  <v:fill color2="#b2b2b2" angle="90" colors="0 #f2f2f2;.5 #ddd;1 #b2b2b2" focus="100%" type="gradient"/>
                </v:rect>
                <v:rect id="Rectangle 11" o:spid="_x0000_s1031" style="position:absolute;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qsIA&#10;AADcAAAADwAAAGRycy9kb3ducmV2LnhtbERPy4rCMBTdC/5DuII7TXWoaMco4iAOCL7qYmZ3ae60&#10;xeamNFE7f28WgsvDec+XranEnRpXWlYwGkYgiDOrS84VXNLNYArCeWSNlWVS8E8OlotuZ46Jtg8+&#10;0f3scxFC2CWooPC+TqR0WUEG3dDWxIH7s41BH2CTS93gI4SbSo6jaCINlhwaCqxpXVB2Pd+MgnGa&#10;zrY/+8thu3G/+mNXxUf/FSvV77WrTxCeWv8Wv9zfWkE8Df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X6qwgAAANwAAAAPAAAAAAAAAAAAAAAAAJgCAABkcnMvZG93&#10;bnJldi54bWxQSwUGAAAAAAQABAD1AAAAhwMAAAAA&#10;" fillcolor="#ddd" strokecolor="white [3212]" strokeweight="1pt"/>
                <v:rect id="Rectangle 12" o:spid="_x0000_s1032" style="position:absolute;left:9975;top:29569;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Ie8QA&#10;AADcAAAADwAAAGRycy9kb3ducmV2LnhtbESPzWrDMBCE74W+g9hCb43sQE1wowTHUFpyi+tDe1us&#10;rW1irVxL8c/bR4FAj8PMfMNs97PpxEiDay0riFcRCOLK6pZrBeXX+8sGhPPIGjvLpGAhB/vd48MW&#10;U20nPtFY+FoECLsUFTTe96mUrmrIoFvZnjh4v3Yw6IMcaqkHnALcdHIdRYk02HJYaLCnvKHqXFyM&#10;glP2Ef38lZw7dEsSZ0XiD99HpZ6f5uwNhKfZ/4fv7U+t4HUTw+1MO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SHvEAAAA3AAAAA8AAAAAAAAAAAAAAAAAmAIAAGRycy9k&#10;b3ducmV2LnhtbFBLBQYAAAAABAAEAPUAAACJAwAAAAA=&#10;" fillcolor="#b2b2b2" strokecolor="white [3212]" strokeweight="1pt">
                  <v:fill color2="#f2f2f2 [3052]" angle="90" colors="0 #b2b2b2;.5 #ddd;1 #f2f2f2" focus="100%" type="gradient"/>
                </v:rect>
              </v:group>
            </w:pict>
          </mc:Fallback>
        </mc:AlternateContent>
      </w:r>
    </w:p>
    <w:p w:rsidR="006E213E" w:rsidRDefault="006E213E" w:rsidP="006E213E">
      <w:pPr>
        <w:ind w:right="3896"/>
        <w:rPr>
          <w:rFonts w:ascii="Lato" w:hAnsi="Lato"/>
          <w:b/>
          <w:sz w:val="72"/>
        </w:rPr>
      </w:pPr>
    </w:p>
    <w:p w:rsidR="006E213E" w:rsidRDefault="006E213E" w:rsidP="006E213E">
      <w:pPr>
        <w:ind w:right="3896"/>
        <w:rPr>
          <w:rFonts w:ascii="Lato" w:hAnsi="Lato"/>
          <w:b/>
          <w:sz w:val="72"/>
        </w:rPr>
      </w:pPr>
    </w:p>
    <w:p w:rsidR="006E213E" w:rsidRDefault="006E213E" w:rsidP="006E213E">
      <w:pPr>
        <w:ind w:right="3896"/>
        <w:rPr>
          <w:rFonts w:ascii="Lato" w:hAnsi="Lato"/>
          <w:b/>
          <w:sz w:val="72"/>
        </w:rPr>
      </w:pPr>
    </w:p>
    <w:p w:rsidR="006E213E" w:rsidRDefault="006E213E" w:rsidP="006E213E">
      <w:pPr>
        <w:ind w:right="3896"/>
        <w:rPr>
          <w:rFonts w:ascii="Lato" w:hAnsi="Lato"/>
          <w:b/>
          <w:sz w:val="72"/>
        </w:rPr>
      </w:pPr>
    </w:p>
    <w:p w:rsidR="006E213E" w:rsidRPr="005178EA" w:rsidRDefault="006E213E" w:rsidP="006E213E">
      <w:pPr>
        <w:tabs>
          <w:tab w:val="left" w:pos="8838"/>
        </w:tabs>
        <w:ind w:right="5"/>
        <w:jc w:val="center"/>
        <w:rPr>
          <w:rFonts w:ascii="Lato" w:hAnsi="Lato"/>
          <w:b/>
          <w:sz w:val="52"/>
          <w:szCs w:val="52"/>
        </w:rPr>
      </w:pPr>
      <w:r w:rsidRPr="005178EA">
        <w:rPr>
          <w:rFonts w:ascii="Lato" w:hAnsi="Lato"/>
          <w:b/>
          <w:sz w:val="52"/>
          <w:szCs w:val="52"/>
        </w:rPr>
        <w:t>Anexo 1</w:t>
      </w:r>
    </w:p>
    <w:p w:rsidR="006E213E" w:rsidRPr="005178EA" w:rsidRDefault="006E213E" w:rsidP="006E213E">
      <w:pPr>
        <w:ind w:right="3896"/>
        <w:rPr>
          <w:rFonts w:ascii="Lato" w:hAnsi="Lato"/>
          <w:b/>
          <w:sz w:val="52"/>
        </w:rPr>
      </w:pPr>
    </w:p>
    <w:p w:rsidR="006E213E" w:rsidRPr="005178EA" w:rsidRDefault="006E213E" w:rsidP="006E213E">
      <w:pPr>
        <w:ind w:right="49"/>
        <w:jc w:val="center"/>
        <w:rPr>
          <w:rFonts w:ascii="Lato" w:hAnsi="Lato"/>
          <w:b/>
          <w:sz w:val="40"/>
          <w:szCs w:val="40"/>
        </w:rPr>
      </w:pPr>
      <w:r w:rsidRPr="005178EA">
        <w:rPr>
          <w:rFonts w:ascii="Lato" w:hAnsi="Lato"/>
          <w:b/>
          <w:sz w:val="40"/>
          <w:szCs w:val="40"/>
        </w:rPr>
        <w:t>Catálogo y Listado de Fichas Técnicas  (31)</w:t>
      </w:r>
    </w:p>
    <w:p w:rsidR="006E213E" w:rsidRPr="00491EAA" w:rsidRDefault="006E213E" w:rsidP="006E213E">
      <w:pPr>
        <w:rPr>
          <w:rFonts w:ascii="Arial" w:hAnsi="Arial" w:cs="Arial"/>
        </w:rPr>
      </w:pPr>
      <w:r>
        <w:rPr>
          <w:rFonts w:ascii="Lato" w:hAnsi="Lato"/>
          <w:b/>
          <w:noProof/>
          <w:lang w:eastAsia="es-MX"/>
        </w:rPr>
        <mc:AlternateContent>
          <mc:Choice Requires="wpg">
            <w:drawing>
              <wp:anchor distT="0" distB="0" distL="114300" distR="114300" simplePos="0" relativeHeight="251667456" behindDoc="0" locked="0" layoutInCell="1" allowOverlap="1" wp14:anchorId="278C3A89" wp14:editId="49AE7183">
                <wp:simplePos x="0" y="0"/>
                <wp:positionH relativeFrom="column">
                  <wp:posOffset>4098607</wp:posOffset>
                </wp:positionH>
                <wp:positionV relativeFrom="paragraph">
                  <wp:posOffset>774214</wp:posOffset>
                </wp:positionV>
                <wp:extent cx="1580515" cy="1983740"/>
                <wp:effectExtent l="7938" t="0" r="27622" b="27623"/>
                <wp:wrapNone/>
                <wp:docPr id="383" name="383 Grupo"/>
                <wp:cNvGraphicFramePr/>
                <a:graphic xmlns:a="http://schemas.openxmlformats.org/drawingml/2006/main">
                  <a:graphicData uri="http://schemas.microsoft.com/office/word/2010/wordprocessingGroup">
                    <wpg:wgp>
                      <wpg:cNvGrpSpPr/>
                      <wpg:grpSpPr>
                        <a:xfrm rot="5400000">
                          <a:off x="0" y="0"/>
                          <a:ext cx="1580515" cy="1983740"/>
                          <a:chOff x="0" y="985652"/>
                          <a:chExt cx="2000193" cy="1973712"/>
                        </a:xfrm>
                      </wpg:grpSpPr>
                      <wps:wsp>
                        <wps:cNvPr id="377" name="Rectangle 7"/>
                        <wps:cNvSpPr>
                          <a:spLocks noChangeArrowheads="1"/>
                        </wps:cNvSpPr>
                        <wps:spPr bwMode="auto">
                          <a:xfrm flipH="1">
                            <a:off x="997528" y="1971304"/>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78" name="Rectangle 8"/>
                        <wps:cNvSpPr>
                          <a:spLocks noChangeArrowheads="1"/>
                        </wps:cNvSpPr>
                        <wps:spPr bwMode="auto">
                          <a:xfrm flipH="1">
                            <a:off x="997528" y="985652"/>
                            <a:ext cx="1002665" cy="988060"/>
                          </a:xfrm>
                          <a:prstGeom prst="rect">
                            <a:avLst/>
                          </a:prstGeom>
                          <a:gradFill>
                            <a:gsLst>
                              <a:gs pos="0">
                                <a:schemeClr val="bg1">
                                  <a:lumMod val="95000"/>
                                </a:schemeClr>
                              </a:gs>
                              <a:gs pos="50000">
                                <a:srgbClr val="DDDDDD"/>
                              </a:gs>
                              <a:gs pos="100000">
                                <a:srgbClr val="B2B2B2"/>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s:wsp>
                        <wps:cNvPr id="379" name="Rectangle 9"/>
                        <wps:cNvSpPr>
                          <a:spLocks noChangeArrowheads="1"/>
                        </wps:cNvSpPr>
                        <wps:spPr bwMode="auto">
                          <a:xfrm flipH="1">
                            <a:off x="0" y="985652"/>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383 Grupo" o:spid="_x0000_s1026" style="position:absolute;margin-left:322.7pt;margin-top:60.95pt;width:124.45pt;height:156.2pt;rotation:90;z-index:251667456;mso-width-relative:margin;mso-height-relative:margin" coordorigin=",9856" coordsize="20001,1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">
                <v:rect id="Rectangle 7" o:spid="_x0000_s1027" style="position:absolute;left:9975;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F98YA&#10;AADcAAAADwAAAGRycy9kb3ducmV2LnhtbESPQWvCQBSE70L/w/IK3nTTFGqJriKC1vZUrQe9vWZf&#10;s6nZtyG7xtRf7woFj8PMfMNMZp2tREuNLx0reBomIIhzp0suFOy+loNXED4ga6wck4I/8jCbPvQm&#10;mGl35g2121CICGGfoQITQp1J6XNDFv3Q1cTR+3GNxRBlU0jd4DnCbSXTJHmRFkuOCwZrWhjKj9uT&#10;VfBxSb5Nd1jJ33T+9pm2m717d2ul+o/dfAwiUBfu4f/2Wit4Ho3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nF98YAAADcAAAADwAAAAAAAAAAAAAAAACYAgAAZHJz&#10;L2Rvd25yZXYueG1sUEsFBgAAAAAEAAQA9QAAAIsDAAAAAA==&#10;" fillcolor="#591b3a" strokecolor="white [3212]" strokeweight="1pt">
                  <v:fill color2="#9c3669" rotate="t" angle="135" colors="0 #591b3a;.5 #822c57;1 #9c3669" focus="100%" type="gradient"/>
                  <v:shadow color="#d8d8d8" offset="3pt,3pt"/>
                </v:rect>
                <v:rect id="Rectangle 8" o:spid="_x0000_s1028" style="position:absolute;left:9975;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iYsIA&#10;AADcAAAADwAAAGRycy9kb3ducmV2LnhtbERPyWrDMBC9F/IPYgK9NXJaGgcnigmF0vZkmoVcB2li&#10;m1gjx1K9/H11KPT4ePs2H20jeup87VjBcpGAINbO1FwqOB3fn9YgfEA22DgmBRN5yHezhy1mxg38&#10;Tf0hlCKGsM9QQRVCm0npdUUW/cK1xJG7us5iiLArpelwiOG2kc9JspIWa44NFbb0VpG+HX6sAr28&#10;F1+vq3N6+ZBTURa1Hs+pV+pxPu43IAKN4V/85/40Cl7S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JiwgAAANwAAAAPAAAAAAAAAAAAAAAAAJgCAABkcnMvZG93&#10;bnJldi54bWxQSwUGAAAAAAQABAD1AAAAhwMAAAAA&#10;" fillcolor="#f2f2f2 [3052]" strokecolor="white [3212]" strokeweight="1pt">
                  <v:fill color2="#b2b2b2" angle="90" colors="0 #f2f2f2;.5 #ddd;1 #b2b2b2" focus="100%" type="gradient"/>
                </v:rect>
                <v:rect id="Rectangle 9" o:spid="_x0000_s1029" style="position:absolute;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0HscA&#10;AADcAAAADwAAAGRycy9kb3ducmV2LnhtbESPzU7DMBCE70i8g7WVeqNOU4mfUDeKkIDAiRYOcNvG&#10;2zgQr6PYJKFPjyshcRzNzDeadT7ZVgzU+8axguUiAUFcOd1wreDt9f7iGoQPyBpbx6Tghzzkm/Oz&#10;NWbajbylYRdqESHsM1RgQugyKX1lyKJfuI44egfXWwxR9rXUPY4RbluZJsmltNhwXDDY0Z2h6mv3&#10;bRU8H5O9mT4e5GdaPL6kw/bdPblSqflsKm5BBJrCf/ivXWoFq6sbOJ2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K9B7HAAAA3AAAAA8AAAAAAAAAAAAAAAAAmAIAAGRy&#10;cy9kb3ducmV2LnhtbFBLBQYAAAAABAAEAPUAAACMAwAAAAA=&#10;" fillcolor="#591b3a" strokecolor="white [3212]" strokeweight="1pt">
                  <v:fill color2="#9c3669" rotate="t" angle="135" colors="0 #591b3a;.5 #822c57;1 #9c3669" focus="100%" type="gradient"/>
                  <v:shadow color="#d8d8d8" offset="3pt,3pt"/>
                </v:rect>
              </v:group>
            </w:pict>
          </mc:Fallback>
        </mc:AlternateContent>
      </w: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821D6" w:rsidRDefault="006821D6" w:rsidP="00051DE3">
      <w:pPr>
        <w:spacing w:after="0" w:line="360" w:lineRule="auto"/>
        <w:jc w:val="both"/>
        <w:rPr>
          <w:rFonts w:ascii="Arial" w:hAnsi="Arial" w:cs="Arial"/>
          <w:sz w:val="24"/>
          <w:szCs w:val="24"/>
        </w:rPr>
      </w:pPr>
    </w:p>
    <w:p w:rsidR="006E213E" w:rsidRDefault="006E213E" w:rsidP="006E213E">
      <w:pPr>
        <w:spacing w:after="0" w:line="360" w:lineRule="auto"/>
        <w:jc w:val="both"/>
        <w:rPr>
          <w:rFonts w:ascii="Arial" w:hAnsi="Arial" w:cs="Arial"/>
        </w:rPr>
      </w:pPr>
    </w:p>
    <w:p w:rsidR="006E213E" w:rsidRPr="00491EAA" w:rsidRDefault="006E213E" w:rsidP="006E213E">
      <w:pPr>
        <w:spacing w:after="0" w:line="360" w:lineRule="auto"/>
        <w:jc w:val="both"/>
        <w:rPr>
          <w:rFonts w:ascii="Arial" w:hAnsi="Arial" w:cs="Arial"/>
        </w:rPr>
      </w:pPr>
    </w:p>
    <w:p w:rsidR="006E213E" w:rsidRPr="00186186" w:rsidRDefault="006E213E" w:rsidP="006E213E">
      <w:pPr>
        <w:spacing w:after="0" w:line="360" w:lineRule="auto"/>
        <w:jc w:val="both"/>
        <w:rPr>
          <w:rFonts w:ascii="Arial" w:hAnsi="Arial" w:cs="Arial"/>
        </w:rPr>
      </w:pPr>
      <w:r w:rsidRPr="00186186">
        <w:rPr>
          <w:rFonts w:ascii="Arial" w:hAnsi="Arial" w:cs="Arial"/>
          <w:noProof/>
          <w:lang w:eastAsia="es-MX"/>
        </w:rPr>
        <mc:AlternateContent>
          <mc:Choice Requires="wpg">
            <w:drawing>
              <wp:anchor distT="0" distB="0" distL="114300" distR="114300" simplePos="0" relativeHeight="251671552" behindDoc="0" locked="0" layoutInCell="1" allowOverlap="1" wp14:anchorId="44457CF7" wp14:editId="38D7E96C">
                <wp:simplePos x="0" y="0"/>
                <wp:positionH relativeFrom="column">
                  <wp:posOffset>799156</wp:posOffset>
                </wp:positionH>
                <wp:positionV relativeFrom="paragraph">
                  <wp:posOffset>-1342072</wp:posOffset>
                </wp:positionV>
                <wp:extent cx="1999615" cy="3944620"/>
                <wp:effectExtent l="0" t="952" r="18732" b="18733"/>
                <wp:wrapNone/>
                <wp:docPr id="10" name="10 Grupo"/>
                <wp:cNvGraphicFramePr/>
                <a:graphic xmlns:a="http://schemas.openxmlformats.org/drawingml/2006/main">
                  <a:graphicData uri="http://schemas.microsoft.com/office/word/2010/wordprocessingGroup">
                    <wpg:wgp>
                      <wpg:cNvGrpSpPr/>
                      <wpg:grpSpPr>
                        <a:xfrm rot="5400000">
                          <a:off x="0" y="0"/>
                          <a:ext cx="1999615" cy="3944620"/>
                          <a:chOff x="0" y="0"/>
                          <a:chExt cx="2000192" cy="3945015"/>
                        </a:xfrm>
                      </wpg:grpSpPr>
                      <wps:wsp>
                        <wps:cNvPr id="13" name="Rectangle 7"/>
                        <wps:cNvSpPr>
                          <a:spLocks noChangeArrowheads="1"/>
                        </wps:cNvSpPr>
                        <wps:spPr bwMode="auto">
                          <a:xfrm flipH="1">
                            <a:off x="997527" y="1971303"/>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8"/>
                        <wps:cNvSpPr>
                          <a:spLocks noChangeArrowheads="1"/>
                        </wps:cNvSpPr>
                        <wps:spPr bwMode="auto">
                          <a:xfrm flipH="1">
                            <a:off x="997527" y="985652"/>
                            <a:ext cx="1002665" cy="988060"/>
                          </a:xfrm>
                          <a:prstGeom prst="rect">
                            <a:avLst/>
                          </a:prstGeom>
                          <a:solidFill>
                            <a:srgbClr val="DDDDDD"/>
                          </a:solidFill>
                          <a:ln w="12700">
                            <a:solidFill>
                              <a:schemeClr val="bg1"/>
                            </a:solidFill>
                            <a:miter lim="800000"/>
                            <a:headEnd/>
                            <a:tailEnd/>
                          </a:ln>
                          <a:extLst/>
                        </wps:spPr>
                        <wps:bodyPr rot="0" vert="horz" wrap="square" lIns="91440" tIns="45720" rIns="91440" bIns="45720" anchor="ctr" anchorCtr="0" upright="1">
                          <a:noAutofit/>
                        </wps:bodyPr>
                      </wps:wsp>
                      <wps:wsp>
                        <wps:cNvPr id="15" name="Rectangle 9"/>
                        <wps:cNvSpPr>
                          <a:spLocks noChangeArrowheads="1"/>
                        </wps:cNvSpPr>
                        <wps:spPr bwMode="auto">
                          <a:xfrm flipH="1">
                            <a:off x="0" y="985652"/>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0"/>
                        <wps:cNvSpPr>
                          <a:spLocks noChangeArrowheads="1"/>
                        </wps:cNvSpPr>
                        <wps:spPr bwMode="auto">
                          <a:xfrm flipH="1">
                            <a:off x="0" y="0"/>
                            <a:ext cx="1002665" cy="988060"/>
                          </a:xfrm>
                          <a:prstGeom prst="rect">
                            <a:avLst/>
                          </a:prstGeom>
                          <a:gradFill>
                            <a:gsLst>
                              <a:gs pos="0">
                                <a:schemeClr val="bg1">
                                  <a:lumMod val="95000"/>
                                </a:schemeClr>
                              </a:gs>
                              <a:gs pos="50000">
                                <a:srgbClr val="DDDDDD"/>
                              </a:gs>
                              <a:gs pos="100000">
                                <a:srgbClr val="B2B2B2"/>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s:wsp>
                        <wps:cNvPr id="17" name="Rectangle 11"/>
                        <wps:cNvSpPr>
                          <a:spLocks noChangeArrowheads="1"/>
                        </wps:cNvSpPr>
                        <wps:spPr bwMode="auto">
                          <a:xfrm flipH="1">
                            <a:off x="0" y="1971303"/>
                            <a:ext cx="1002665" cy="988060"/>
                          </a:xfrm>
                          <a:prstGeom prst="rect">
                            <a:avLst/>
                          </a:prstGeom>
                          <a:solidFill>
                            <a:srgbClr val="DDDDDD"/>
                          </a:solidFill>
                          <a:ln w="12700">
                            <a:solidFill>
                              <a:schemeClr val="bg1"/>
                            </a:solidFill>
                            <a:miter lim="800000"/>
                            <a:headEnd/>
                            <a:tailEnd/>
                          </a:ln>
                          <a:extLst/>
                        </wps:spPr>
                        <wps:bodyPr rot="0" vert="horz" wrap="square" lIns="91440" tIns="45720" rIns="91440" bIns="45720" anchor="ctr" anchorCtr="0" upright="1">
                          <a:noAutofit/>
                        </wps:bodyPr>
                      </wps:wsp>
                      <wps:wsp>
                        <wps:cNvPr id="18" name="Rectangle 12"/>
                        <wps:cNvSpPr>
                          <a:spLocks noChangeArrowheads="1"/>
                        </wps:cNvSpPr>
                        <wps:spPr bwMode="auto">
                          <a:xfrm flipH="1">
                            <a:off x="997527" y="2956955"/>
                            <a:ext cx="1002665" cy="988060"/>
                          </a:xfrm>
                          <a:prstGeom prst="rect">
                            <a:avLst/>
                          </a:prstGeom>
                          <a:gradFill>
                            <a:gsLst>
                              <a:gs pos="0">
                                <a:srgbClr val="B2B2B2"/>
                              </a:gs>
                              <a:gs pos="50000">
                                <a:srgbClr val="DDDDDD"/>
                              </a:gs>
                              <a:gs pos="100000">
                                <a:schemeClr val="bg1">
                                  <a:lumMod val="95000"/>
                                </a:schemeClr>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g:wgp>
                  </a:graphicData>
                </a:graphic>
              </wp:anchor>
            </w:drawing>
          </mc:Choice>
          <mc:Fallback>
            <w:pict>
              <v:group id="10 Grupo" o:spid="_x0000_s1026" style="position:absolute;margin-left:62.95pt;margin-top:-105.65pt;width:157.45pt;height:310.6pt;rotation:90;z-index:251671552" coordsize="20001,3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">
                <v:rect id="Rectangle 7" o:spid="_x0000_s1027" style="position:absolute;left:9975;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4MsIA&#10;AADbAAAADwAAAGRycy9kb3ducmV2LnhtbERPO2/CMBDekfofrKvUDRwyVChgEKrUQjuVxwDbER9x&#10;aHyOYhNSfj1GQmK7T9/zJrPOVqKlxpeOFQwHCQji3OmSCwXbzWd/BMIHZI2VY1LwTx5m05feBDPt&#10;Lryidh0KEUPYZ6jAhFBnUvrckEU/cDVx5I6usRgibAqpG7zEcFvJNEnepcWSY4PBmj4M5X/rs1Xw&#10;c00Optt/yVM6X/ym7Wrnvt1SqbfXbj4GEagLT/HDvdRx/hDuv8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XgywgAAANsAAAAPAAAAAAAAAAAAAAAAAJgCAABkcnMvZG93&#10;bnJldi54bWxQSwUGAAAAAAQABAD1AAAAhwMAAAAA&#10;" fillcolor="#591b3a" strokecolor="white [3212]" strokeweight="1pt">
                  <v:fill color2="#9c3669" rotate="t" angle="135" colors="0 #591b3a;.5 #822c57;1 #9c3669" focus="100%" type="gradient"/>
                  <v:shadow color="#d8d8d8" offset="3pt,3pt"/>
                </v:rect>
                <v:rect id="Rectangle 8" o:spid="_x0000_s1028" style="position:absolute;left:9975;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bcIA&#10;AADbAAAADwAAAGRycy9kb3ducmV2LnhtbERPS2vCQBC+F/wPywjedGPEYlNXEUUUCr7iob0N2TEJ&#10;ZmdDdtX037sFobf5+J4znbemEndqXGlZwXAQgSDOrC45V3BO1/0JCOeRNVaWScEvOZjPOm9TTLR9&#10;8JHuJ5+LEMIuQQWF93UipcsKMugGtiYO3MU2Bn2ATS51g48QbioZR9G7NFhyaCiwpmVB2fV0Mwri&#10;NP3YfO/O+83a/ejRVzU++NVYqV63XXyC8NT6f/HLvdVhfgx/v4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7NtwgAAANsAAAAPAAAAAAAAAAAAAAAAAJgCAABkcnMvZG93&#10;bnJldi54bWxQSwUGAAAAAAQABAD1AAAAhwMAAAAA&#10;" fillcolor="#ddd" strokecolor="white [3212]" strokeweight="1pt"/>
                <v:rect id="Rectangle 9" o:spid="_x0000_s1029" style="position:absolute;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D3sMA&#10;AADbAAAADwAAAGRycy9kb3ducmV2LnhtbERPTWvCQBC9C/0PyxS8mU0jiERXkULVeqq2B72N2TEb&#10;m50N2W1M++vdQqG3ebzPmS97W4uOWl85VvCUpCCIC6crLhV8vL+MpiB8QNZYOyYF3+RhuXgYzDHX&#10;7sZ76g6hFDGEfY4KTAhNLqUvDFn0iWuII3dxrcUQYVtK3eIthttaZmk6kRYrjg0GG3o2VHwevqyC&#10;3U96Nv1pLa/ZavOWdfuje3VbpYaP/WoGIlAf/sV/7q2O88fw+0s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D3sMAAADbAAAADwAAAAAAAAAAAAAAAACYAgAAZHJzL2Rv&#10;d25yZXYueG1sUEsFBgAAAAAEAAQA9QAAAIgDAAAAAA==&#10;" fillcolor="#591b3a" strokecolor="white [3212]" strokeweight="1pt">
                  <v:fill color2="#9c3669" rotate="t" angle="135" colors="0 #591b3a;.5 #822c57;1 #9c3669" focus="100%" type="gradient"/>
                  <v:shadow color="#d8d8d8" offset="3pt,3pt"/>
                </v:rect>
                <v:rect id="Rectangle 10" o:spid="_x0000_s1030" style="position:absolute;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JIcAA&#10;AADbAAAADwAAAGRycy9kb3ducmV2LnhtbERPTYvCMBC9L/gfwgje1lRxVapRRBDdU1lX8TokY1ts&#10;JrWJWv+9ERb2No/3OfNlaytxp8aXjhUM+gkIYu1MybmCw+/mcwrCB2SDlWNS8CQPy0XnY46pcQ/+&#10;ofs+5CKGsE9RQRFCnUrpdUEWfd/VxJE7u8ZiiLDJpWnwEcNtJYdJMpYWS44NBda0Lkhf9jerQA+u&#10;2ffX+Dg5beUzy7NSt8eJV6rXbVczEIHa8C/+c+9MnD+C9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6JIcAAAADbAAAADwAAAAAAAAAAAAAAAACYAgAAZHJzL2Rvd25y&#10;ZXYueG1sUEsFBgAAAAAEAAQA9QAAAIUDAAAAAA==&#10;" fillcolor="#f2f2f2 [3052]" strokecolor="white [3212]" strokeweight="1pt">
                  <v:fill color2="#b2b2b2" angle="90" colors="0 #f2f2f2;.5 #ddd;1 #b2b2b2" focus="100%" type="gradient"/>
                </v:rect>
                <v:rect id="Rectangle 11" o:spid="_x0000_s1031" style="position:absolute;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rGcMA&#10;AADbAAAADwAAAGRycy9kb3ducmV2LnhtbERPTWvCQBC9C/6HZQRvZqOSotFVpEUsFNpqPOhtyI5J&#10;MDsbsltN/323IHibx/uc5boztbhR6yrLCsZRDII4t7riQsEx245mIJxH1lhbJgW/5GC96veWmGp7&#10;5z3dDr4QIYRdigpK75tUSpeXZNBFtiEO3MW2Bn2AbSF1i/cQbmo5ieMXabDi0FBiQ68l5dfDj1Ew&#10;ybL57vR5/Npt3VlPP+rk278lSg0H3WYBwlPnn+KH+12H+Qn8/x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rGcMAAADbAAAADwAAAAAAAAAAAAAAAACYAgAAZHJzL2Rv&#10;d25yZXYueG1sUEsFBgAAAAAEAAQA9QAAAIgDAAAAAA==&#10;" fillcolor="#ddd" strokecolor="white [3212]" strokeweight="1pt"/>
                <v:rect id="Rectangle 12" o:spid="_x0000_s1032" style="position:absolute;left:9975;top:29569;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OIsAA&#10;AADbAAAADwAAAGRycy9kb3ducmV2LnhtbERPTWuDQBC9F/Iflgn0Vld7kGCzERMILb1pPbS3wZ2q&#10;xJ017jbqv+8WAr3N433OPl/MIG40ud6ygiSKQRA3VvfcKqg/zk87EM4jaxwsk4KVHOSHzcMeM21n&#10;LulW+VaEEHYZKui8HzMpXdORQRfZkThw33Yy6AOcWqknnEO4GeRzHKfSYM+hocORTh01l+rHKCiL&#10;1/jrWvPJoVvTpKhSf/x8V+pxuxQvIDwt/l98d7/pMD+Fv1/C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yOIsAAAADbAAAADwAAAAAAAAAAAAAAAACYAgAAZHJzL2Rvd25y&#10;ZXYueG1sUEsFBgAAAAAEAAQA9QAAAIUDAAAAAA==&#10;" fillcolor="#b2b2b2" strokecolor="white [3212]" strokeweight="1pt">
                  <v:fill color2="#f2f2f2 [3052]" angle="90" colors="0 #b2b2b2;.5 #ddd;1 #f2f2f2" focus="100%" type="gradient"/>
                </v:rect>
              </v:group>
            </w:pict>
          </mc:Fallback>
        </mc:AlternateContent>
      </w:r>
    </w:p>
    <w:p w:rsidR="006E213E" w:rsidRDefault="006E213E" w:rsidP="006E213E">
      <w:pPr>
        <w:ind w:right="3896"/>
        <w:rPr>
          <w:rFonts w:ascii="Lato" w:hAnsi="Lato"/>
          <w:b/>
          <w:sz w:val="72"/>
        </w:rPr>
      </w:pPr>
    </w:p>
    <w:p w:rsidR="006E213E" w:rsidRDefault="006E213E" w:rsidP="006E213E">
      <w:pPr>
        <w:ind w:right="3896"/>
        <w:rPr>
          <w:rFonts w:ascii="Lato" w:hAnsi="Lato"/>
          <w:b/>
          <w:sz w:val="72"/>
        </w:rPr>
      </w:pPr>
    </w:p>
    <w:p w:rsidR="006E213E" w:rsidRDefault="006E213E" w:rsidP="006E213E">
      <w:pPr>
        <w:ind w:right="3896"/>
        <w:rPr>
          <w:rFonts w:ascii="Lato" w:hAnsi="Lato"/>
          <w:b/>
          <w:sz w:val="72"/>
        </w:rPr>
      </w:pPr>
    </w:p>
    <w:p w:rsidR="006E213E" w:rsidRPr="005178EA" w:rsidRDefault="006E213E" w:rsidP="006E213E">
      <w:pPr>
        <w:tabs>
          <w:tab w:val="left" w:pos="8838"/>
        </w:tabs>
        <w:ind w:right="5"/>
        <w:jc w:val="center"/>
        <w:rPr>
          <w:rFonts w:ascii="Lato" w:hAnsi="Lato"/>
          <w:b/>
          <w:sz w:val="52"/>
          <w:szCs w:val="52"/>
        </w:rPr>
      </w:pPr>
      <w:r w:rsidRPr="005178EA">
        <w:rPr>
          <w:rFonts w:ascii="Lato" w:hAnsi="Lato"/>
          <w:b/>
          <w:sz w:val="52"/>
          <w:szCs w:val="52"/>
        </w:rPr>
        <w:t xml:space="preserve">Anexo </w:t>
      </w:r>
      <w:r>
        <w:rPr>
          <w:rFonts w:ascii="Lato" w:hAnsi="Lato"/>
          <w:b/>
          <w:sz w:val="52"/>
          <w:szCs w:val="52"/>
        </w:rPr>
        <w:t>2</w:t>
      </w:r>
    </w:p>
    <w:p w:rsidR="006E213E" w:rsidRPr="005178EA" w:rsidRDefault="006E213E" w:rsidP="006E213E">
      <w:pPr>
        <w:ind w:right="3896"/>
        <w:rPr>
          <w:rFonts w:ascii="Lato" w:hAnsi="Lato"/>
          <w:b/>
          <w:sz w:val="52"/>
        </w:rPr>
      </w:pPr>
    </w:p>
    <w:p w:rsidR="006E213E" w:rsidRPr="005178EA" w:rsidRDefault="006E213E" w:rsidP="006E213E">
      <w:pPr>
        <w:ind w:right="49"/>
        <w:jc w:val="center"/>
        <w:rPr>
          <w:rFonts w:ascii="Lato" w:hAnsi="Lato"/>
          <w:b/>
          <w:sz w:val="40"/>
          <w:szCs w:val="40"/>
        </w:rPr>
      </w:pPr>
      <w:r w:rsidRPr="006E213E">
        <w:rPr>
          <w:rFonts w:ascii="Lato" w:hAnsi="Lato"/>
          <w:b/>
          <w:sz w:val="40"/>
          <w:szCs w:val="40"/>
        </w:rPr>
        <w:t>Informe de Resultados de la Evaluación de Fondos de Aportaciones Federales al Estado de México</w:t>
      </w:r>
      <w:r>
        <w:rPr>
          <w:rFonts w:ascii="Lato" w:hAnsi="Lato"/>
          <w:b/>
          <w:sz w:val="40"/>
          <w:szCs w:val="40"/>
        </w:rPr>
        <w:t xml:space="preserve"> (Octubre – Diciembre 2016)</w:t>
      </w:r>
    </w:p>
    <w:p w:rsidR="006E213E" w:rsidRPr="00491EAA" w:rsidRDefault="006E213E" w:rsidP="006E213E">
      <w:pPr>
        <w:rPr>
          <w:rFonts w:ascii="Arial" w:hAnsi="Arial" w:cs="Arial"/>
        </w:rPr>
      </w:pPr>
      <w:r>
        <w:rPr>
          <w:rFonts w:ascii="Lato" w:hAnsi="Lato"/>
          <w:b/>
          <w:noProof/>
          <w:lang w:eastAsia="es-MX"/>
        </w:rPr>
        <mc:AlternateContent>
          <mc:Choice Requires="wpg">
            <w:drawing>
              <wp:anchor distT="0" distB="0" distL="114300" distR="114300" simplePos="0" relativeHeight="251670528" behindDoc="0" locked="0" layoutInCell="1" allowOverlap="1" wp14:anchorId="4E2297F8" wp14:editId="202CE6BA">
                <wp:simplePos x="0" y="0"/>
                <wp:positionH relativeFrom="column">
                  <wp:posOffset>4098607</wp:posOffset>
                </wp:positionH>
                <wp:positionV relativeFrom="paragraph">
                  <wp:posOffset>774214</wp:posOffset>
                </wp:positionV>
                <wp:extent cx="1580515" cy="1983740"/>
                <wp:effectExtent l="7938" t="0" r="27622" b="27623"/>
                <wp:wrapNone/>
                <wp:docPr id="17" name="17 Grupo"/>
                <wp:cNvGraphicFramePr/>
                <a:graphic xmlns:a="http://schemas.openxmlformats.org/drawingml/2006/main">
                  <a:graphicData uri="http://schemas.microsoft.com/office/word/2010/wordprocessingGroup">
                    <wpg:wgp>
                      <wpg:cNvGrpSpPr/>
                      <wpg:grpSpPr>
                        <a:xfrm rot="5400000">
                          <a:off x="0" y="0"/>
                          <a:ext cx="1580515" cy="1983740"/>
                          <a:chOff x="0" y="985652"/>
                          <a:chExt cx="2000193" cy="1973712"/>
                        </a:xfrm>
                      </wpg:grpSpPr>
                      <wps:wsp>
                        <wps:cNvPr id="20" name="Rectangle 7"/>
                        <wps:cNvSpPr>
                          <a:spLocks noChangeArrowheads="1"/>
                        </wps:cNvSpPr>
                        <wps:spPr bwMode="auto">
                          <a:xfrm flipH="1">
                            <a:off x="997528" y="1971304"/>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8"/>
                        <wps:cNvSpPr>
                          <a:spLocks noChangeArrowheads="1"/>
                        </wps:cNvSpPr>
                        <wps:spPr bwMode="auto">
                          <a:xfrm flipH="1">
                            <a:off x="997528" y="985652"/>
                            <a:ext cx="1002665" cy="988060"/>
                          </a:xfrm>
                          <a:prstGeom prst="rect">
                            <a:avLst/>
                          </a:prstGeom>
                          <a:gradFill>
                            <a:gsLst>
                              <a:gs pos="0">
                                <a:schemeClr val="bg1">
                                  <a:lumMod val="95000"/>
                                </a:schemeClr>
                              </a:gs>
                              <a:gs pos="50000">
                                <a:srgbClr val="DDDDDD"/>
                              </a:gs>
                              <a:gs pos="100000">
                                <a:srgbClr val="B2B2B2"/>
                              </a:gs>
                            </a:gsLst>
                            <a:lin ang="0" scaled="1"/>
                          </a:gradFill>
                          <a:ln w="12700">
                            <a:solidFill>
                              <a:schemeClr val="bg1"/>
                            </a:solidFill>
                            <a:miter lim="800000"/>
                            <a:headEnd/>
                            <a:tailEnd/>
                          </a:ln>
                          <a:extLst/>
                        </wps:spPr>
                        <wps:bodyPr rot="0" vert="horz" wrap="square" lIns="91440" tIns="45720" rIns="91440" bIns="45720" anchor="ctr" anchorCtr="0" upright="1">
                          <a:noAutofit/>
                        </wps:bodyPr>
                      </wps:wsp>
                      <wps:wsp>
                        <wps:cNvPr id="354" name="Rectangle 9"/>
                        <wps:cNvSpPr>
                          <a:spLocks noChangeArrowheads="1"/>
                        </wps:cNvSpPr>
                        <wps:spPr bwMode="auto">
                          <a:xfrm flipH="1">
                            <a:off x="0" y="985652"/>
                            <a:ext cx="1002665" cy="988060"/>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17 Grupo" o:spid="_x0000_s1026" style="position:absolute;margin-left:322.7pt;margin-top:60.95pt;width:124.45pt;height:156.2pt;rotation:90;z-index:251670528;mso-width-relative:margin;mso-height-relative:margin" coordorigin=",9856" coordsize="20001,1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">
                <v:rect id="Rectangle 7" o:spid="_x0000_s1027" style="position:absolute;left:9975;top:19713;width:10026;height:98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r8UA&#10;AADbAAAADwAAAGRycy9kb3ducmV2LnhtbESPT0/DMAzF70j7DpEncaMpPSBUlk0TEvt3YoMD3Exj&#10;mkLjVE3Wdfv08wGJm633/N7Ps8XoWzVQH5vABu6zHBRxFWzDtYH3t5e7R1AxIVtsA5OBM0VYzCc3&#10;MyxtOPGehkOqlYRwLNGAS6krtY6VI48xCx2xaN+h95hk7WttezxJuG91kecP2mPD0uCwo2dH1e/h&#10;6A3sLvmXGz9X+qdYrl+LYf8RtmFjzO10XD6BSjSmf/Pf9cYKvsDKLzK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9GvxQAAANsAAAAPAAAAAAAAAAAAAAAAAJgCAABkcnMv&#10;ZG93bnJldi54bWxQSwUGAAAAAAQABAD1AAAAigMAAAAA&#10;" fillcolor="#591b3a" strokecolor="white [3212]" strokeweight="1pt">
                  <v:fill color2="#9c3669" rotate="t" angle="135" colors="0 #591b3a;.5 #822c57;1 #9c3669" focus="100%" type="gradient"/>
                  <v:shadow color="#d8d8d8" offset="3pt,3pt"/>
                </v:rect>
                <v:rect id="Rectangle 8" o:spid="_x0000_s1028" style="position:absolute;left:9975;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mv8AA&#10;AADbAAAADwAAAGRycy9kb3ducmV2LnhtbERPS4vCMBC+L/gfwgh7W1OF9VGNIoKop7Ku4nVIxrbY&#10;TGoTtf57IyzsbT6+58wWra3EnRpfOlbQ7yUgiLUzJecKDr/rrzEIH5ANVo5JwZM8LOadjxmmxj34&#10;h+77kIsYwj5FBUUIdSql1wVZ9D1XE0fu7BqLIcIml6bBRwy3lRwkyVBaLDk2FFjTqiB92d+sAt2/&#10;Zrvv4XF02shnlmelbo8jr9Rnt11OQQRqw7/4z701cf4E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8mv8AAAADbAAAADwAAAAAAAAAAAAAAAACYAgAAZHJzL2Rvd25y&#10;ZXYueG1sUEsFBgAAAAAEAAQA9QAAAIUDAAAAAA==&#10;" fillcolor="#f2f2f2 [3052]" strokecolor="white [3212]" strokeweight="1pt">
                  <v:fill color2="#b2b2b2" angle="90" colors="0 #f2f2f2;.5 #ddd;1 #b2b2b2" focus="100%" type="gradient"/>
                </v:rect>
                <v:rect id="Rectangle 9" o:spid="_x0000_s1029" style="position:absolute;top:9856;width:10026;height:98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XFMIA&#10;AADbAAAADwAAAGRycy9kb3ducmV2LnhtbERPu27CMBTdK/EP1kViKw4ZEAqYKELi0U68Brrdxrdx&#10;SnwdxW5I+/X1UKnj0Xmv8sE2oqfO144VzKYJCOLS6ZorBdfL9nkBwgdkjY1jUvBNHvL16GmFmXYP&#10;PlF/DpWIIewzVGBCaDMpfWnIop+6ljhyH66zGCLsKqk7fMRw28g0SebSYs2xwWBLG0Pl/fxlFbz+&#10;JO9meNvJz7TYH9P+dHMv7qDUZDwUSxCBhvAv/nMftII0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RcUwgAAANsAAAAPAAAAAAAAAAAAAAAAAJgCAABkcnMvZG93&#10;bnJldi54bWxQSwUGAAAAAAQABAD1AAAAhwMAAAAA&#10;" fillcolor="#591b3a" strokecolor="white [3212]" strokeweight="1pt">
                  <v:fill color2="#9c3669" rotate="t" angle="135" colors="0 #591b3a;.5 #822c57;1 #9c3669" focus="100%" type="gradient"/>
                  <v:shadow color="#d8d8d8" offset="3pt,3pt"/>
                </v:rect>
              </v:group>
            </w:pict>
          </mc:Fallback>
        </mc:AlternateContent>
      </w:r>
    </w:p>
    <w:p w:rsidR="006821D6" w:rsidRDefault="006821D6"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Default="00740B4F" w:rsidP="00051DE3">
      <w:pPr>
        <w:spacing w:after="0" w:line="360" w:lineRule="auto"/>
        <w:jc w:val="both"/>
        <w:rPr>
          <w:rFonts w:ascii="Arial" w:hAnsi="Arial" w:cs="Arial"/>
          <w:sz w:val="24"/>
          <w:szCs w:val="24"/>
        </w:rPr>
      </w:pPr>
    </w:p>
    <w:p w:rsidR="00740B4F" w:rsidRPr="00BD52C0" w:rsidRDefault="00740B4F" w:rsidP="00740B4F">
      <w:pPr>
        <w:spacing w:after="0" w:line="360" w:lineRule="auto"/>
        <w:jc w:val="center"/>
        <w:rPr>
          <w:rFonts w:ascii="Arial" w:hAnsi="Arial" w:cs="Arial"/>
          <w:b/>
          <w:sz w:val="24"/>
          <w:szCs w:val="24"/>
        </w:rPr>
      </w:pPr>
      <w:r w:rsidRPr="00BD52C0">
        <w:rPr>
          <w:rFonts w:ascii="Arial" w:hAnsi="Arial" w:cs="Arial"/>
          <w:b/>
          <w:sz w:val="24"/>
          <w:szCs w:val="24"/>
        </w:rPr>
        <w:lastRenderedPageBreak/>
        <w:t>GLOSARIO</w:t>
      </w:r>
    </w:p>
    <w:p w:rsidR="00740B4F" w:rsidRPr="00BD52C0" w:rsidRDefault="00740B4F" w:rsidP="00740B4F">
      <w:pPr>
        <w:spacing w:after="0" w:line="360" w:lineRule="auto"/>
        <w:jc w:val="both"/>
        <w:rPr>
          <w:rFonts w:ascii="Arial" w:hAnsi="Arial" w:cs="Arial"/>
          <w:sz w:val="24"/>
          <w:szCs w:val="24"/>
        </w:rPr>
      </w:pPr>
    </w:p>
    <w:p w:rsidR="00740B4F" w:rsidRPr="00BD52C0" w:rsidRDefault="00740B4F" w:rsidP="00740B4F">
      <w:pPr>
        <w:spacing w:after="0" w:line="360" w:lineRule="auto"/>
        <w:jc w:val="both"/>
        <w:rPr>
          <w:rFonts w:ascii="Arial" w:hAnsi="Arial" w:cs="Arial"/>
          <w:sz w:val="24"/>
          <w:szCs w:val="24"/>
        </w:rPr>
      </w:pPr>
      <w:r w:rsidRPr="00BD52C0">
        <w:rPr>
          <w:rFonts w:ascii="Arial" w:eastAsia="Times New Roman" w:hAnsi="Arial" w:cs="Arial"/>
          <w:b/>
          <w:sz w:val="24"/>
          <w:szCs w:val="24"/>
          <w:lang w:eastAsia="es-MX"/>
        </w:rPr>
        <w:t xml:space="preserve">AEEP: </w:t>
      </w:r>
      <w:r w:rsidRPr="00BD52C0">
        <w:rPr>
          <w:rFonts w:ascii="Arial" w:eastAsia="Times New Roman" w:hAnsi="Arial" w:cs="Arial"/>
          <w:sz w:val="24"/>
          <w:szCs w:val="24"/>
          <w:lang w:eastAsia="es-MX"/>
        </w:rPr>
        <w:t>Auditoría Especial de Evaluación Programática, área del OSFEM.</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ASF:</w:t>
      </w:r>
      <w:r w:rsidRPr="00BD52C0">
        <w:rPr>
          <w:rFonts w:ascii="Arial" w:hAnsi="Arial" w:cs="Arial"/>
          <w:sz w:val="24"/>
          <w:szCs w:val="24"/>
        </w:rPr>
        <w:t xml:space="preserve"> Auditoría Superior de la Federación, ente fiscalizador de recursos públicos a nivel nacional.</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Comisión:</w:t>
      </w:r>
      <w:r w:rsidRPr="00BD52C0">
        <w:rPr>
          <w:rFonts w:ascii="Arial" w:hAnsi="Arial" w:cs="Arial"/>
          <w:sz w:val="24"/>
          <w:szCs w:val="24"/>
        </w:rPr>
        <w:t xml:space="preserve"> A la Comisión de Vigilancia de la Legislatura del Estado.</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CONALEP:</w:t>
      </w:r>
      <w:r w:rsidRPr="00BD52C0">
        <w:rPr>
          <w:rFonts w:ascii="Arial" w:hAnsi="Arial" w:cs="Arial"/>
          <w:sz w:val="24"/>
          <w:szCs w:val="24"/>
        </w:rPr>
        <w:t xml:space="preserve"> Colegio de Educación Profesional Técnica del Estado de México.</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 xml:space="preserve">Cuenta Pública: </w:t>
      </w:r>
      <w:r w:rsidRPr="00BD52C0">
        <w:rPr>
          <w:rFonts w:ascii="Arial" w:hAnsi="Arial" w:cs="Arial"/>
          <w:sz w:val="24"/>
          <w:szCs w:val="24"/>
        </w:rPr>
        <w:t>Los informes que rinden anualmente a la Legislatura, el Gobernador y los Presidentes Municipales, respecto de los resultados y la situación financiera del ejercicio fiscal inmediato anterior.</w:t>
      </w:r>
    </w:p>
    <w:p w:rsidR="00740B4F" w:rsidRPr="00BD52C0" w:rsidRDefault="00740B4F" w:rsidP="00740B4F">
      <w:pPr>
        <w:spacing w:after="0" w:line="360" w:lineRule="auto"/>
        <w:jc w:val="both"/>
        <w:rPr>
          <w:rFonts w:ascii="Arial" w:hAnsi="Arial" w:cs="Arial"/>
          <w:sz w:val="24"/>
          <w:szCs w:val="24"/>
        </w:rPr>
      </w:pPr>
      <w:proofErr w:type="spellStart"/>
      <w:r w:rsidRPr="00BD52C0">
        <w:rPr>
          <w:rFonts w:ascii="Arial" w:hAnsi="Arial" w:cs="Arial"/>
          <w:b/>
          <w:sz w:val="24"/>
          <w:szCs w:val="24"/>
        </w:rPr>
        <w:t>DADEyC</w:t>
      </w:r>
      <w:proofErr w:type="spellEnd"/>
      <w:r w:rsidRPr="00BD52C0">
        <w:rPr>
          <w:rFonts w:ascii="Arial" w:hAnsi="Arial" w:cs="Arial"/>
          <w:b/>
          <w:sz w:val="24"/>
          <w:szCs w:val="24"/>
        </w:rPr>
        <w:t>:</w:t>
      </w:r>
      <w:r w:rsidRPr="00BD52C0">
        <w:rPr>
          <w:rFonts w:ascii="Arial" w:hAnsi="Arial" w:cs="Arial"/>
          <w:sz w:val="24"/>
          <w:szCs w:val="24"/>
        </w:rPr>
        <w:t xml:space="preserve"> Departamento de Auditoría de Desempeño a Educación y Cultura (antes denominado Departa de Evaluación de Programas Federales al Estado).</w:t>
      </w:r>
    </w:p>
    <w:p w:rsidR="00740B4F" w:rsidRPr="00BD52C0" w:rsidRDefault="00740B4F" w:rsidP="00740B4F">
      <w:pPr>
        <w:spacing w:after="0" w:line="360" w:lineRule="auto"/>
        <w:jc w:val="both"/>
        <w:rPr>
          <w:rFonts w:ascii="Arial" w:eastAsia="Times New Roman" w:hAnsi="Arial" w:cs="Arial"/>
          <w:b/>
          <w:sz w:val="24"/>
          <w:szCs w:val="24"/>
          <w:lang w:eastAsia="es-MX"/>
        </w:rPr>
      </w:pPr>
      <w:r w:rsidRPr="00BD52C0">
        <w:rPr>
          <w:rFonts w:ascii="Arial" w:eastAsia="Times New Roman" w:hAnsi="Arial" w:cs="Arial"/>
          <w:b/>
          <w:sz w:val="24"/>
          <w:szCs w:val="24"/>
          <w:lang w:eastAsia="es-MX"/>
        </w:rPr>
        <w:t>DIFEM:</w:t>
      </w:r>
      <w:r w:rsidRPr="00BD52C0">
        <w:rPr>
          <w:rFonts w:ascii="Arial" w:eastAsia="Times New Roman" w:hAnsi="Arial" w:cs="Arial"/>
          <w:sz w:val="24"/>
          <w:szCs w:val="24"/>
          <w:lang w:eastAsia="es-MX"/>
        </w:rPr>
        <w:t xml:space="preserve"> Sistema para el Desarrollo Integral de la Familia del Estado de México.</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EFS:</w:t>
      </w:r>
      <w:r w:rsidRPr="00BD52C0">
        <w:rPr>
          <w:rFonts w:ascii="Arial" w:hAnsi="Arial" w:cs="Arial"/>
          <w:sz w:val="24"/>
          <w:szCs w:val="24"/>
        </w:rPr>
        <w:t xml:space="preserve"> Entidades de Fiscalización Superior.</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 xml:space="preserve">ENCIG: </w:t>
      </w:r>
      <w:r w:rsidRPr="00BD52C0">
        <w:rPr>
          <w:rFonts w:ascii="Arial" w:hAnsi="Arial" w:cs="Arial"/>
          <w:sz w:val="24"/>
          <w:szCs w:val="24"/>
        </w:rPr>
        <w:t>Encuesta Nacional de Calidad de Impacto Gubernamental.</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Entidades Fiscalizables:</w:t>
      </w:r>
      <w:r w:rsidRPr="00BD52C0">
        <w:rPr>
          <w:rFonts w:ascii="Arial" w:hAnsi="Arial" w:cs="Arial"/>
          <w:sz w:val="24"/>
          <w:szCs w:val="24"/>
        </w:rPr>
        <w:t xml:space="preserve">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Evaluación:</w:t>
      </w:r>
      <w:r w:rsidRPr="00BD52C0">
        <w:rPr>
          <w:rFonts w:ascii="Arial" w:hAnsi="Arial" w:cs="Arial"/>
          <w:sz w:val="24"/>
          <w:szCs w:val="24"/>
        </w:rPr>
        <w:t xml:space="preserve"> Análisis sistemático y objetivo de una intervención pública cuya finalidad es determinar la pertinencia y el logro de sus objetivos y metas, así como la eficiencia, eficacia, calidad, resultados, impacto y sostenibilidad.</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FAETA:</w:t>
      </w:r>
      <w:r w:rsidRPr="00BD52C0">
        <w:rPr>
          <w:rFonts w:ascii="Arial" w:hAnsi="Arial" w:cs="Arial"/>
          <w:sz w:val="24"/>
          <w:szCs w:val="24"/>
        </w:rPr>
        <w:t xml:space="preserve"> Fondo de Aportaciones para la Educación Tecnológica y de Adultos.</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FAEB:</w:t>
      </w:r>
      <w:r w:rsidRPr="00BD52C0">
        <w:rPr>
          <w:rFonts w:ascii="Arial" w:hAnsi="Arial" w:cs="Arial"/>
          <w:sz w:val="24"/>
          <w:szCs w:val="24"/>
        </w:rPr>
        <w:t xml:space="preserve"> Fondo de Aportaciones para la Educación Básica y Normal.</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FAFEF:</w:t>
      </w:r>
      <w:r w:rsidRPr="00BD52C0">
        <w:rPr>
          <w:rFonts w:ascii="Arial" w:hAnsi="Arial" w:cs="Arial"/>
          <w:sz w:val="24"/>
          <w:szCs w:val="24"/>
        </w:rPr>
        <w:t xml:space="preserve"> Fondo de Aportaciones para el Fortalecimiento de las Entidades Federativas.</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FAIS:</w:t>
      </w:r>
      <w:r w:rsidRPr="00BD52C0">
        <w:rPr>
          <w:rFonts w:ascii="Arial" w:hAnsi="Arial" w:cs="Arial"/>
          <w:sz w:val="24"/>
          <w:szCs w:val="24"/>
        </w:rPr>
        <w:t xml:space="preserve"> Fondo de Aportaciones para la Infraestructura Social (Estatal y Municipal).</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FAM:</w:t>
      </w:r>
      <w:r w:rsidRPr="00BD52C0">
        <w:rPr>
          <w:rFonts w:ascii="Arial" w:hAnsi="Arial" w:cs="Arial"/>
          <w:sz w:val="24"/>
          <w:szCs w:val="24"/>
        </w:rPr>
        <w:t xml:space="preserve"> Fondo de Aportaciones Múltiples.</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lastRenderedPageBreak/>
        <w:t>FASP:</w:t>
      </w:r>
      <w:r w:rsidRPr="00BD52C0">
        <w:rPr>
          <w:rFonts w:ascii="Arial" w:hAnsi="Arial" w:cs="Arial"/>
          <w:sz w:val="24"/>
          <w:szCs w:val="24"/>
        </w:rPr>
        <w:t xml:space="preserve"> Fondo de Aportaciones para la Seguridad Pública de los Estados y del Distrito Federal.</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FASSA:</w:t>
      </w:r>
      <w:r w:rsidRPr="00BD52C0">
        <w:rPr>
          <w:rFonts w:ascii="Arial" w:hAnsi="Arial" w:cs="Arial"/>
          <w:sz w:val="24"/>
          <w:szCs w:val="24"/>
        </w:rPr>
        <w:t xml:space="preserve"> Fondo de Aportaciones para los Servicios de Salud.</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FISE:</w:t>
      </w:r>
      <w:r w:rsidRPr="00BD52C0">
        <w:rPr>
          <w:rFonts w:ascii="Arial" w:hAnsi="Arial" w:cs="Arial"/>
          <w:sz w:val="24"/>
          <w:szCs w:val="24"/>
        </w:rPr>
        <w:t xml:space="preserve"> Fondo de Aportaciones para la Infraestructura Social Estatal.</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FISM:</w:t>
      </w:r>
      <w:r w:rsidRPr="00BD52C0">
        <w:rPr>
          <w:rFonts w:ascii="Arial" w:hAnsi="Arial" w:cs="Arial"/>
          <w:sz w:val="24"/>
          <w:szCs w:val="24"/>
        </w:rPr>
        <w:t xml:space="preserve"> Fondo de Aportaciones para la Infraestructura Social Municipal y de las Demarcaciones Territoriales del Distrito Federal</w:t>
      </w:r>
      <w:proofErr w:type="gramStart"/>
      <w:r w:rsidRPr="00BD52C0">
        <w:rPr>
          <w:rFonts w:ascii="Arial" w:hAnsi="Arial" w:cs="Arial"/>
          <w:sz w:val="24"/>
          <w:szCs w:val="24"/>
        </w:rPr>
        <w:t>..</w:t>
      </w:r>
      <w:proofErr w:type="gramEnd"/>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 xml:space="preserve">FONE: </w:t>
      </w:r>
      <w:r w:rsidRPr="00BD52C0">
        <w:rPr>
          <w:rFonts w:ascii="Arial" w:hAnsi="Arial" w:cs="Arial"/>
          <w:sz w:val="24"/>
          <w:szCs w:val="24"/>
        </w:rPr>
        <w:t>Fondo de Aportaciones para la Nómina Educativa y Gasto Operativo.</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hAnsi="Arial" w:cs="Arial"/>
          <w:b/>
          <w:sz w:val="24"/>
          <w:szCs w:val="24"/>
        </w:rPr>
        <w:t>FORTAMUN:</w:t>
      </w:r>
      <w:r w:rsidRPr="00BD52C0">
        <w:rPr>
          <w:rFonts w:ascii="Arial" w:hAnsi="Arial" w:cs="Arial"/>
          <w:sz w:val="24"/>
          <w:szCs w:val="24"/>
        </w:rPr>
        <w:t xml:space="preserve"> Fondo de Aportaciones para el Fortalecimiento de los Municipios y de las Demarcaciones Territoriales del Distrito Federal.</w:t>
      </w:r>
    </w:p>
    <w:p w:rsidR="00740B4F" w:rsidRPr="00BD52C0" w:rsidRDefault="00740B4F" w:rsidP="00740B4F">
      <w:pPr>
        <w:autoSpaceDE w:val="0"/>
        <w:autoSpaceDN w:val="0"/>
        <w:adjustRightInd w:val="0"/>
        <w:spacing w:after="0" w:line="360" w:lineRule="auto"/>
        <w:jc w:val="both"/>
        <w:rPr>
          <w:rFonts w:ascii="Arial" w:hAnsi="Arial" w:cs="Arial"/>
          <w:sz w:val="24"/>
          <w:szCs w:val="24"/>
        </w:rPr>
      </w:pPr>
      <w:r w:rsidRPr="00BD52C0">
        <w:rPr>
          <w:rFonts w:ascii="Arial" w:eastAsia="Times New Roman" w:hAnsi="Arial" w:cs="Arial"/>
          <w:b/>
          <w:sz w:val="24"/>
          <w:szCs w:val="24"/>
          <w:lang w:eastAsia="es-MX"/>
        </w:rPr>
        <w:t>Gaceta del Gobierno del Estado:</w:t>
      </w:r>
      <w:r w:rsidRPr="00BD52C0">
        <w:rPr>
          <w:rFonts w:ascii="Arial" w:eastAsia="Times New Roman" w:hAnsi="Arial" w:cs="Arial"/>
          <w:sz w:val="24"/>
          <w:szCs w:val="24"/>
          <w:lang w:eastAsia="es-MX"/>
        </w:rPr>
        <w:t xml:space="preserve"> M</w:t>
      </w:r>
      <w:r w:rsidRPr="00BD52C0">
        <w:rPr>
          <w:rFonts w:ascii="Arial" w:hAnsi="Arial" w:cs="Arial"/>
          <w:sz w:val="24"/>
          <w:szCs w:val="24"/>
        </w:rPr>
        <w:t>edio de difusión de carácter permanente e interés público dependiente de la Secretaría y órgano informativo del Gobierno del Estado de México cuyo objeto es publicar las leyes, decretos, reglamentos, acuerdos, notificaciones, avisos, manuales y demás disposiciones de carácter general de los poderes del Estado, organismos autónomos, organismos auxiliares, ayuntamientos y de particulares.</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GLOSA:</w:t>
      </w:r>
      <w:r w:rsidRPr="00BD52C0">
        <w:rPr>
          <w:rFonts w:ascii="Arial" w:hAnsi="Arial" w:cs="Arial"/>
          <w:sz w:val="24"/>
          <w:szCs w:val="24"/>
        </w:rPr>
        <w:t xml:space="preserve"> Revisión legal, numérica y contable de las cuentas rendidas por las entidades fiscalizables que llevan a cabo el manejo de fondos, valores y bienes que integran el erario público.</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INCOSAI:</w:t>
      </w:r>
      <w:r w:rsidRPr="00BD52C0">
        <w:rPr>
          <w:rFonts w:ascii="Arial" w:eastAsia="Times New Roman" w:hAnsi="Arial" w:cs="Arial"/>
          <w:color w:val="000000"/>
          <w:sz w:val="24"/>
          <w:szCs w:val="24"/>
        </w:rPr>
        <w:t xml:space="preserve"> Congreso de la Organización Internacional de Entidades Fiscalizadoras Superiores.</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ISEM:</w:t>
      </w:r>
      <w:r w:rsidRPr="00BD52C0">
        <w:rPr>
          <w:rFonts w:ascii="Arial" w:eastAsia="Times New Roman" w:hAnsi="Arial" w:cs="Arial"/>
          <w:color w:val="000000"/>
          <w:sz w:val="24"/>
          <w:szCs w:val="24"/>
        </w:rPr>
        <w:t xml:space="preserve"> Instituto de Salud del Estado de México.</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INTOSAI:</w:t>
      </w:r>
      <w:r w:rsidRPr="00BD52C0">
        <w:rPr>
          <w:rFonts w:ascii="Arial" w:eastAsia="Times New Roman" w:hAnsi="Arial" w:cs="Arial"/>
          <w:color w:val="000000"/>
          <w:sz w:val="24"/>
          <w:szCs w:val="24"/>
        </w:rPr>
        <w:t xml:space="preserve"> Organización Internacional de Entidades Fiscalizadoras Superiores.</w:t>
      </w:r>
    </w:p>
    <w:p w:rsidR="00740B4F" w:rsidRPr="00BD52C0" w:rsidRDefault="00740B4F" w:rsidP="00740B4F">
      <w:pPr>
        <w:pStyle w:val="Textonotapie"/>
        <w:spacing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ISSAI:</w:t>
      </w:r>
      <w:r w:rsidRPr="00BD52C0">
        <w:rPr>
          <w:rFonts w:ascii="Arial" w:eastAsia="Times New Roman" w:hAnsi="Arial" w:cs="Arial"/>
          <w:color w:val="000000"/>
          <w:sz w:val="24"/>
          <w:szCs w:val="24"/>
        </w:rPr>
        <w:t xml:space="preserve"> Normas Internacionales de las Entidades Fiscalizadoras Superiores.</w:t>
      </w:r>
    </w:p>
    <w:p w:rsidR="00740B4F" w:rsidRPr="00BD52C0" w:rsidRDefault="00740B4F" w:rsidP="00740B4F">
      <w:pPr>
        <w:pStyle w:val="Textonotapie"/>
        <w:spacing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LCF:</w:t>
      </w:r>
      <w:r w:rsidRPr="00BD52C0">
        <w:rPr>
          <w:rFonts w:ascii="Arial" w:eastAsia="Times New Roman" w:hAnsi="Arial" w:cs="Arial"/>
          <w:color w:val="000000"/>
          <w:sz w:val="24"/>
          <w:szCs w:val="24"/>
        </w:rPr>
        <w:t xml:space="preserve"> Ley de Coordinación Fiscal.</w:t>
      </w:r>
    </w:p>
    <w:p w:rsidR="00740B4F" w:rsidRPr="00BD52C0" w:rsidRDefault="00740B4F" w:rsidP="00740B4F">
      <w:pPr>
        <w:pStyle w:val="Textonotapie"/>
        <w:spacing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 xml:space="preserve">Organismos Autónomos: </w:t>
      </w:r>
      <w:r w:rsidRPr="00BD52C0">
        <w:rPr>
          <w:rFonts w:ascii="Arial" w:eastAsia="Times New Roman" w:hAnsi="Arial" w:cs="Arial"/>
          <w:color w:val="000000"/>
          <w:sz w:val="24"/>
          <w:szCs w:val="24"/>
        </w:rPr>
        <w:t>A los organismos que por disposición constitucional estén dotados de Autonomía.</w:t>
      </w:r>
    </w:p>
    <w:p w:rsidR="00740B4F" w:rsidRPr="00BD52C0" w:rsidRDefault="00740B4F" w:rsidP="00740B4F">
      <w:pPr>
        <w:pStyle w:val="Textonotapie"/>
        <w:spacing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 xml:space="preserve">Organismos Auxiliares: </w:t>
      </w:r>
      <w:r w:rsidRPr="00BD52C0">
        <w:rPr>
          <w:rFonts w:ascii="Arial" w:eastAsia="Times New Roman" w:hAnsi="Arial" w:cs="Arial"/>
          <w:color w:val="000000"/>
          <w:sz w:val="24"/>
          <w:szCs w:val="24"/>
        </w:rPr>
        <w:t>A los organismos públicos descentralizados, empresas de participación estatal y fideicomisos públicos de la administración pública estatal y municipal.</w:t>
      </w:r>
    </w:p>
    <w:p w:rsidR="00740B4F" w:rsidRPr="00BD52C0" w:rsidRDefault="00740B4F" w:rsidP="00740B4F">
      <w:pPr>
        <w:spacing w:after="0" w:line="360" w:lineRule="auto"/>
        <w:jc w:val="both"/>
        <w:rPr>
          <w:rFonts w:ascii="Arial" w:hAnsi="Arial" w:cs="Arial"/>
          <w:sz w:val="24"/>
          <w:szCs w:val="24"/>
        </w:rPr>
      </w:pPr>
      <w:r w:rsidRPr="00BD52C0">
        <w:rPr>
          <w:rFonts w:ascii="Arial" w:hAnsi="Arial" w:cs="Arial"/>
          <w:b/>
          <w:sz w:val="24"/>
          <w:szCs w:val="24"/>
        </w:rPr>
        <w:t>OSFEM:</w:t>
      </w:r>
      <w:r w:rsidRPr="00BD52C0">
        <w:rPr>
          <w:rFonts w:ascii="Arial" w:hAnsi="Arial" w:cs="Arial"/>
          <w:sz w:val="24"/>
          <w:szCs w:val="24"/>
        </w:rPr>
        <w:t xml:space="preserve"> Órgano Superior de Fiscalización del Estado de México.</w:t>
      </w:r>
    </w:p>
    <w:p w:rsidR="00740B4F" w:rsidRPr="00BD52C0" w:rsidRDefault="00740B4F" w:rsidP="00740B4F">
      <w:pPr>
        <w:spacing w:after="0" w:line="360" w:lineRule="auto"/>
        <w:jc w:val="both"/>
        <w:rPr>
          <w:rFonts w:ascii="Arial" w:eastAsia="Times New Roman" w:hAnsi="Arial" w:cs="Arial"/>
          <w:color w:val="000000"/>
          <w:sz w:val="24"/>
          <w:szCs w:val="24"/>
        </w:rPr>
      </w:pPr>
      <w:proofErr w:type="spellStart"/>
      <w:r w:rsidRPr="00BD52C0">
        <w:rPr>
          <w:rFonts w:ascii="Arial" w:eastAsia="Times New Roman" w:hAnsi="Arial" w:cs="Arial"/>
          <w:b/>
          <w:color w:val="000000"/>
          <w:sz w:val="24"/>
          <w:szCs w:val="24"/>
        </w:rPr>
        <w:lastRenderedPageBreak/>
        <w:t>PbR</w:t>
      </w:r>
      <w:proofErr w:type="spellEnd"/>
      <w:r w:rsidRPr="00BD52C0">
        <w:rPr>
          <w:rFonts w:ascii="Arial" w:eastAsia="Times New Roman" w:hAnsi="Arial" w:cs="Arial"/>
          <w:b/>
          <w:color w:val="000000"/>
          <w:sz w:val="24"/>
          <w:szCs w:val="24"/>
        </w:rPr>
        <w:t xml:space="preserve">: </w:t>
      </w:r>
      <w:r w:rsidRPr="00BD52C0">
        <w:rPr>
          <w:rFonts w:ascii="Arial" w:eastAsia="Times New Roman" w:hAnsi="Arial" w:cs="Arial"/>
          <w:color w:val="000000"/>
          <w:sz w:val="24"/>
          <w:szCs w:val="24"/>
        </w:rPr>
        <w:t>Presupuesto basado en Resultados.</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Poderes Públicos del Estado:</w:t>
      </w:r>
      <w:r w:rsidRPr="00BD52C0">
        <w:rPr>
          <w:rFonts w:ascii="Arial" w:eastAsia="Times New Roman" w:hAnsi="Arial" w:cs="Arial"/>
          <w:color w:val="000000"/>
          <w:sz w:val="24"/>
          <w:szCs w:val="24"/>
        </w:rPr>
        <w:t xml:space="preserve"> Los poderes Legislativo, Judicial y Ejecutivo comprendiendo sus unidades y dependencias.</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 xml:space="preserve">Revisiones contemporáneas: </w:t>
      </w:r>
      <w:r w:rsidRPr="00BD52C0">
        <w:rPr>
          <w:rFonts w:ascii="Arial" w:eastAsia="Times New Roman" w:hAnsi="Arial" w:cs="Arial"/>
          <w:color w:val="000000"/>
          <w:sz w:val="24"/>
          <w:szCs w:val="24"/>
        </w:rPr>
        <w:t>Aquellas que realice el Órgano Superior de Fiscalización del Estado de México de manera contemporánea a la ejecución de los actos de gobierno y la aplicación de fondos públicos federales, estatales o municipales, sin perjuicio de aquellas que realice de manera posterior a la presentación de cuentas públicas.</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SEFIN:</w:t>
      </w:r>
      <w:r w:rsidRPr="00BD52C0">
        <w:rPr>
          <w:rFonts w:ascii="Arial" w:eastAsia="Times New Roman" w:hAnsi="Arial" w:cs="Arial"/>
          <w:color w:val="000000"/>
          <w:sz w:val="24"/>
          <w:szCs w:val="24"/>
        </w:rPr>
        <w:t xml:space="preserve"> Secretaría de Finanzas.</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 xml:space="preserve">SGG: </w:t>
      </w:r>
      <w:r w:rsidRPr="00BD52C0">
        <w:rPr>
          <w:rFonts w:ascii="Arial" w:eastAsia="Times New Roman" w:hAnsi="Arial" w:cs="Arial"/>
          <w:color w:val="000000"/>
          <w:sz w:val="24"/>
          <w:szCs w:val="24"/>
        </w:rPr>
        <w:t>Secretaría General de Gobierno.</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SHCP:</w:t>
      </w:r>
      <w:r w:rsidRPr="00BD52C0">
        <w:rPr>
          <w:rFonts w:ascii="Arial" w:eastAsia="Times New Roman" w:hAnsi="Arial" w:cs="Arial"/>
          <w:color w:val="000000"/>
          <w:sz w:val="24"/>
          <w:szCs w:val="24"/>
        </w:rPr>
        <w:t xml:space="preserve"> Secretaría de Hacienda y Crédito Público.</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SIEP:</w:t>
      </w:r>
      <w:r w:rsidRPr="00BD52C0">
        <w:rPr>
          <w:rFonts w:ascii="Arial" w:eastAsia="Times New Roman" w:hAnsi="Arial" w:cs="Arial"/>
          <w:color w:val="000000"/>
          <w:sz w:val="24"/>
          <w:szCs w:val="24"/>
        </w:rPr>
        <w:t xml:space="preserve"> Sistema Integral de Evaluación Programática.</w:t>
      </w:r>
    </w:p>
    <w:p w:rsidR="00740B4F" w:rsidRPr="00BD52C0" w:rsidRDefault="00740B4F" w:rsidP="00740B4F">
      <w:pPr>
        <w:spacing w:after="0" w:line="360" w:lineRule="auto"/>
        <w:jc w:val="both"/>
        <w:rPr>
          <w:rFonts w:ascii="Arial" w:eastAsia="Times New Roman" w:hAnsi="Arial" w:cs="Arial"/>
          <w:color w:val="000000"/>
          <w:sz w:val="24"/>
          <w:szCs w:val="24"/>
        </w:rPr>
      </w:pPr>
      <w:r w:rsidRPr="00BD52C0">
        <w:rPr>
          <w:rFonts w:ascii="Arial" w:eastAsia="Times New Roman" w:hAnsi="Arial" w:cs="Arial"/>
          <w:b/>
          <w:color w:val="000000"/>
          <w:sz w:val="24"/>
          <w:szCs w:val="24"/>
        </w:rPr>
        <w:t>UAEM:</w:t>
      </w:r>
      <w:r w:rsidRPr="00BD52C0">
        <w:rPr>
          <w:rFonts w:ascii="Arial" w:eastAsia="Times New Roman" w:hAnsi="Arial" w:cs="Arial"/>
          <w:color w:val="000000"/>
          <w:sz w:val="24"/>
          <w:szCs w:val="24"/>
        </w:rPr>
        <w:t xml:space="preserve"> Universidad Autónoma del Estado de México.</w:t>
      </w:r>
    </w:p>
    <w:p w:rsidR="00740B4F" w:rsidRPr="00051DE3" w:rsidRDefault="00740B4F" w:rsidP="00051DE3">
      <w:pPr>
        <w:spacing w:after="0" w:line="360" w:lineRule="auto"/>
        <w:jc w:val="both"/>
        <w:rPr>
          <w:rFonts w:ascii="Arial" w:hAnsi="Arial" w:cs="Arial"/>
          <w:sz w:val="24"/>
          <w:szCs w:val="24"/>
        </w:rPr>
      </w:pPr>
    </w:p>
    <w:sectPr w:rsidR="00740B4F" w:rsidRPr="00051DE3" w:rsidSect="001E47CD">
      <w:footerReference w:type="default" r:id="rId38"/>
      <w:pgSz w:w="12240" w:h="15840"/>
      <w:pgMar w:top="160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43B" w:rsidRDefault="003F643B" w:rsidP="003A3FFF">
      <w:pPr>
        <w:spacing w:after="0" w:line="240" w:lineRule="auto"/>
      </w:pPr>
      <w:r>
        <w:separator/>
      </w:r>
    </w:p>
  </w:endnote>
  <w:endnote w:type="continuationSeparator" w:id="0">
    <w:p w:rsidR="003F643B" w:rsidRDefault="003F643B" w:rsidP="003A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w:altName w:val="Calibri"/>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43B" w:rsidRDefault="003F643B">
    <w:pPr>
      <w:pStyle w:val="Piedepgina"/>
      <w:jc w:val="center"/>
    </w:pPr>
  </w:p>
  <w:p w:rsidR="003F643B" w:rsidRDefault="003F64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308007"/>
      <w:docPartObj>
        <w:docPartGallery w:val="Page Numbers (Bottom of Page)"/>
        <w:docPartUnique/>
      </w:docPartObj>
    </w:sdtPr>
    <w:sdtContent>
      <w:p w:rsidR="004D25BA" w:rsidRDefault="004D25BA">
        <w:pPr>
          <w:pStyle w:val="Piedepgina"/>
          <w:jc w:val="right"/>
        </w:pPr>
        <w:r>
          <w:fldChar w:fldCharType="begin"/>
        </w:r>
        <w:r>
          <w:instrText>PAGE   \* MERGEFORMAT</w:instrText>
        </w:r>
        <w:r>
          <w:fldChar w:fldCharType="separate"/>
        </w:r>
        <w:r w:rsidR="00A06A78" w:rsidRPr="00A06A78">
          <w:rPr>
            <w:noProof/>
            <w:lang w:val="es-ES"/>
          </w:rPr>
          <w:t>81</w:t>
        </w:r>
        <w:r>
          <w:fldChar w:fldCharType="end"/>
        </w:r>
      </w:p>
    </w:sdtContent>
  </w:sdt>
  <w:p w:rsidR="003F643B" w:rsidRDefault="003F643B" w:rsidP="009D7D0D">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43B" w:rsidRDefault="003F643B" w:rsidP="009D7D0D">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43B" w:rsidRDefault="003F643B" w:rsidP="003A3FFF">
      <w:pPr>
        <w:spacing w:after="0" w:line="240" w:lineRule="auto"/>
      </w:pPr>
      <w:r>
        <w:separator/>
      </w:r>
    </w:p>
  </w:footnote>
  <w:footnote w:type="continuationSeparator" w:id="0">
    <w:p w:rsidR="003F643B" w:rsidRDefault="003F643B" w:rsidP="003A3FFF">
      <w:pPr>
        <w:spacing w:after="0" w:line="240" w:lineRule="auto"/>
      </w:pPr>
      <w:r>
        <w:continuationSeparator/>
      </w:r>
    </w:p>
  </w:footnote>
  <w:footnote w:id="1">
    <w:p w:rsidR="003F643B" w:rsidRPr="00B72BD8" w:rsidRDefault="003F643B" w:rsidP="006F43DF">
      <w:pPr>
        <w:pStyle w:val="Textonotapie"/>
        <w:ind w:left="210" w:hanging="210"/>
        <w:jc w:val="both"/>
        <w:rPr>
          <w:rFonts w:ascii="Arial" w:hAnsi="Arial" w:cs="Arial"/>
        </w:rPr>
      </w:pPr>
      <w:r w:rsidRPr="00B72BD8">
        <w:rPr>
          <w:rStyle w:val="Refdenotaalpie"/>
          <w:rFonts w:ascii="Arial" w:hAnsi="Arial" w:cs="Arial"/>
        </w:rPr>
        <w:footnoteRef/>
      </w:r>
      <w:r w:rsidRPr="00B72BD8">
        <w:rPr>
          <w:rFonts w:ascii="Arial" w:hAnsi="Arial" w:cs="Arial"/>
        </w:rPr>
        <w:t xml:space="preserve"> </w:t>
      </w:r>
      <w:r w:rsidRPr="00B72BD8">
        <w:rPr>
          <w:rFonts w:ascii="Arial" w:eastAsia="Times New Roman" w:hAnsi="Arial" w:cs="Arial"/>
          <w:color w:val="000000"/>
        </w:rPr>
        <w:t>El Desarrollo Humano Sustentable, como principio del PND, asume que “el propósito del desarrollo consiste en crear una atmosfera en que todos puedan aumentar su capacidad y las oportunidades puedan ampliarse para las generaciones presentes y futuras”.</w:t>
      </w:r>
    </w:p>
  </w:footnote>
  <w:footnote w:id="2">
    <w:p w:rsidR="003F643B" w:rsidRPr="004F0547" w:rsidRDefault="003F643B" w:rsidP="003A3FFF">
      <w:pPr>
        <w:pStyle w:val="Textonotapie"/>
        <w:rPr>
          <w:rFonts w:ascii="Arial" w:hAnsi="Arial" w:cs="Arial"/>
          <w:sz w:val="18"/>
          <w:szCs w:val="16"/>
        </w:rPr>
      </w:pPr>
      <w:r w:rsidRPr="004F0547">
        <w:rPr>
          <w:rStyle w:val="Refdenotaalpie"/>
          <w:rFonts w:ascii="Arial" w:hAnsi="Arial" w:cs="Arial"/>
          <w:b/>
          <w:sz w:val="18"/>
          <w:szCs w:val="16"/>
        </w:rPr>
        <w:footnoteRef/>
      </w:r>
      <w:r w:rsidRPr="004F0547">
        <w:rPr>
          <w:rFonts w:ascii="Arial" w:hAnsi="Arial" w:cs="Arial"/>
          <w:sz w:val="18"/>
          <w:szCs w:val="16"/>
        </w:rPr>
        <w:t xml:space="preserve"> </w:t>
      </w:r>
      <w:r w:rsidRPr="004F0547">
        <w:rPr>
          <w:rFonts w:ascii="Arial" w:eastAsia="Times New Roman" w:hAnsi="Arial" w:cs="Arial"/>
          <w:color w:val="000000"/>
          <w:sz w:val="18"/>
          <w:szCs w:val="16"/>
        </w:rPr>
        <w:t>Normas Internacionales de las Entidades Fiscalizadoras Superiores.</w:t>
      </w:r>
    </w:p>
  </w:footnote>
  <w:footnote w:id="3">
    <w:p w:rsidR="003F643B" w:rsidRPr="004F0547" w:rsidRDefault="003F643B" w:rsidP="003A3FFF">
      <w:pPr>
        <w:pStyle w:val="Textonotapie"/>
        <w:jc w:val="both"/>
        <w:rPr>
          <w:rFonts w:ascii="Arial" w:hAnsi="Arial" w:cs="Arial"/>
          <w:sz w:val="18"/>
          <w:szCs w:val="18"/>
        </w:rPr>
      </w:pPr>
      <w:r w:rsidRPr="004F0547">
        <w:rPr>
          <w:rStyle w:val="Refdenotaalpie"/>
          <w:rFonts w:ascii="Arial" w:hAnsi="Arial" w:cs="Arial"/>
          <w:b/>
          <w:sz w:val="18"/>
          <w:szCs w:val="18"/>
        </w:rPr>
        <w:footnoteRef/>
      </w:r>
      <w:r w:rsidRPr="004F0547">
        <w:rPr>
          <w:rFonts w:ascii="Arial" w:hAnsi="Arial" w:cs="Arial"/>
          <w:sz w:val="18"/>
          <w:szCs w:val="18"/>
        </w:rPr>
        <w:t xml:space="preserve"> Asignaciones de recursos federales previstas en el Presupuesto de Egresos que</w:t>
      </w:r>
      <w:proofErr w:type="gramStart"/>
      <w:r w:rsidRPr="004F0547">
        <w:rPr>
          <w:rFonts w:ascii="Arial" w:hAnsi="Arial" w:cs="Arial"/>
          <w:sz w:val="18"/>
          <w:szCs w:val="18"/>
        </w:rPr>
        <w:t>, …</w:t>
      </w:r>
      <w:proofErr w:type="gramEnd"/>
      <w:r w:rsidRPr="004F0547">
        <w:rPr>
          <w:rFonts w:ascii="Arial" w:hAnsi="Arial" w:cs="Arial"/>
          <w:sz w:val="18"/>
          <w:szCs w:val="18"/>
        </w:rPr>
        <w:t>, se otorgan a las entidades federativas o municipios para fomentar el desarrollo de actividades sociales o económicas prioritarias de interés general. (Ley Federal de Presupuesto y Responsabilidad Hacendaria 2006, Art. 2, Frac. LIII).</w:t>
      </w:r>
    </w:p>
  </w:footnote>
  <w:footnote w:id="4">
    <w:p w:rsidR="003F643B" w:rsidRPr="004F0547" w:rsidRDefault="003F643B" w:rsidP="003A3FFF">
      <w:pPr>
        <w:tabs>
          <w:tab w:val="left" w:pos="2146"/>
          <w:tab w:val="left" w:pos="7239"/>
        </w:tabs>
        <w:spacing w:after="0" w:line="240" w:lineRule="auto"/>
        <w:jc w:val="both"/>
        <w:rPr>
          <w:rFonts w:ascii="Arial" w:eastAsia="Times New Roman" w:hAnsi="Arial" w:cs="Arial"/>
          <w:sz w:val="18"/>
          <w:szCs w:val="18"/>
          <w:lang w:eastAsia="es-MX"/>
        </w:rPr>
      </w:pPr>
      <w:r w:rsidRPr="004F0547">
        <w:rPr>
          <w:rStyle w:val="Refdenotaalpie"/>
          <w:rFonts w:ascii="Arial" w:hAnsi="Arial" w:cs="Arial"/>
          <w:b/>
          <w:sz w:val="18"/>
          <w:szCs w:val="18"/>
        </w:rPr>
        <w:footnoteRef/>
      </w:r>
      <w:r w:rsidRPr="004F0547">
        <w:rPr>
          <w:rFonts w:ascii="Arial" w:hAnsi="Arial" w:cs="Arial"/>
          <w:sz w:val="18"/>
          <w:szCs w:val="18"/>
        </w:rPr>
        <w:t xml:space="preserve"> </w:t>
      </w:r>
      <w:r w:rsidRPr="004F0547">
        <w:rPr>
          <w:rFonts w:ascii="Arial" w:eastAsia="Times New Roman" w:hAnsi="Arial" w:cs="Arial"/>
          <w:sz w:val="18"/>
          <w:szCs w:val="18"/>
          <w:lang w:eastAsia="es-MX"/>
        </w:rPr>
        <w:t>Esta instrucción es el primer antecedente importante de creación para la Contaduría General de Glosa (hoy Órgano Superior de Fiscalización del Estado de México, OSFEM).</w:t>
      </w:r>
    </w:p>
  </w:footnote>
  <w:footnote w:id="5">
    <w:p w:rsidR="003F643B" w:rsidRPr="00715B0F" w:rsidRDefault="003F643B" w:rsidP="006F69D8">
      <w:pPr>
        <w:autoSpaceDE w:val="0"/>
        <w:autoSpaceDN w:val="0"/>
        <w:adjustRightInd w:val="0"/>
        <w:spacing w:after="0" w:line="240" w:lineRule="auto"/>
        <w:jc w:val="both"/>
        <w:rPr>
          <w:sz w:val="18"/>
        </w:rPr>
      </w:pPr>
      <w:r w:rsidRPr="007824D2">
        <w:rPr>
          <w:rStyle w:val="Refdenotaalpie"/>
          <w:b/>
        </w:rPr>
        <w:footnoteRef/>
      </w:r>
      <w:r>
        <w:t xml:space="preserve"> </w:t>
      </w:r>
      <w:r w:rsidRPr="00CA6CDC">
        <w:rPr>
          <w:rFonts w:cstheme="minorHAnsi"/>
          <w:sz w:val="18"/>
        </w:rPr>
        <w:t>Poderes Públicos, Municipios, organismos autónomos, organismos auxiliares y demás entes públicos que manejen recursos del Estado y Municipios. (art.2, frac. V, Ley de Fiscalización Superior del Estado de México)</w:t>
      </w:r>
      <w:r>
        <w:rPr>
          <w:rFonts w:cstheme="minorHAnsi"/>
          <w:sz w:val="18"/>
        </w:rPr>
        <w:t>.</w:t>
      </w:r>
    </w:p>
  </w:footnote>
  <w:footnote w:id="6">
    <w:p w:rsidR="003F643B" w:rsidRPr="006F69D8" w:rsidRDefault="003F643B" w:rsidP="006F69D8">
      <w:pPr>
        <w:pStyle w:val="Textonotapie"/>
        <w:jc w:val="both"/>
        <w:rPr>
          <w:sz w:val="18"/>
        </w:rPr>
      </w:pPr>
      <w:r w:rsidRPr="006F69D8">
        <w:rPr>
          <w:rStyle w:val="Refdenotaalpie"/>
          <w:b/>
          <w:sz w:val="22"/>
        </w:rPr>
        <w:footnoteRef/>
      </w:r>
      <w:r>
        <w:t xml:space="preserve"> </w:t>
      </w:r>
      <w:r w:rsidRPr="006F69D8">
        <w:rPr>
          <w:b/>
          <w:sz w:val="18"/>
        </w:rPr>
        <w:t>Fuente:</w:t>
      </w:r>
      <w:r w:rsidRPr="006F69D8">
        <w:rPr>
          <w:sz w:val="18"/>
        </w:rPr>
        <w:t xml:space="preserve"> Catalogo de Objetivos de la Estructura Programática 2017 del Gobierno del Estado de México; Programa Presupuestal 01010201: Fiscalización Gubernamental.</w:t>
      </w:r>
    </w:p>
  </w:footnote>
  <w:footnote w:id="7">
    <w:p w:rsidR="003F643B" w:rsidRPr="003B33D1" w:rsidRDefault="003F643B" w:rsidP="00D1277C">
      <w:pPr>
        <w:pStyle w:val="Textonotapie"/>
        <w:jc w:val="both"/>
        <w:rPr>
          <w:rFonts w:ascii="Arial" w:hAnsi="Arial" w:cs="Arial"/>
          <w:sz w:val="16"/>
          <w:szCs w:val="16"/>
        </w:rPr>
      </w:pPr>
      <w:r w:rsidRPr="003B33D1">
        <w:rPr>
          <w:rStyle w:val="Refdenotaalpie"/>
          <w:rFonts w:ascii="Arial" w:hAnsi="Arial" w:cs="Arial"/>
          <w:b/>
          <w:sz w:val="16"/>
          <w:szCs w:val="16"/>
        </w:rPr>
        <w:footnoteRef/>
      </w:r>
      <w:r w:rsidRPr="003B33D1">
        <w:rPr>
          <w:rFonts w:ascii="Arial" w:hAnsi="Arial" w:cs="Arial"/>
          <w:b/>
          <w:sz w:val="16"/>
          <w:szCs w:val="16"/>
        </w:rPr>
        <w:t xml:space="preserve"> </w:t>
      </w:r>
      <w:r w:rsidRPr="003B33D1">
        <w:rPr>
          <w:rFonts w:ascii="Arial" w:hAnsi="Arial" w:cs="Arial"/>
          <w:sz w:val="16"/>
          <w:szCs w:val="16"/>
        </w:rPr>
        <w:t xml:space="preserve">Las acciones de </w:t>
      </w:r>
      <w:r>
        <w:rPr>
          <w:rFonts w:ascii="Arial" w:hAnsi="Arial" w:cs="Arial"/>
          <w:sz w:val="16"/>
          <w:szCs w:val="16"/>
        </w:rPr>
        <w:t>fiscalizar al Ramo General 33,</w:t>
      </w:r>
      <w:r w:rsidRPr="003B33D1">
        <w:rPr>
          <w:rFonts w:ascii="Arial" w:hAnsi="Arial" w:cs="Arial"/>
          <w:sz w:val="16"/>
          <w:szCs w:val="16"/>
        </w:rPr>
        <w:t xml:space="preserve"> han sido encomendadas al Departamento de Auditoría de Desempeño a Educación y Cultura (DADEC) adscrito a la SEPF. Hasta antes del año 2014 dicho Departamento se denominó “Departamento de Evaluación de Programas Federales al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3"/>
    </w:tblGrid>
    <w:tr w:rsidR="003F643B" w:rsidTr="00BD52C0">
      <w:trPr>
        <w:trHeight w:val="280"/>
      </w:trPr>
      <w:tc>
        <w:tcPr>
          <w:tcW w:w="8353" w:type="dxa"/>
        </w:tcPr>
        <w:p w:rsidR="003F643B" w:rsidRPr="0013166C" w:rsidRDefault="003F643B" w:rsidP="00BD52C0">
          <w:pPr>
            <w:pStyle w:val="Encabezado"/>
            <w:ind w:left="-70" w:firstLine="126"/>
            <w:rPr>
              <w:rFonts w:ascii="Lato" w:hAnsi="Lato"/>
            </w:rPr>
          </w:pPr>
          <w:r>
            <w:rPr>
              <w:rFonts w:ascii="Lato" w:hAnsi="Lato"/>
              <w:noProof/>
              <w:lang w:eastAsia="es-MX"/>
            </w:rPr>
            <mc:AlternateContent>
              <mc:Choice Requires="wps">
                <w:drawing>
                  <wp:anchor distT="0" distB="0" distL="114300" distR="114300" simplePos="0" relativeHeight="251663360" behindDoc="0" locked="0" layoutInCell="1" allowOverlap="1" wp14:anchorId="02459873" wp14:editId="42F627A1">
                    <wp:simplePos x="0" y="0"/>
                    <wp:positionH relativeFrom="column">
                      <wp:posOffset>421640</wp:posOffset>
                    </wp:positionH>
                    <wp:positionV relativeFrom="paragraph">
                      <wp:posOffset>138430</wp:posOffset>
                    </wp:positionV>
                    <wp:extent cx="5539740" cy="241300"/>
                    <wp:effectExtent l="0" t="0" r="0" b="6350"/>
                    <wp:wrapNone/>
                    <wp:docPr id="30" name="30 Cuadro de texto"/>
                    <wp:cNvGraphicFramePr/>
                    <a:graphic xmlns:a="http://schemas.openxmlformats.org/drawingml/2006/main">
                      <a:graphicData uri="http://schemas.microsoft.com/office/word/2010/wordprocessingShape">
                        <wps:wsp>
                          <wps:cNvSpPr txBox="1"/>
                          <wps:spPr>
                            <a:xfrm>
                              <a:off x="0" y="0"/>
                              <a:ext cx="553974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43B" w:rsidRPr="001E47CD" w:rsidRDefault="003F643B" w:rsidP="004A1241">
                                <w:pPr>
                                  <w:pStyle w:val="Default"/>
                                  <w:spacing w:line="360" w:lineRule="auto"/>
                                  <w:ind w:left="142"/>
                                  <w:jc w:val="both"/>
                                  <w:rPr>
                                    <w:rFonts w:eastAsia="Times New Roman"/>
                                    <w:color w:val="auto"/>
                                    <w:sz w:val="16"/>
                                    <w:szCs w:val="16"/>
                                  </w:rPr>
                                </w:pPr>
                                <w:proofErr w:type="gramStart"/>
                                <w:r w:rsidRPr="001E47CD">
                                  <w:rPr>
                                    <w:sz w:val="16"/>
                                    <w:szCs w:val="16"/>
                                  </w:rPr>
                                  <w:t>caso</w:t>
                                </w:r>
                                <w:proofErr w:type="gramEnd"/>
                                <w:r w:rsidRPr="001E47CD">
                                  <w:rPr>
                                    <w:sz w:val="16"/>
                                    <w:szCs w:val="16"/>
                                  </w:rPr>
                                  <w:t xml:space="preserve"> práctico “Aplicación de Indicadores a los Recursos del Ramo General 33 ministrados al Estado de México”</w:t>
                                </w:r>
                              </w:p>
                              <w:p w:rsidR="003F643B" w:rsidRPr="001E47CD" w:rsidRDefault="003F643B" w:rsidP="00000B68">
                                <w:pPr>
                                  <w:ind w:left="714"/>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0 Cuadro de texto" o:spid="_x0000_s1035" type="#_x0000_t202" style="position:absolute;left:0;text-align:left;margin-left:33.2pt;margin-top:10.9pt;width:436.2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" filled="f" stroked="f" strokeweight=".5pt">
                    <v:textbox>
                      <w:txbxContent>
                        <w:p w:rsidR="003F643B" w:rsidRPr="001E47CD" w:rsidRDefault="003F643B" w:rsidP="004A1241">
                          <w:pPr>
                            <w:pStyle w:val="Default"/>
                            <w:spacing w:line="360" w:lineRule="auto"/>
                            <w:ind w:left="142"/>
                            <w:jc w:val="both"/>
                            <w:rPr>
                              <w:rFonts w:eastAsia="Times New Roman"/>
                              <w:color w:val="auto"/>
                              <w:sz w:val="16"/>
                              <w:szCs w:val="16"/>
                            </w:rPr>
                          </w:pPr>
                          <w:proofErr w:type="gramStart"/>
                          <w:r w:rsidRPr="001E47CD">
                            <w:rPr>
                              <w:sz w:val="16"/>
                              <w:szCs w:val="16"/>
                            </w:rPr>
                            <w:t>caso</w:t>
                          </w:r>
                          <w:proofErr w:type="gramEnd"/>
                          <w:r w:rsidRPr="001E47CD">
                            <w:rPr>
                              <w:sz w:val="16"/>
                              <w:szCs w:val="16"/>
                            </w:rPr>
                            <w:t xml:space="preserve"> práctico “Aplicación de Indicadores a los Recursos del Ramo General 33 ministrados al Estado de México”</w:t>
                          </w:r>
                        </w:p>
                        <w:p w:rsidR="003F643B" w:rsidRPr="001E47CD" w:rsidRDefault="003F643B" w:rsidP="00000B68">
                          <w:pPr>
                            <w:ind w:left="714"/>
                            <w:rPr>
                              <w:rFonts w:ascii="Arial" w:hAnsi="Arial" w:cs="Arial"/>
                              <w:sz w:val="16"/>
                              <w:szCs w:val="16"/>
                            </w:rPr>
                          </w:pPr>
                        </w:p>
                      </w:txbxContent>
                    </v:textbox>
                  </v:shape>
                </w:pict>
              </mc:Fallback>
            </mc:AlternateContent>
          </w:r>
          <w:r>
            <w:rPr>
              <w:rFonts w:ascii="Lato" w:hAnsi="Lato"/>
              <w:noProof/>
              <w:lang w:eastAsia="es-MX"/>
            </w:rPr>
            <mc:AlternateContent>
              <mc:Choice Requires="wps">
                <w:drawing>
                  <wp:anchor distT="0" distB="0" distL="114300" distR="114300" simplePos="0" relativeHeight="251662336" behindDoc="0" locked="0" layoutInCell="1" allowOverlap="1" wp14:anchorId="785B19A3" wp14:editId="59F3845D">
                    <wp:simplePos x="0" y="0"/>
                    <wp:positionH relativeFrom="column">
                      <wp:posOffset>-34290</wp:posOffset>
                    </wp:positionH>
                    <wp:positionV relativeFrom="paragraph">
                      <wp:posOffset>-33210</wp:posOffset>
                    </wp:positionV>
                    <wp:extent cx="5144770" cy="21463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514477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43B" w:rsidRPr="001E47CD" w:rsidRDefault="003F643B" w:rsidP="00000B68">
                                <w:pPr>
                                  <w:ind w:left="336"/>
                                  <w:rPr>
                                    <w:rFonts w:ascii="Arial" w:hAnsi="Arial" w:cs="Arial"/>
                                    <w:sz w:val="16"/>
                                    <w:szCs w:val="16"/>
                                  </w:rPr>
                                </w:pPr>
                                <w:r w:rsidRPr="001E47CD">
                                  <w:rPr>
                                    <w:rFonts w:ascii="Arial" w:hAnsi="Arial" w:cs="Arial"/>
                                    <w:sz w:val="16"/>
                                    <w:szCs w:val="16"/>
                                  </w:rPr>
                                  <w:t>Evolución de la Fiscalización en el Estado de México revisión de las Finanzas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6" type="#_x0000_t202" style="position:absolute;left:0;text-align:left;margin-left:-2.7pt;margin-top:-2.6pt;width:405.1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" filled="f" stroked="f" strokeweight=".5pt">
                    <v:textbox>
                      <w:txbxContent>
                        <w:p w:rsidR="003F643B" w:rsidRPr="001E47CD" w:rsidRDefault="003F643B" w:rsidP="00000B68">
                          <w:pPr>
                            <w:ind w:left="336"/>
                            <w:rPr>
                              <w:rFonts w:ascii="Arial" w:hAnsi="Arial" w:cs="Arial"/>
                              <w:sz w:val="16"/>
                              <w:szCs w:val="16"/>
                            </w:rPr>
                          </w:pPr>
                          <w:r w:rsidRPr="001E47CD">
                            <w:rPr>
                              <w:rFonts w:ascii="Arial" w:hAnsi="Arial" w:cs="Arial"/>
                              <w:sz w:val="16"/>
                              <w:szCs w:val="16"/>
                            </w:rPr>
                            <w:t>Evolución de la Fiscalización en el Estado de México revisión de las Finanzas Públicas,</w:t>
                          </w:r>
                        </w:p>
                      </w:txbxContent>
                    </v:textbox>
                  </v:shape>
                </w:pict>
              </mc:Fallback>
            </mc:AlternateContent>
          </w:r>
          <w:r>
            <w:rPr>
              <w:rFonts w:ascii="Lato" w:hAnsi="Lato"/>
              <w:noProof/>
              <w:lang w:eastAsia="es-MX"/>
            </w:rPr>
            <mc:AlternateContent>
              <mc:Choice Requires="wps">
                <w:drawing>
                  <wp:anchor distT="0" distB="0" distL="114300" distR="114300" simplePos="0" relativeHeight="251660288" behindDoc="0" locked="0" layoutInCell="1" allowOverlap="1" wp14:anchorId="6E29D141" wp14:editId="554D92EA">
                    <wp:simplePos x="0" y="0"/>
                    <wp:positionH relativeFrom="column">
                      <wp:posOffset>535940</wp:posOffset>
                    </wp:positionH>
                    <wp:positionV relativeFrom="paragraph">
                      <wp:posOffset>153670</wp:posOffset>
                    </wp:positionV>
                    <wp:extent cx="5346700" cy="175260"/>
                    <wp:effectExtent l="0" t="0" r="6350" b="0"/>
                    <wp:wrapNone/>
                    <wp:docPr id="31" name="31 Rectángulo"/>
                    <wp:cNvGraphicFramePr/>
                    <a:graphic xmlns:a="http://schemas.openxmlformats.org/drawingml/2006/main">
                      <a:graphicData uri="http://schemas.microsoft.com/office/word/2010/wordprocessingShape">
                        <wps:wsp>
                          <wps:cNvSpPr/>
                          <wps:spPr>
                            <a:xfrm>
                              <a:off x="0" y="0"/>
                              <a:ext cx="5346700" cy="175260"/>
                            </a:xfrm>
                            <a:prstGeom prst="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1 Rectángulo" o:spid="_x0000_s1026" style="position:absolute;margin-left:42.2pt;margin-top:12.1pt;width:421pt;height:1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" fillcolor="#e5dfec [663]" stroked="f" strokeweight="2pt">
                    <v:fill color2="#e5dfec [663]" rotate="t" angle="90" colors="0 #85828a;.5 #c1bbc7;1 #e6dfed" focus="100%" type="gradient"/>
                  </v:rect>
                </w:pict>
              </mc:Fallback>
            </mc:AlternateContent>
          </w:r>
          <w:r>
            <w:rPr>
              <w:rFonts w:ascii="Lato" w:hAnsi="Lato"/>
              <w:noProof/>
              <w:lang w:eastAsia="es-MX"/>
            </w:rPr>
            <mc:AlternateContent>
              <mc:Choice Requires="wps">
                <w:drawing>
                  <wp:anchor distT="0" distB="0" distL="114300" distR="114300" simplePos="0" relativeHeight="251659264" behindDoc="0" locked="0" layoutInCell="1" allowOverlap="1" wp14:anchorId="1C09EEDB" wp14:editId="441D04DA">
                    <wp:simplePos x="0" y="0"/>
                    <wp:positionH relativeFrom="column">
                      <wp:posOffset>220650</wp:posOffset>
                    </wp:positionH>
                    <wp:positionV relativeFrom="paragraph">
                      <wp:posOffset>-27305</wp:posOffset>
                    </wp:positionV>
                    <wp:extent cx="4890770" cy="206375"/>
                    <wp:effectExtent l="0" t="0" r="5080" b="3175"/>
                    <wp:wrapNone/>
                    <wp:docPr id="352" name="352 Rectángulo"/>
                    <wp:cNvGraphicFramePr/>
                    <a:graphic xmlns:a="http://schemas.openxmlformats.org/drawingml/2006/main">
                      <a:graphicData uri="http://schemas.microsoft.com/office/word/2010/wordprocessingShape">
                        <wps:wsp>
                          <wps:cNvSpPr/>
                          <wps:spPr>
                            <a:xfrm>
                              <a:off x="0" y="0"/>
                              <a:ext cx="4890770" cy="206375"/>
                            </a:xfrm>
                            <a:prstGeom prst="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2 Rectángulo" o:spid="_x0000_s1026" style="position:absolute;margin-left:17.35pt;margin-top:-2.15pt;width:385.1pt;height: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" fillcolor="#e5dfec [663]" stroked="f" strokeweight="2pt">
                    <v:fill color2="#e5dfec [663]" rotate="t" angle="90" colors="0 #85828a;.5 #c1bbc7;1 #e6dfed" focus="100%" type="gradient"/>
                  </v:rect>
                </w:pict>
              </mc:Fallback>
            </mc:AlternateContent>
          </w:r>
          <w:r>
            <w:rPr>
              <w:noProof/>
              <w:lang w:eastAsia="es-MX"/>
            </w:rPr>
            <mc:AlternateContent>
              <mc:Choice Requires="wps">
                <w:drawing>
                  <wp:anchor distT="0" distB="0" distL="114300" distR="114300" simplePos="0" relativeHeight="251661312" behindDoc="0" locked="0" layoutInCell="1" allowOverlap="1" wp14:anchorId="284FE900" wp14:editId="1CAA7B9F">
                    <wp:simplePos x="0" y="0"/>
                    <wp:positionH relativeFrom="column">
                      <wp:posOffset>-114300</wp:posOffset>
                    </wp:positionH>
                    <wp:positionV relativeFrom="paragraph">
                      <wp:posOffset>-26035</wp:posOffset>
                    </wp:positionV>
                    <wp:extent cx="335915" cy="342265"/>
                    <wp:effectExtent l="0" t="0" r="6985" b="635"/>
                    <wp:wrapNone/>
                    <wp:docPr id="7" name="7 Rectángulo"/>
                    <wp:cNvGraphicFramePr/>
                    <a:graphic xmlns:a="http://schemas.openxmlformats.org/drawingml/2006/main">
                      <a:graphicData uri="http://schemas.microsoft.com/office/word/2010/wordprocessingShape">
                        <wps:wsp>
                          <wps:cNvSpPr/>
                          <wps:spPr>
                            <a:xfrm>
                              <a:off x="0" y="0"/>
                              <a:ext cx="335915" cy="342265"/>
                            </a:xfrm>
                            <a:prstGeom prst="rect">
                              <a:avLst/>
                            </a:prstGeom>
                            <a:gradFill flip="none" rotWithShape="1">
                              <a:gsLst>
                                <a:gs pos="0">
                                  <a:srgbClr val="953D69">
                                    <a:shade val="30000"/>
                                    <a:satMod val="115000"/>
                                  </a:srgbClr>
                                </a:gs>
                                <a:gs pos="50000">
                                  <a:srgbClr val="953D69">
                                    <a:shade val="67500"/>
                                    <a:satMod val="115000"/>
                                  </a:srgbClr>
                                </a:gs>
                                <a:gs pos="100000">
                                  <a:srgbClr val="953D69">
                                    <a:shade val="100000"/>
                                    <a:satMod val="115000"/>
                                  </a:srgb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9pt;margin-top:-2.05pt;width:26.4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" fillcolor="#591b3a" stroked="f" strokeweight="2pt">
                    <v:fill color2="#9c3669" rotate="t" angle="135" colors="0 #591b3a;.5 #822c57;1 #9c3669" focus="100%" type="gradient"/>
                  </v:rect>
                </w:pict>
              </mc:Fallback>
            </mc:AlternateContent>
          </w:r>
        </w:p>
      </w:tc>
    </w:tr>
    <w:tr w:rsidR="003F643B" w:rsidTr="00BD52C0">
      <w:trPr>
        <w:trHeight w:val="397"/>
      </w:trPr>
      <w:tc>
        <w:tcPr>
          <w:tcW w:w="8353" w:type="dxa"/>
        </w:tcPr>
        <w:p w:rsidR="003F643B" w:rsidRPr="0013166C" w:rsidRDefault="003F643B" w:rsidP="00BD52C0">
          <w:pPr>
            <w:pStyle w:val="Encabezado"/>
            <w:ind w:left="392"/>
            <w:rPr>
              <w:rFonts w:ascii="Lato" w:hAnsi="Lato"/>
            </w:rPr>
          </w:pPr>
        </w:p>
      </w:tc>
    </w:tr>
  </w:tbl>
  <w:p w:rsidR="003F643B" w:rsidRPr="001E47CD" w:rsidRDefault="003F643B" w:rsidP="001E47CD">
    <w:pPr>
      <w:pStyle w:val="Encabezado"/>
      <w:spacing w:line="360" w:lineRule="auto"/>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40A4"/>
    <w:multiLevelType w:val="hybridMultilevel"/>
    <w:tmpl w:val="24900C0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11C12F3"/>
    <w:multiLevelType w:val="hybridMultilevel"/>
    <w:tmpl w:val="3D2E7D68"/>
    <w:lvl w:ilvl="0" w:tplc="B19C3CEC">
      <w:start w:val="1"/>
      <w:numFmt w:val="bullet"/>
      <w:lvlText w:val="-"/>
      <w:lvlJc w:val="left"/>
      <w:pPr>
        <w:ind w:left="959" w:hanging="360"/>
      </w:pPr>
      <w:rPr>
        <w:rFonts w:ascii="Courier New" w:hAnsi="Courier New" w:hint="default"/>
      </w:rPr>
    </w:lvl>
    <w:lvl w:ilvl="1" w:tplc="080A0003" w:tentative="1">
      <w:start w:val="1"/>
      <w:numFmt w:val="bullet"/>
      <w:lvlText w:val="o"/>
      <w:lvlJc w:val="left"/>
      <w:pPr>
        <w:ind w:left="1679" w:hanging="360"/>
      </w:pPr>
      <w:rPr>
        <w:rFonts w:ascii="Courier New" w:hAnsi="Courier New" w:cs="Courier New" w:hint="default"/>
      </w:rPr>
    </w:lvl>
    <w:lvl w:ilvl="2" w:tplc="080A0005" w:tentative="1">
      <w:start w:val="1"/>
      <w:numFmt w:val="bullet"/>
      <w:lvlText w:val=""/>
      <w:lvlJc w:val="left"/>
      <w:pPr>
        <w:ind w:left="2399" w:hanging="360"/>
      </w:pPr>
      <w:rPr>
        <w:rFonts w:ascii="Wingdings" w:hAnsi="Wingdings" w:hint="default"/>
      </w:rPr>
    </w:lvl>
    <w:lvl w:ilvl="3" w:tplc="080A0001" w:tentative="1">
      <w:start w:val="1"/>
      <w:numFmt w:val="bullet"/>
      <w:lvlText w:val=""/>
      <w:lvlJc w:val="left"/>
      <w:pPr>
        <w:ind w:left="3119" w:hanging="360"/>
      </w:pPr>
      <w:rPr>
        <w:rFonts w:ascii="Symbol" w:hAnsi="Symbol" w:hint="default"/>
      </w:rPr>
    </w:lvl>
    <w:lvl w:ilvl="4" w:tplc="080A0003" w:tentative="1">
      <w:start w:val="1"/>
      <w:numFmt w:val="bullet"/>
      <w:lvlText w:val="o"/>
      <w:lvlJc w:val="left"/>
      <w:pPr>
        <w:ind w:left="3839" w:hanging="360"/>
      </w:pPr>
      <w:rPr>
        <w:rFonts w:ascii="Courier New" w:hAnsi="Courier New" w:cs="Courier New" w:hint="default"/>
      </w:rPr>
    </w:lvl>
    <w:lvl w:ilvl="5" w:tplc="080A0005" w:tentative="1">
      <w:start w:val="1"/>
      <w:numFmt w:val="bullet"/>
      <w:lvlText w:val=""/>
      <w:lvlJc w:val="left"/>
      <w:pPr>
        <w:ind w:left="4559" w:hanging="360"/>
      </w:pPr>
      <w:rPr>
        <w:rFonts w:ascii="Wingdings" w:hAnsi="Wingdings" w:hint="default"/>
      </w:rPr>
    </w:lvl>
    <w:lvl w:ilvl="6" w:tplc="080A0001" w:tentative="1">
      <w:start w:val="1"/>
      <w:numFmt w:val="bullet"/>
      <w:lvlText w:val=""/>
      <w:lvlJc w:val="left"/>
      <w:pPr>
        <w:ind w:left="5279" w:hanging="360"/>
      </w:pPr>
      <w:rPr>
        <w:rFonts w:ascii="Symbol" w:hAnsi="Symbol" w:hint="default"/>
      </w:rPr>
    </w:lvl>
    <w:lvl w:ilvl="7" w:tplc="080A0003" w:tentative="1">
      <w:start w:val="1"/>
      <w:numFmt w:val="bullet"/>
      <w:lvlText w:val="o"/>
      <w:lvlJc w:val="left"/>
      <w:pPr>
        <w:ind w:left="5999" w:hanging="360"/>
      </w:pPr>
      <w:rPr>
        <w:rFonts w:ascii="Courier New" w:hAnsi="Courier New" w:cs="Courier New" w:hint="default"/>
      </w:rPr>
    </w:lvl>
    <w:lvl w:ilvl="8" w:tplc="080A0005" w:tentative="1">
      <w:start w:val="1"/>
      <w:numFmt w:val="bullet"/>
      <w:lvlText w:val=""/>
      <w:lvlJc w:val="left"/>
      <w:pPr>
        <w:ind w:left="6719" w:hanging="360"/>
      </w:pPr>
      <w:rPr>
        <w:rFonts w:ascii="Wingdings" w:hAnsi="Wingdings" w:hint="default"/>
      </w:rPr>
    </w:lvl>
  </w:abstractNum>
  <w:abstractNum w:abstractNumId="2">
    <w:nsid w:val="2A874169"/>
    <w:multiLevelType w:val="hybridMultilevel"/>
    <w:tmpl w:val="3A2CF6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9E0760"/>
    <w:multiLevelType w:val="hybridMultilevel"/>
    <w:tmpl w:val="440A93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7F04B1"/>
    <w:multiLevelType w:val="hybridMultilevel"/>
    <w:tmpl w:val="DDCEC20C"/>
    <w:lvl w:ilvl="0" w:tplc="0C0A0005">
      <w:start w:val="1"/>
      <w:numFmt w:val="bullet"/>
      <w:lvlText w:val=""/>
      <w:lvlJc w:val="left"/>
      <w:pPr>
        <w:tabs>
          <w:tab w:val="num" w:pos="900"/>
        </w:tabs>
        <w:ind w:left="900" w:hanging="360"/>
      </w:pPr>
      <w:rPr>
        <w:rFonts w:ascii="Wingdings" w:hAnsi="Wingdings" w:hint="default"/>
      </w:rPr>
    </w:lvl>
    <w:lvl w:ilvl="1" w:tplc="F73C82A2">
      <w:start w:val="1"/>
      <w:numFmt w:val="bullet"/>
      <w:lvlText w:val=""/>
      <w:lvlJc w:val="left"/>
      <w:pPr>
        <w:tabs>
          <w:tab w:val="num" w:pos="1440"/>
        </w:tabs>
        <w:ind w:left="1440" w:hanging="360"/>
      </w:pPr>
      <w:rPr>
        <w:rFonts w:ascii="Symbol" w:hAnsi="Symbol" w:hint="default"/>
        <w:color w:val="auto"/>
        <w:sz w:val="20"/>
        <w:szCs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4927149"/>
    <w:multiLevelType w:val="hybridMultilevel"/>
    <w:tmpl w:val="991C32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F30F93"/>
    <w:multiLevelType w:val="hybridMultilevel"/>
    <w:tmpl w:val="64DE07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7D7DB1"/>
    <w:multiLevelType w:val="hybridMultilevel"/>
    <w:tmpl w:val="532E6AD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8314964"/>
    <w:multiLevelType w:val="hybridMultilevel"/>
    <w:tmpl w:val="AA18D82A"/>
    <w:lvl w:ilvl="0" w:tplc="6BF40EE6">
      <w:start w:val="1"/>
      <w:numFmt w:val="bullet"/>
      <w:lvlText w:val="•"/>
      <w:lvlJc w:val="left"/>
      <w:pPr>
        <w:tabs>
          <w:tab w:val="num" w:pos="720"/>
        </w:tabs>
        <w:ind w:left="720" w:hanging="360"/>
      </w:pPr>
      <w:rPr>
        <w:rFonts w:ascii="Times New Roman" w:hAnsi="Times New Roman" w:hint="default"/>
      </w:rPr>
    </w:lvl>
    <w:lvl w:ilvl="1" w:tplc="F18C2BEE" w:tentative="1">
      <w:start w:val="1"/>
      <w:numFmt w:val="bullet"/>
      <w:lvlText w:val="•"/>
      <w:lvlJc w:val="left"/>
      <w:pPr>
        <w:tabs>
          <w:tab w:val="num" w:pos="1440"/>
        </w:tabs>
        <w:ind w:left="1440" w:hanging="360"/>
      </w:pPr>
      <w:rPr>
        <w:rFonts w:ascii="Times New Roman" w:hAnsi="Times New Roman" w:hint="default"/>
      </w:rPr>
    </w:lvl>
    <w:lvl w:ilvl="2" w:tplc="CD9EBC2C" w:tentative="1">
      <w:start w:val="1"/>
      <w:numFmt w:val="bullet"/>
      <w:lvlText w:val="•"/>
      <w:lvlJc w:val="left"/>
      <w:pPr>
        <w:tabs>
          <w:tab w:val="num" w:pos="2160"/>
        </w:tabs>
        <w:ind w:left="2160" w:hanging="360"/>
      </w:pPr>
      <w:rPr>
        <w:rFonts w:ascii="Times New Roman" w:hAnsi="Times New Roman" w:hint="default"/>
      </w:rPr>
    </w:lvl>
    <w:lvl w:ilvl="3" w:tplc="69FA171E" w:tentative="1">
      <w:start w:val="1"/>
      <w:numFmt w:val="bullet"/>
      <w:lvlText w:val="•"/>
      <w:lvlJc w:val="left"/>
      <w:pPr>
        <w:tabs>
          <w:tab w:val="num" w:pos="2880"/>
        </w:tabs>
        <w:ind w:left="2880" w:hanging="360"/>
      </w:pPr>
      <w:rPr>
        <w:rFonts w:ascii="Times New Roman" w:hAnsi="Times New Roman" w:hint="default"/>
      </w:rPr>
    </w:lvl>
    <w:lvl w:ilvl="4" w:tplc="4BB24876" w:tentative="1">
      <w:start w:val="1"/>
      <w:numFmt w:val="bullet"/>
      <w:lvlText w:val="•"/>
      <w:lvlJc w:val="left"/>
      <w:pPr>
        <w:tabs>
          <w:tab w:val="num" w:pos="3600"/>
        </w:tabs>
        <w:ind w:left="3600" w:hanging="360"/>
      </w:pPr>
      <w:rPr>
        <w:rFonts w:ascii="Times New Roman" w:hAnsi="Times New Roman" w:hint="default"/>
      </w:rPr>
    </w:lvl>
    <w:lvl w:ilvl="5" w:tplc="52F05BB6" w:tentative="1">
      <w:start w:val="1"/>
      <w:numFmt w:val="bullet"/>
      <w:lvlText w:val="•"/>
      <w:lvlJc w:val="left"/>
      <w:pPr>
        <w:tabs>
          <w:tab w:val="num" w:pos="4320"/>
        </w:tabs>
        <w:ind w:left="4320" w:hanging="360"/>
      </w:pPr>
      <w:rPr>
        <w:rFonts w:ascii="Times New Roman" w:hAnsi="Times New Roman" w:hint="default"/>
      </w:rPr>
    </w:lvl>
    <w:lvl w:ilvl="6" w:tplc="B874E556" w:tentative="1">
      <w:start w:val="1"/>
      <w:numFmt w:val="bullet"/>
      <w:lvlText w:val="•"/>
      <w:lvlJc w:val="left"/>
      <w:pPr>
        <w:tabs>
          <w:tab w:val="num" w:pos="5040"/>
        </w:tabs>
        <w:ind w:left="5040" w:hanging="360"/>
      </w:pPr>
      <w:rPr>
        <w:rFonts w:ascii="Times New Roman" w:hAnsi="Times New Roman" w:hint="default"/>
      </w:rPr>
    </w:lvl>
    <w:lvl w:ilvl="7" w:tplc="BACA7FD4" w:tentative="1">
      <w:start w:val="1"/>
      <w:numFmt w:val="bullet"/>
      <w:lvlText w:val="•"/>
      <w:lvlJc w:val="left"/>
      <w:pPr>
        <w:tabs>
          <w:tab w:val="num" w:pos="5760"/>
        </w:tabs>
        <w:ind w:left="5760" w:hanging="360"/>
      </w:pPr>
      <w:rPr>
        <w:rFonts w:ascii="Times New Roman" w:hAnsi="Times New Roman" w:hint="default"/>
      </w:rPr>
    </w:lvl>
    <w:lvl w:ilvl="8" w:tplc="4790F64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31F0238"/>
    <w:multiLevelType w:val="hybridMultilevel"/>
    <w:tmpl w:val="ADBECBB2"/>
    <w:lvl w:ilvl="0" w:tplc="1D0E153C">
      <w:start w:val="1"/>
      <w:numFmt w:val="bullet"/>
      <w:lvlText w:val="•"/>
      <w:lvlJc w:val="left"/>
      <w:pPr>
        <w:tabs>
          <w:tab w:val="num" w:pos="720"/>
        </w:tabs>
        <w:ind w:left="720" w:hanging="360"/>
      </w:pPr>
      <w:rPr>
        <w:rFonts w:ascii="Times New Roman" w:hAnsi="Times New Roman" w:hint="default"/>
      </w:rPr>
    </w:lvl>
    <w:lvl w:ilvl="1" w:tplc="FFA880C2" w:tentative="1">
      <w:start w:val="1"/>
      <w:numFmt w:val="bullet"/>
      <w:lvlText w:val="•"/>
      <w:lvlJc w:val="left"/>
      <w:pPr>
        <w:tabs>
          <w:tab w:val="num" w:pos="1440"/>
        </w:tabs>
        <w:ind w:left="1440" w:hanging="360"/>
      </w:pPr>
      <w:rPr>
        <w:rFonts w:ascii="Times New Roman" w:hAnsi="Times New Roman" w:hint="default"/>
      </w:rPr>
    </w:lvl>
    <w:lvl w:ilvl="2" w:tplc="3A449BEE" w:tentative="1">
      <w:start w:val="1"/>
      <w:numFmt w:val="bullet"/>
      <w:lvlText w:val="•"/>
      <w:lvlJc w:val="left"/>
      <w:pPr>
        <w:tabs>
          <w:tab w:val="num" w:pos="2160"/>
        </w:tabs>
        <w:ind w:left="2160" w:hanging="360"/>
      </w:pPr>
      <w:rPr>
        <w:rFonts w:ascii="Times New Roman" w:hAnsi="Times New Roman" w:hint="default"/>
      </w:rPr>
    </w:lvl>
    <w:lvl w:ilvl="3" w:tplc="73BEDFEC" w:tentative="1">
      <w:start w:val="1"/>
      <w:numFmt w:val="bullet"/>
      <w:lvlText w:val="•"/>
      <w:lvlJc w:val="left"/>
      <w:pPr>
        <w:tabs>
          <w:tab w:val="num" w:pos="2880"/>
        </w:tabs>
        <w:ind w:left="2880" w:hanging="360"/>
      </w:pPr>
      <w:rPr>
        <w:rFonts w:ascii="Times New Roman" w:hAnsi="Times New Roman" w:hint="default"/>
      </w:rPr>
    </w:lvl>
    <w:lvl w:ilvl="4" w:tplc="E160D334" w:tentative="1">
      <w:start w:val="1"/>
      <w:numFmt w:val="bullet"/>
      <w:lvlText w:val="•"/>
      <w:lvlJc w:val="left"/>
      <w:pPr>
        <w:tabs>
          <w:tab w:val="num" w:pos="3600"/>
        </w:tabs>
        <w:ind w:left="3600" w:hanging="360"/>
      </w:pPr>
      <w:rPr>
        <w:rFonts w:ascii="Times New Roman" w:hAnsi="Times New Roman" w:hint="default"/>
      </w:rPr>
    </w:lvl>
    <w:lvl w:ilvl="5" w:tplc="0DA0F0BC" w:tentative="1">
      <w:start w:val="1"/>
      <w:numFmt w:val="bullet"/>
      <w:lvlText w:val="•"/>
      <w:lvlJc w:val="left"/>
      <w:pPr>
        <w:tabs>
          <w:tab w:val="num" w:pos="4320"/>
        </w:tabs>
        <w:ind w:left="4320" w:hanging="360"/>
      </w:pPr>
      <w:rPr>
        <w:rFonts w:ascii="Times New Roman" w:hAnsi="Times New Roman" w:hint="default"/>
      </w:rPr>
    </w:lvl>
    <w:lvl w:ilvl="6" w:tplc="F00CB4D8" w:tentative="1">
      <w:start w:val="1"/>
      <w:numFmt w:val="bullet"/>
      <w:lvlText w:val="•"/>
      <w:lvlJc w:val="left"/>
      <w:pPr>
        <w:tabs>
          <w:tab w:val="num" w:pos="5040"/>
        </w:tabs>
        <w:ind w:left="5040" w:hanging="360"/>
      </w:pPr>
      <w:rPr>
        <w:rFonts w:ascii="Times New Roman" w:hAnsi="Times New Roman" w:hint="default"/>
      </w:rPr>
    </w:lvl>
    <w:lvl w:ilvl="7" w:tplc="52A6295C" w:tentative="1">
      <w:start w:val="1"/>
      <w:numFmt w:val="bullet"/>
      <w:lvlText w:val="•"/>
      <w:lvlJc w:val="left"/>
      <w:pPr>
        <w:tabs>
          <w:tab w:val="num" w:pos="5760"/>
        </w:tabs>
        <w:ind w:left="5760" w:hanging="360"/>
      </w:pPr>
      <w:rPr>
        <w:rFonts w:ascii="Times New Roman" w:hAnsi="Times New Roman" w:hint="default"/>
      </w:rPr>
    </w:lvl>
    <w:lvl w:ilvl="8" w:tplc="F75E77F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AEF519C"/>
    <w:multiLevelType w:val="hybridMultilevel"/>
    <w:tmpl w:val="1C64B26C"/>
    <w:lvl w:ilvl="0" w:tplc="9CE6B91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DD75DD7"/>
    <w:multiLevelType w:val="hybridMultilevel"/>
    <w:tmpl w:val="CE36998E"/>
    <w:lvl w:ilvl="0" w:tplc="080A0001">
      <w:start w:val="1"/>
      <w:numFmt w:val="bullet"/>
      <w:lvlText w:val=""/>
      <w:lvlJc w:val="left"/>
      <w:pPr>
        <w:ind w:left="2143" w:hanging="360"/>
      </w:pPr>
      <w:rPr>
        <w:rFonts w:ascii="Symbol" w:hAnsi="Symbol" w:hint="default"/>
      </w:rPr>
    </w:lvl>
    <w:lvl w:ilvl="1" w:tplc="080A0003" w:tentative="1">
      <w:start w:val="1"/>
      <w:numFmt w:val="bullet"/>
      <w:lvlText w:val="o"/>
      <w:lvlJc w:val="left"/>
      <w:pPr>
        <w:ind w:left="2863" w:hanging="360"/>
      </w:pPr>
      <w:rPr>
        <w:rFonts w:ascii="Courier New" w:hAnsi="Courier New" w:cs="Courier New" w:hint="default"/>
      </w:rPr>
    </w:lvl>
    <w:lvl w:ilvl="2" w:tplc="080A0005" w:tentative="1">
      <w:start w:val="1"/>
      <w:numFmt w:val="bullet"/>
      <w:lvlText w:val=""/>
      <w:lvlJc w:val="left"/>
      <w:pPr>
        <w:ind w:left="3583" w:hanging="360"/>
      </w:pPr>
      <w:rPr>
        <w:rFonts w:ascii="Wingdings" w:hAnsi="Wingdings" w:hint="default"/>
      </w:rPr>
    </w:lvl>
    <w:lvl w:ilvl="3" w:tplc="080A0001" w:tentative="1">
      <w:start w:val="1"/>
      <w:numFmt w:val="bullet"/>
      <w:lvlText w:val=""/>
      <w:lvlJc w:val="left"/>
      <w:pPr>
        <w:ind w:left="4303" w:hanging="360"/>
      </w:pPr>
      <w:rPr>
        <w:rFonts w:ascii="Symbol" w:hAnsi="Symbol" w:hint="default"/>
      </w:rPr>
    </w:lvl>
    <w:lvl w:ilvl="4" w:tplc="080A0003" w:tentative="1">
      <w:start w:val="1"/>
      <w:numFmt w:val="bullet"/>
      <w:lvlText w:val="o"/>
      <w:lvlJc w:val="left"/>
      <w:pPr>
        <w:ind w:left="5023" w:hanging="360"/>
      </w:pPr>
      <w:rPr>
        <w:rFonts w:ascii="Courier New" w:hAnsi="Courier New" w:cs="Courier New" w:hint="default"/>
      </w:rPr>
    </w:lvl>
    <w:lvl w:ilvl="5" w:tplc="080A0005" w:tentative="1">
      <w:start w:val="1"/>
      <w:numFmt w:val="bullet"/>
      <w:lvlText w:val=""/>
      <w:lvlJc w:val="left"/>
      <w:pPr>
        <w:ind w:left="5743" w:hanging="360"/>
      </w:pPr>
      <w:rPr>
        <w:rFonts w:ascii="Wingdings" w:hAnsi="Wingdings" w:hint="default"/>
      </w:rPr>
    </w:lvl>
    <w:lvl w:ilvl="6" w:tplc="080A0001" w:tentative="1">
      <w:start w:val="1"/>
      <w:numFmt w:val="bullet"/>
      <w:lvlText w:val=""/>
      <w:lvlJc w:val="left"/>
      <w:pPr>
        <w:ind w:left="6463" w:hanging="360"/>
      </w:pPr>
      <w:rPr>
        <w:rFonts w:ascii="Symbol" w:hAnsi="Symbol" w:hint="default"/>
      </w:rPr>
    </w:lvl>
    <w:lvl w:ilvl="7" w:tplc="080A0003" w:tentative="1">
      <w:start w:val="1"/>
      <w:numFmt w:val="bullet"/>
      <w:lvlText w:val="o"/>
      <w:lvlJc w:val="left"/>
      <w:pPr>
        <w:ind w:left="7183" w:hanging="360"/>
      </w:pPr>
      <w:rPr>
        <w:rFonts w:ascii="Courier New" w:hAnsi="Courier New" w:cs="Courier New" w:hint="default"/>
      </w:rPr>
    </w:lvl>
    <w:lvl w:ilvl="8" w:tplc="080A0005" w:tentative="1">
      <w:start w:val="1"/>
      <w:numFmt w:val="bullet"/>
      <w:lvlText w:val=""/>
      <w:lvlJc w:val="left"/>
      <w:pPr>
        <w:ind w:left="7903" w:hanging="360"/>
      </w:pPr>
      <w:rPr>
        <w:rFonts w:ascii="Wingdings" w:hAnsi="Wingdings" w:hint="default"/>
      </w:rPr>
    </w:lvl>
  </w:abstractNum>
  <w:abstractNum w:abstractNumId="12">
    <w:nsid w:val="631036F8"/>
    <w:multiLevelType w:val="hybridMultilevel"/>
    <w:tmpl w:val="75549B6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A3A03AD"/>
    <w:multiLevelType w:val="hybridMultilevel"/>
    <w:tmpl w:val="4F76E06E"/>
    <w:lvl w:ilvl="0" w:tplc="98E04094">
      <w:start w:val="1"/>
      <w:numFmt w:val="bullet"/>
      <w:lvlText w:val="•"/>
      <w:lvlJc w:val="left"/>
      <w:pPr>
        <w:tabs>
          <w:tab w:val="num" w:pos="720"/>
        </w:tabs>
        <w:ind w:left="720" w:hanging="360"/>
      </w:pPr>
      <w:rPr>
        <w:rFonts w:ascii="Times New Roman" w:hAnsi="Times New Roman" w:hint="default"/>
      </w:rPr>
    </w:lvl>
    <w:lvl w:ilvl="1" w:tplc="C082F78A" w:tentative="1">
      <w:start w:val="1"/>
      <w:numFmt w:val="bullet"/>
      <w:lvlText w:val="•"/>
      <w:lvlJc w:val="left"/>
      <w:pPr>
        <w:tabs>
          <w:tab w:val="num" w:pos="1440"/>
        </w:tabs>
        <w:ind w:left="1440" w:hanging="360"/>
      </w:pPr>
      <w:rPr>
        <w:rFonts w:ascii="Times New Roman" w:hAnsi="Times New Roman" w:hint="default"/>
      </w:rPr>
    </w:lvl>
    <w:lvl w:ilvl="2" w:tplc="FCCE317E" w:tentative="1">
      <w:start w:val="1"/>
      <w:numFmt w:val="bullet"/>
      <w:lvlText w:val="•"/>
      <w:lvlJc w:val="left"/>
      <w:pPr>
        <w:tabs>
          <w:tab w:val="num" w:pos="2160"/>
        </w:tabs>
        <w:ind w:left="2160" w:hanging="360"/>
      </w:pPr>
      <w:rPr>
        <w:rFonts w:ascii="Times New Roman" w:hAnsi="Times New Roman" w:hint="default"/>
      </w:rPr>
    </w:lvl>
    <w:lvl w:ilvl="3" w:tplc="30D4A97E" w:tentative="1">
      <w:start w:val="1"/>
      <w:numFmt w:val="bullet"/>
      <w:lvlText w:val="•"/>
      <w:lvlJc w:val="left"/>
      <w:pPr>
        <w:tabs>
          <w:tab w:val="num" w:pos="2880"/>
        </w:tabs>
        <w:ind w:left="2880" w:hanging="360"/>
      </w:pPr>
      <w:rPr>
        <w:rFonts w:ascii="Times New Roman" w:hAnsi="Times New Roman" w:hint="default"/>
      </w:rPr>
    </w:lvl>
    <w:lvl w:ilvl="4" w:tplc="F6525D2E" w:tentative="1">
      <w:start w:val="1"/>
      <w:numFmt w:val="bullet"/>
      <w:lvlText w:val="•"/>
      <w:lvlJc w:val="left"/>
      <w:pPr>
        <w:tabs>
          <w:tab w:val="num" w:pos="3600"/>
        </w:tabs>
        <w:ind w:left="3600" w:hanging="360"/>
      </w:pPr>
      <w:rPr>
        <w:rFonts w:ascii="Times New Roman" w:hAnsi="Times New Roman" w:hint="default"/>
      </w:rPr>
    </w:lvl>
    <w:lvl w:ilvl="5" w:tplc="02ACC23C" w:tentative="1">
      <w:start w:val="1"/>
      <w:numFmt w:val="bullet"/>
      <w:lvlText w:val="•"/>
      <w:lvlJc w:val="left"/>
      <w:pPr>
        <w:tabs>
          <w:tab w:val="num" w:pos="4320"/>
        </w:tabs>
        <w:ind w:left="4320" w:hanging="360"/>
      </w:pPr>
      <w:rPr>
        <w:rFonts w:ascii="Times New Roman" w:hAnsi="Times New Roman" w:hint="default"/>
      </w:rPr>
    </w:lvl>
    <w:lvl w:ilvl="6" w:tplc="2DF464A4" w:tentative="1">
      <w:start w:val="1"/>
      <w:numFmt w:val="bullet"/>
      <w:lvlText w:val="•"/>
      <w:lvlJc w:val="left"/>
      <w:pPr>
        <w:tabs>
          <w:tab w:val="num" w:pos="5040"/>
        </w:tabs>
        <w:ind w:left="5040" w:hanging="360"/>
      </w:pPr>
      <w:rPr>
        <w:rFonts w:ascii="Times New Roman" w:hAnsi="Times New Roman" w:hint="default"/>
      </w:rPr>
    </w:lvl>
    <w:lvl w:ilvl="7" w:tplc="6FA68D2A" w:tentative="1">
      <w:start w:val="1"/>
      <w:numFmt w:val="bullet"/>
      <w:lvlText w:val="•"/>
      <w:lvlJc w:val="left"/>
      <w:pPr>
        <w:tabs>
          <w:tab w:val="num" w:pos="5760"/>
        </w:tabs>
        <w:ind w:left="5760" w:hanging="360"/>
      </w:pPr>
      <w:rPr>
        <w:rFonts w:ascii="Times New Roman" w:hAnsi="Times New Roman" w:hint="default"/>
      </w:rPr>
    </w:lvl>
    <w:lvl w:ilvl="8" w:tplc="308AA69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CEF683B"/>
    <w:multiLevelType w:val="hybridMultilevel"/>
    <w:tmpl w:val="FD4AC79C"/>
    <w:lvl w:ilvl="0" w:tplc="5B3EB6A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4F11F79"/>
    <w:multiLevelType w:val="hybridMultilevel"/>
    <w:tmpl w:val="24206B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4"/>
  </w:num>
  <w:num w:numId="5">
    <w:abstractNumId w:val="12"/>
  </w:num>
  <w:num w:numId="6">
    <w:abstractNumId w:val="15"/>
  </w:num>
  <w:num w:numId="7">
    <w:abstractNumId w:val="11"/>
  </w:num>
  <w:num w:numId="8">
    <w:abstractNumId w:val="4"/>
  </w:num>
  <w:num w:numId="9">
    <w:abstractNumId w:val="1"/>
  </w:num>
  <w:num w:numId="10">
    <w:abstractNumId w:val="10"/>
  </w:num>
  <w:num w:numId="11">
    <w:abstractNumId w:val="13"/>
  </w:num>
  <w:num w:numId="12">
    <w:abstractNumId w:val="7"/>
  </w:num>
  <w:num w:numId="13">
    <w:abstractNumId w:val="8"/>
  </w:num>
  <w:num w:numId="14">
    <w:abstractNumId w:val="9"/>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DE3"/>
    <w:rsid w:val="00000B68"/>
    <w:rsid w:val="000068BE"/>
    <w:rsid w:val="000219CF"/>
    <w:rsid w:val="000233F2"/>
    <w:rsid w:val="00044D6F"/>
    <w:rsid w:val="00051DE3"/>
    <w:rsid w:val="00061393"/>
    <w:rsid w:val="0006298A"/>
    <w:rsid w:val="00084268"/>
    <w:rsid w:val="00091506"/>
    <w:rsid w:val="00095D2F"/>
    <w:rsid w:val="000964D2"/>
    <w:rsid w:val="00097CCD"/>
    <w:rsid w:val="000A4BA3"/>
    <w:rsid w:val="000B46EA"/>
    <w:rsid w:val="000C43F9"/>
    <w:rsid w:val="000D05E2"/>
    <w:rsid w:val="000D3412"/>
    <w:rsid w:val="000E038D"/>
    <w:rsid w:val="000E1BD6"/>
    <w:rsid w:val="000E22E5"/>
    <w:rsid w:val="000F49D3"/>
    <w:rsid w:val="00110392"/>
    <w:rsid w:val="00117609"/>
    <w:rsid w:val="00131AFE"/>
    <w:rsid w:val="00152A6B"/>
    <w:rsid w:val="00154F97"/>
    <w:rsid w:val="00161E06"/>
    <w:rsid w:val="00162F1F"/>
    <w:rsid w:val="00164B89"/>
    <w:rsid w:val="00171A75"/>
    <w:rsid w:val="00173F5F"/>
    <w:rsid w:val="00175C8D"/>
    <w:rsid w:val="00191B0A"/>
    <w:rsid w:val="001A7954"/>
    <w:rsid w:val="001B3E2B"/>
    <w:rsid w:val="001C7327"/>
    <w:rsid w:val="001D12BA"/>
    <w:rsid w:val="001D1908"/>
    <w:rsid w:val="001E47CD"/>
    <w:rsid w:val="001F0DC1"/>
    <w:rsid w:val="00201581"/>
    <w:rsid w:val="00237FE8"/>
    <w:rsid w:val="00240EEE"/>
    <w:rsid w:val="0024464F"/>
    <w:rsid w:val="002503C9"/>
    <w:rsid w:val="00255628"/>
    <w:rsid w:val="002624C9"/>
    <w:rsid w:val="0026403A"/>
    <w:rsid w:val="00277D46"/>
    <w:rsid w:val="0028571A"/>
    <w:rsid w:val="0029134D"/>
    <w:rsid w:val="00292763"/>
    <w:rsid w:val="002953FB"/>
    <w:rsid w:val="002A2DA7"/>
    <w:rsid w:val="002A7CD2"/>
    <w:rsid w:val="002B1F43"/>
    <w:rsid w:val="002C7A56"/>
    <w:rsid w:val="002D443F"/>
    <w:rsid w:val="002E3900"/>
    <w:rsid w:val="002F158C"/>
    <w:rsid w:val="002F38C9"/>
    <w:rsid w:val="003042C5"/>
    <w:rsid w:val="00304ADB"/>
    <w:rsid w:val="003201B3"/>
    <w:rsid w:val="00322F64"/>
    <w:rsid w:val="00332C00"/>
    <w:rsid w:val="003453E5"/>
    <w:rsid w:val="00353591"/>
    <w:rsid w:val="003612CC"/>
    <w:rsid w:val="00367B2D"/>
    <w:rsid w:val="00370031"/>
    <w:rsid w:val="00371B5E"/>
    <w:rsid w:val="00373345"/>
    <w:rsid w:val="0038286E"/>
    <w:rsid w:val="003937E0"/>
    <w:rsid w:val="003A3FFF"/>
    <w:rsid w:val="003A55D6"/>
    <w:rsid w:val="003A6F75"/>
    <w:rsid w:val="003B0576"/>
    <w:rsid w:val="003B36B5"/>
    <w:rsid w:val="003C3965"/>
    <w:rsid w:val="003C4EAB"/>
    <w:rsid w:val="003D2ECD"/>
    <w:rsid w:val="003D2ED5"/>
    <w:rsid w:val="003E4F44"/>
    <w:rsid w:val="003F0088"/>
    <w:rsid w:val="003F554B"/>
    <w:rsid w:val="003F643B"/>
    <w:rsid w:val="0040654A"/>
    <w:rsid w:val="004070AD"/>
    <w:rsid w:val="004155EA"/>
    <w:rsid w:val="004272A1"/>
    <w:rsid w:val="00436DCF"/>
    <w:rsid w:val="004406DF"/>
    <w:rsid w:val="00446AC9"/>
    <w:rsid w:val="00446C01"/>
    <w:rsid w:val="00461079"/>
    <w:rsid w:val="00462FA4"/>
    <w:rsid w:val="004669C4"/>
    <w:rsid w:val="00466AAC"/>
    <w:rsid w:val="00472BF4"/>
    <w:rsid w:val="00473EE4"/>
    <w:rsid w:val="00474369"/>
    <w:rsid w:val="004743F3"/>
    <w:rsid w:val="00483EE3"/>
    <w:rsid w:val="00493DC2"/>
    <w:rsid w:val="004979D1"/>
    <w:rsid w:val="004A1241"/>
    <w:rsid w:val="004B03D7"/>
    <w:rsid w:val="004B625B"/>
    <w:rsid w:val="004C0406"/>
    <w:rsid w:val="004C1675"/>
    <w:rsid w:val="004C377A"/>
    <w:rsid w:val="004C5E58"/>
    <w:rsid w:val="004C7B14"/>
    <w:rsid w:val="004D25BA"/>
    <w:rsid w:val="004D3A4A"/>
    <w:rsid w:val="004D692F"/>
    <w:rsid w:val="004E5BC4"/>
    <w:rsid w:val="004E6B7C"/>
    <w:rsid w:val="004E7F82"/>
    <w:rsid w:val="004F1A3F"/>
    <w:rsid w:val="004F1E98"/>
    <w:rsid w:val="00502E2F"/>
    <w:rsid w:val="0050647C"/>
    <w:rsid w:val="00522544"/>
    <w:rsid w:val="005238AE"/>
    <w:rsid w:val="00524B6B"/>
    <w:rsid w:val="00526E17"/>
    <w:rsid w:val="00530E29"/>
    <w:rsid w:val="00532B68"/>
    <w:rsid w:val="0053390C"/>
    <w:rsid w:val="00533F16"/>
    <w:rsid w:val="0055066E"/>
    <w:rsid w:val="00567276"/>
    <w:rsid w:val="005774FB"/>
    <w:rsid w:val="00583542"/>
    <w:rsid w:val="005866DE"/>
    <w:rsid w:val="00595111"/>
    <w:rsid w:val="005A60F5"/>
    <w:rsid w:val="005B1C32"/>
    <w:rsid w:val="005B77EF"/>
    <w:rsid w:val="005C52B9"/>
    <w:rsid w:val="005D0D0B"/>
    <w:rsid w:val="005D2FB3"/>
    <w:rsid w:val="005D3D02"/>
    <w:rsid w:val="005D5B33"/>
    <w:rsid w:val="005F1E2C"/>
    <w:rsid w:val="005F26C2"/>
    <w:rsid w:val="00602FCC"/>
    <w:rsid w:val="00605509"/>
    <w:rsid w:val="00606550"/>
    <w:rsid w:val="00610E7A"/>
    <w:rsid w:val="00615FF2"/>
    <w:rsid w:val="0062015F"/>
    <w:rsid w:val="0062212F"/>
    <w:rsid w:val="006278F5"/>
    <w:rsid w:val="00633A4F"/>
    <w:rsid w:val="00633E0D"/>
    <w:rsid w:val="006344F3"/>
    <w:rsid w:val="006416CF"/>
    <w:rsid w:val="006443EE"/>
    <w:rsid w:val="006535DC"/>
    <w:rsid w:val="00663BC0"/>
    <w:rsid w:val="006674F7"/>
    <w:rsid w:val="00671EC0"/>
    <w:rsid w:val="00675F63"/>
    <w:rsid w:val="00677BCD"/>
    <w:rsid w:val="006821D6"/>
    <w:rsid w:val="00682D16"/>
    <w:rsid w:val="006A12BE"/>
    <w:rsid w:val="006B1468"/>
    <w:rsid w:val="006B32DC"/>
    <w:rsid w:val="006B742A"/>
    <w:rsid w:val="006C0578"/>
    <w:rsid w:val="006C3DA8"/>
    <w:rsid w:val="006C585D"/>
    <w:rsid w:val="006C6D28"/>
    <w:rsid w:val="006D064C"/>
    <w:rsid w:val="006D2FEF"/>
    <w:rsid w:val="006E213E"/>
    <w:rsid w:val="006E458B"/>
    <w:rsid w:val="006E7F92"/>
    <w:rsid w:val="006F43DF"/>
    <w:rsid w:val="006F69D8"/>
    <w:rsid w:val="00700193"/>
    <w:rsid w:val="00707340"/>
    <w:rsid w:val="00715958"/>
    <w:rsid w:val="007346C6"/>
    <w:rsid w:val="00737C17"/>
    <w:rsid w:val="00740B4F"/>
    <w:rsid w:val="007423B0"/>
    <w:rsid w:val="007530B8"/>
    <w:rsid w:val="007549B2"/>
    <w:rsid w:val="00756E99"/>
    <w:rsid w:val="00757FAD"/>
    <w:rsid w:val="00763333"/>
    <w:rsid w:val="00765821"/>
    <w:rsid w:val="00766A4F"/>
    <w:rsid w:val="00773B73"/>
    <w:rsid w:val="007824D2"/>
    <w:rsid w:val="00782897"/>
    <w:rsid w:val="007828CE"/>
    <w:rsid w:val="00782CFD"/>
    <w:rsid w:val="00795A34"/>
    <w:rsid w:val="007A1B07"/>
    <w:rsid w:val="007A4C51"/>
    <w:rsid w:val="007C7008"/>
    <w:rsid w:val="007D39E1"/>
    <w:rsid w:val="007D4FF5"/>
    <w:rsid w:val="007D5832"/>
    <w:rsid w:val="007E6532"/>
    <w:rsid w:val="00807F07"/>
    <w:rsid w:val="00810A01"/>
    <w:rsid w:val="00811B88"/>
    <w:rsid w:val="00813F80"/>
    <w:rsid w:val="0082258D"/>
    <w:rsid w:val="00824D32"/>
    <w:rsid w:val="008510D5"/>
    <w:rsid w:val="00853FEF"/>
    <w:rsid w:val="00866B23"/>
    <w:rsid w:val="00870812"/>
    <w:rsid w:val="008727DD"/>
    <w:rsid w:val="0087371F"/>
    <w:rsid w:val="008751E9"/>
    <w:rsid w:val="00875FB4"/>
    <w:rsid w:val="00881246"/>
    <w:rsid w:val="00884580"/>
    <w:rsid w:val="00884880"/>
    <w:rsid w:val="0089054B"/>
    <w:rsid w:val="008924F4"/>
    <w:rsid w:val="008934F3"/>
    <w:rsid w:val="008937B8"/>
    <w:rsid w:val="00897677"/>
    <w:rsid w:val="008A0B6F"/>
    <w:rsid w:val="008A1955"/>
    <w:rsid w:val="008B5FC0"/>
    <w:rsid w:val="008B6661"/>
    <w:rsid w:val="008C5A2A"/>
    <w:rsid w:val="008C6C80"/>
    <w:rsid w:val="008D11C3"/>
    <w:rsid w:val="008D5A6C"/>
    <w:rsid w:val="008D7AA3"/>
    <w:rsid w:val="008E4D33"/>
    <w:rsid w:val="008F52A4"/>
    <w:rsid w:val="00904646"/>
    <w:rsid w:val="00907ACA"/>
    <w:rsid w:val="00913350"/>
    <w:rsid w:val="00956BCF"/>
    <w:rsid w:val="00974F87"/>
    <w:rsid w:val="009803E6"/>
    <w:rsid w:val="00981540"/>
    <w:rsid w:val="00985171"/>
    <w:rsid w:val="00986383"/>
    <w:rsid w:val="0099134E"/>
    <w:rsid w:val="00993A73"/>
    <w:rsid w:val="00993B8A"/>
    <w:rsid w:val="00995D03"/>
    <w:rsid w:val="009A33CF"/>
    <w:rsid w:val="009B39AC"/>
    <w:rsid w:val="009B7FF9"/>
    <w:rsid w:val="009C2189"/>
    <w:rsid w:val="009C3510"/>
    <w:rsid w:val="009C6723"/>
    <w:rsid w:val="009C68DE"/>
    <w:rsid w:val="009C7EEA"/>
    <w:rsid w:val="009D1D47"/>
    <w:rsid w:val="009D548B"/>
    <w:rsid w:val="009D6565"/>
    <w:rsid w:val="009D6F7E"/>
    <w:rsid w:val="009D7D0D"/>
    <w:rsid w:val="009E178D"/>
    <w:rsid w:val="009E252A"/>
    <w:rsid w:val="009E3D9A"/>
    <w:rsid w:val="009E5248"/>
    <w:rsid w:val="009E5286"/>
    <w:rsid w:val="009E715A"/>
    <w:rsid w:val="00A02806"/>
    <w:rsid w:val="00A06A78"/>
    <w:rsid w:val="00A142C4"/>
    <w:rsid w:val="00A30E03"/>
    <w:rsid w:val="00A46D76"/>
    <w:rsid w:val="00A503B0"/>
    <w:rsid w:val="00A6562E"/>
    <w:rsid w:val="00A73A86"/>
    <w:rsid w:val="00A75573"/>
    <w:rsid w:val="00A77F67"/>
    <w:rsid w:val="00A80A4C"/>
    <w:rsid w:val="00A87CC3"/>
    <w:rsid w:val="00A9519C"/>
    <w:rsid w:val="00AA077E"/>
    <w:rsid w:val="00AB31DF"/>
    <w:rsid w:val="00AC03A8"/>
    <w:rsid w:val="00AC0D66"/>
    <w:rsid w:val="00AC4372"/>
    <w:rsid w:val="00AD355A"/>
    <w:rsid w:val="00AD7FBA"/>
    <w:rsid w:val="00AF30D2"/>
    <w:rsid w:val="00AF564F"/>
    <w:rsid w:val="00AF6A66"/>
    <w:rsid w:val="00B00E60"/>
    <w:rsid w:val="00B0407D"/>
    <w:rsid w:val="00B049AF"/>
    <w:rsid w:val="00B16C0B"/>
    <w:rsid w:val="00B17422"/>
    <w:rsid w:val="00B25882"/>
    <w:rsid w:val="00B27200"/>
    <w:rsid w:val="00B32B7A"/>
    <w:rsid w:val="00B33962"/>
    <w:rsid w:val="00B401A7"/>
    <w:rsid w:val="00B55C2E"/>
    <w:rsid w:val="00B56E5A"/>
    <w:rsid w:val="00B62264"/>
    <w:rsid w:val="00B64649"/>
    <w:rsid w:val="00B65D60"/>
    <w:rsid w:val="00B7626E"/>
    <w:rsid w:val="00B800FA"/>
    <w:rsid w:val="00B813C1"/>
    <w:rsid w:val="00B826CF"/>
    <w:rsid w:val="00B830D5"/>
    <w:rsid w:val="00B84F2D"/>
    <w:rsid w:val="00B9377A"/>
    <w:rsid w:val="00BB3016"/>
    <w:rsid w:val="00BC3A45"/>
    <w:rsid w:val="00BD1020"/>
    <w:rsid w:val="00BD2AF2"/>
    <w:rsid w:val="00BD465E"/>
    <w:rsid w:val="00BD4FA9"/>
    <w:rsid w:val="00BD52C0"/>
    <w:rsid w:val="00BE050B"/>
    <w:rsid w:val="00BE7528"/>
    <w:rsid w:val="00BF22E2"/>
    <w:rsid w:val="00BF3F28"/>
    <w:rsid w:val="00C034D2"/>
    <w:rsid w:val="00C10099"/>
    <w:rsid w:val="00C13FC5"/>
    <w:rsid w:val="00C15E1B"/>
    <w:rsid w:val="00C17608"/>
    <w:rsid w:val="00C22879"/>
    <w:rsid w:val="00C3063B"/>
    <w:rsid w:val="00C40BA6"/>
    <w:rsid w:val="00C43215"/>
    <w:rsid w:val="00C51960"/>
    <w:rsid w:val="00C53C0D"/>
    <w:rsid w:val="00C56BE1"/>
    <w:rsid w:val="00C63558"/>
    <w:rsid w:val="00C73E83"/>
    <w:rsid w:val="00C817D1"/>
    <w:rsid w:val="00C82320"/>
    <w:rsid w:val="00C82AB2"/>
    <w:rsid w:val="00C92E4A"/>
    <w:rsid w:val="00CA2284"/>
    <w:rsid w:val="00CB0918"/>
    <w:rsid w:val="00CB16E6"/>
    <w:rsid w:val="00CB2215"/>
    <w:rsid w:val="00CC0325"/>
    <w:rsid w:val="00CC276C"/>
    <w:rsid w:val="00CC2B11"/>
    <w:rsid w:val="00CC36E1"/>
    <w:rsid w:val="00CD2BA3"/>
    <w:rsid w:val="00CE54BC"/>
    <w:rsid w:val="00CE5730"/>
    <w:rsid w:val="00CF0343"/>
    <w:rsid w:val="00D0638D"/>
    <w:rsid w:val="00D1277C"/>
    <w:rsid w:val="00D2178D"/>
    <w:rsid w:val="00D223E4"/>
    <w:rsid w:val="00D23866"/>
    <w:rsid w:val="00D33631"/>
    <w:rsid w:val="00D40ED1"/>
    <w:rsid w:val="00D45095"/>
    <w:rsid w:val="00D65D79"/>
    <w:rsid w:val="00D66701"/>
    <w:rsid w:val="00D76AE9"/>
    <w:rsid w:val="00D8446F"/>
    <w:rsid w:val="00D8460E"/>
    <w:rsid w:val="00D920B6"/>
    <w:rsid w:val="00D962AE"/>
    <w:rsid w:val="00D9679D"/>
    <w:rsid w:val="00DB382B"/>
    <w:rsid w:val="00DC114F"/>
    <w:rsid w:val="00DC230B"/>
    <w:rsid w:val="00DC3328"/>
    <w:rsid w:val="00DC5045"/>
    <w:rsid w:val="00DC701F"/>
    <w:rsid w:val="00DD3D80"/>
    <w:rsid w:val="00DE0757"/>
    <w:rsid w:val="00DE0BFA"/>
    <w:rsid w:val="00DE3215"/>
    <w:rsid w:val="00E03B01"/>
    <w:rsid w:val="00E129D6"/>
    <w:rsid w:val="00E20878"/>
    <w:rsid w:val="00E277DB"/>
    <w:rsid w:val="00E3151D"/>
    <w:rsid w:val="00E31DC8"/>
    <w:rsid w:val="00E37CE9"/>
    <w:rsid w:val="00E401E4"/>
    <w:rsid w:val="00E46071"/>
    <w:rsid w:val="00E5099A"/>
    <w:rsid w:val="00E52E70"/>
    <w:rsid w:val="00E578E9"/>
    <w:rsid w:val="00E61087"/>
    <w:rsid w:val="00E61CCB"/>
    <w:rsid w:val="00E62518"/>
    <w:rsid w:val="00E66322"/>
    <w:rsid w:val="00E7120B"/>
    <w:rsid w:val="00E74F91"/>
    <w:rsid w:val="00E816EE"/>
    <w:rsid w:val="00E82531"/>
    <w:rsid w:val="00E8351C"/>
    <w:rsid w:val="00E97F1F"/>
    <w:rsid w:val="00EA03E3"/>
    <w:rsid w:val="00EC13B0"/>
    <w:rsid w:val="00EE0BE7"/>
    <w:rsid w:val="00EE2D79"/>
    <w:rsid w:val="00EE6CC1"/>
    <w:rsid w:val="00EF434C"/>
    <w:rsid w:val="00EF4532"/>
    <w:rsid w:val="00F050B5"/>
    <w:rsid w:val="00F06ED7"/>
    <w:rsid w:val="00F1126C"/>
    <w:rsid w:val="00F1311D"/>
    <w:rsid w:val="00F16479"/>
    <w:rsid w:val="00F203DC"/>
    <w:rsid w:val="00F2626D"/>
    <w:rsid w:val="00F262E7"/>
    <w:rsid w:val="00F27B88"/>
    <w:rsid w:val="00F35FB4"/>
    <w:rsid w:val="00F4065F"/>
    <w:rsid w:val="00F44B70"/>
    <w:rsid w:val="00F47FF0"/>
    <w:rsid w:val="00F5529E"/>
    <w:rsid w:val="00F565FE"/>
    <w:rsid w:val="00F603FD"/>
    <w:rsid w:val="00F6688F"/>
    <w:rsid w:val="00F77132"/>
    <w:rsid w:val="00F80829"/>
    <w:rsid w:val="00F812B8"/>
    <w:rsid w:val="00F86847"/>
    <w:rsid w:val="00F90057"/>
    <w:rsid w:val="00FA2939"/>
    <w:rsid w:val="00FA6837"/>
    <w:rsid w:val="00FA6D39"/>
    <w:rsid w:val="00FB4621"/>
    <w:rsid w:val="00FD2C33"/>
    <w:rsid w:val="00FD51D6"/>
    <w:rsid w:val="00FE013E"/>
    <w:rsid w:val="00FE3180"/>
    <w:rsid w:val="00FF3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E3"/>
  </w:style>
  <w:style w:type="paragraph" w:styleId="Ttulo2">
    <w:name w:val="heading 2"/>
    <w:basedOn w:val="Normal"/>
    <w:next w:val="Normal"/>
    <w:link w:val="Ttulo2Car"/>
    <w:semiHidden/>
    <w:unhideWhenUsed/>
    <w:qFormat/>
    <w:rsid w:val="004C1675"/>
    <w:pPr>
      <w:keepNext/>
      <w:spacing w:after="0" w:line="240" w:lineRule="auto"/>
      <w:jc w:val="center"/>
      <w:outlineLvl w:val="1"/>
    </w:pPr>
    <w:rPr>
      <w:rFonts w:ascii="Arial" w:eastAsia="Arial Unicode MS" w:hAnsi="Arial" w:cs="Arial"/>
      <w:b/>
      <w:bCs/>
      <w:sz w:val="40"/>
      <w:szCs w:val="24"/>
      <w:u w:val="single"/>
      <w:lang w:eastAsia="es-ES"/>
    </w:rPr>
  </w:style>
  <w:style w:type="paragraph" w:styleId="Ttulo4">
    <w:name w:val="heading 4"/>
    <w:basedOn w:val="Normal"/>
    <w:next w:val="Normal"/>
    <w:link w:val="Ttulo4Car"/>
    <w:semiHidden/>
    <w:unhideWhenUsed/>
    <w:qFormat/>
    <w:rsid w:val="004C1675"/>
    <w:pPr>
      <w:keepNext/>
      <w:spacing w:after="0" w:line="360" w:lineRule="auto"/>
      <w:jc w:val="center"/>
      <w:outlineLvl w:val="3"/>
    </w:pPr>
    <w:rPr>
      <w:rFonts w:ascii="Arial" w:eastAsia="Arial Unicode MS" w:hAnsi="Arial" w:cs="Times New Roman"/>
      <w:sz w:val="28"/>
      <w:szCs w:val="24"/>
      <w:lang w:eastAsia="es-ES"/>
    </w:rPr>
  </w:style>
  <w:style w:type="paragraph" w:styleId="Ttulo7">
    <w:name w:val="heading 7"/>
    <w:basedOn w:val="Normal"/>
    <w:next w:val="Normal"/>
    <w:link w:val="Ttulo7Car"/>
    <w:unhideWhenUsed/>
    <w:qFormat/>
    <w:rsid w:val="004C1675"/>
    <w:pPr>
      <w:keepNext/>
      <w:spacing w:after="0" w:line="240" w:lineRule="auto"/>
      <w:outlineLvl w:val="6"/>
    </w:pPr>
    <w:rPr>
      <w:rFonts w:ascii="Arial" w:eastAsia="Times New Roman" w:hAnsi="Arial" w:cs="Arial"/>
      <w:sz w:val="24"/>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51D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1DE3"/>
    <w:rPr>
      <w:sz w:val="20"/>
      <w:szCs w:val="20"/>
    </w:rPr>
  </w:style>
  <w:style w:type="paragraph" w:customStyle="1" w:styleId="Default">
    <w:name w:val="Default"/>
    <w:rsid w:val="00CC2B1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2B11"/>
    <w:pPr>
      <w:ind w:left="720"/>
      <w:contextualSpacing/>
    </w:pPr>
  </w:style>
  <w:style w:type="character" w:styleId="Refdenotaalpie">
    <w:name w:val="footnote reference"/>
    <w:basedOn w:val="Fuentedeprrafopredeter"/>
    <w:uiPriority w:val="99"/>
    <w:semiHidden/>
    <w:unhideWhenUsed/>
    <w:rsid w:val="003A3FFF"/>
    <w:rPr>
      <w:vertAlign w:val="superscript"/>
    </w:rPr>
  </w:style>
  <w:style w:type="paragraph" w:styleId="Textodeglobo">
    <w:name w:val="Balloon Text"/>
    <w:basedOn w:val="Normal"/>
    <w:link w:val="TextodegloboCar"/>
    <w:uiPriority w:val="99"/>
    <w:semiHidden/>
    <w:unhideWhenUsed/>
    <w:rsid w:val="003A3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FFF"/>
    <w:rPr>
      <w:rFonts w:ascii="Tahoma" w:hAnsi="Tahoma" w:cs="Tahoma"/>
      <w:sz w:val="16"/>
      <w:szCs w:val="16"/>
    </w:rPr>
  </w:style>
  <w:style w:type="paragraph" w:styleId="Textosinformato">
    <w:name w:val="Plain Text"/>
    <w:basedOn w:val="Normal"/>
    <w:link w:val="TextosinformatoCar"/>
    <w:rsid w:val="00D1277C"/>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1277C"/>
    <w:rPr>
      <w:rFonts w:ascii="Courier New" w:eastAsia="Times New Roman" w:hAnsi="Courier New" w:cs="Courier New"/>
      <w:sz w:val="20"/>
      <w:szCs w:val="20"/>
      <w:lang w:val="es-ES" w:eastAsia="es-ES"/>
    </w:rPr>
  </w:style>
  <w:style w:type="paragraph" w:customStyle="1" w:styleId="Texto">
    <w:name w:val="Texto"/>
    <w:basedOn w:val="Normal"/>
    <w:link w:val="TextoCar"/>
    <w:rsid w:val="00D1277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D1277C"/>
    <w:rPr>
      <w:rFonts w:ascii="Arial" w:eastAsia="Times New Roman" w:hAnsi="Arial" w:cs="Arial"/>
      <w:sz w:val="18"/>
      <w:szCs w:val="18"/>
      <w:lang w:val="es-ES" w:eastAsia="es-ES"/>
    </w:rPr>
  </w:style>
  <w:style w:type="table" w:styleId="Listaclara-nfasis3">
    <w:name w:val="Light List Accent 3"/>
    <w:basedOn w:val="Tablanormal"/>
    <w:uiPriority w:val="61"/>
    <w:rsid w:val="00D127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D1277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nhideWhenUsed/>
    <w:rsid w:val="00D1277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semiHidden/>
    <w:rsid w:val="004C1675"/>
    <w:rPr>
      <w:rFonts w:ascii="Arial" w:eastAsia="Arial Unicode MS" w:hAnsi="Arial" w:cs="Arial"/>
      <w:b/>
      <w:bCs/>
      <w:sz w:val="40"/>
      <w:szCs w:val="24"/>
      <w:u w:val="single"/>
      <w:lang w:eastAsia="es-ES"/>
    </w:rPr>
  </w:style>
  <w:style w:type="character" w:customStyle="1" w:styleId="Ttulo4Car">
    <w:name w:val="Título 4 Car"/>
    <w:basedOn w:val="Fuentedeprrafopredeter"/>
    <w:link w:val="Ttulo4"/>
    <w:semiHidden/>
    <w:rsid w:val="004C1675"/>
    <w:rPr>
      <w:rFonts w:ascii="Arial" w:eastAsia="Arial Unicode MS" w:hAnsi="Arial" w:cs="Times New Roman"/>
      <w:sz w:val="28"/>
      <w:szCs w:val="24"/>
      <w:lang w:eastAsia="es-ES"/>
    </w:rPr>
  </w:style>
  <w:style w:type="character" w:customStyle="1" w:styleId="Ttulo7Car">
    <w:name w:val="Título 7 Car"/>
    <w:basedOn w:val="Fuentedeprrafopredeter"/>
    <w:link w:val="Ttulo7"/>
    <w:rsid w:val="004C1675"/>
    <w:rPr>
      <w:rFonts w:ascii="Arial" w:eastAsia="Times New Roman" w:hAnsi="Arial" w:cs="Arial"/>
      <w:sz w:val="24"/>
      <w:szCs w:val="24"/>
      <w:u w:val="single"/>
      <w:lang w:eastAsia="es-ES"/>
    </w:rPr>
  </w:style>
  <w:style w:type="table" w:styleId="Tablaconcuadrcula">
    <w:name w:val="Table Grid"/>
    <w:basedOn w:val="Tablanormal"/>
    <w:uiPriority w:val="59"/>
    <w:rsid w:val="00110392"/>
    <w:pPr>
      <w:spacing w:after="0" w:line="36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73A86"/>
    <w:rPr>
      <w:sz w:val="16"/>
      <w:szCs w:val="16"/>
    </w:rPr>
  </w:style>
  <w:style w:type="paragraph" w:styleId="Textocomentario">
    <w:name w:val="annotation text"/>
    <w:basedOn w:val="Normal"/>
    <w:link w:val="TextocomentarioCar"/>
    <w:uiPriority w:val="99"/>
    <w:semiHidden/>
    <w:unhideWhenUsed/>
    <w:rsid w:val="00A73A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3A86"/>
    <w:rPr>
      <w:sz w:val="20"/>
      <w:szCs w:val="20"/>
    </w:rPr>
  </w:style>
  <w:style w:type="paragraph" w:styleId="Asuntodelcomentario">
    <w:name w:val="annotation subject"/>
    <w:basedOn w:val="Textocomentario"/>
    <w:next w:val="Textocomentario"/>
    <w:link w:val="AsuntodelcomentarioCar"/>
    <w:uiPriority w:val="99"/>
    <w:semiHidden/>
    <w:unhideWhenUsed/>
    <w:rsid w:val="00A73A86"/>
    <w:rPr>
      <w:b/>
      <w:bCs/>
    </w:rPr>
  </w:style>
  <w:style w:type="character" w:customStyle="1" w:styleId="AsuntodelcomentarioCar">
    <w:name w:val="Asunto del comentario Car"/>
    <w:basedOn w:val="TextocomentarioCar"/>
    <w:link w:val="Asuntodelcomentario"/>
    <w:uiPriority w:val="99"/>
    <w:semiHidden/>
    <w:rsid w:val="00A73A86"/>
    <w:rPr>
      <w:b/>
      <w:bCs/>
      <w:sz w:val="20"/>
      <w:szCs w:val="20"/>
    </w:rPr>
  </w:style>
  <w:style w:type="character" w:styleId="Textoennegrita">
    <w:name w:val="Strong"/>
    <w:basedOn w:val="Fuentedeprrafopredeter"/>
    <w:rsid w:val="00472BF4"/>
    <w:rPr>
      <w:b/>
      <w:bCs/>
    </w:rPr>
  </w:style>
  <w:style w:type="character" w:styleId="nfasis">
    <w:name w:val="Emphasis"/>
    <w:basedOn w:val="Fuentedeprrafopredeter"/>
    <w:rsid w:val="00472BF4"/>
    <w:rPr>
      <w:i/>
      <w:iCs/>
    </w:rPr>
  </w:style>
  <w:style w:type="paragraph" w:styleId="Encabezado">
    <w:name w:val="header"/>
    <w:basedOn w:val="Normal"/>
    <w:link w:val="EncabezadoCar"/>
    <w:uiPriority w:val="99"/>
    <w:unhideWhenUsed/>
    <w:rsid w:val="00000B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0B68"/>
  </w:style>
  <w:style w:type="paragraph" w:styleId="Piedepgina">
    <w:name w:val="footer"/>
    <w:basedOn w:val="Normal"/>
    <w:link w:val="PiedepginaCar"/>
    <w:uiPriority w:val="99"/>
    <w:unhideWhenUsed/>
    <w:rsid w:val="00000B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0B68"/>
  </w:style>
  <w:style w:type="paragraph" w:styleId="Epgrafe">
    <w:name w:val="caption"/>
    <w:basedOn w:val="Normal"/>
    <w:next w:val="Normal"/>
    <w:uiPriority w:val="35"/>
    <w:unhideWhenUsed/>
    <w:qFormat/>
    <w:rsid w:val="007D5832"/>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233F2"/>
    <w:pPr>
      <w:spacing w:after="0"/>
    </w:pPr>
  </w:style>
  <w:style w:type="character" w:styleId="Hipervnculo">
    <w:name w:val="Hyperlink"/>
    <w:basedOn w:val="Fuentedeprrafopredeter"/>
    <w:uiPriority w:val="99"/>
    <w:unhideWhenUsed/>
    <w:rsid w:val="000233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E3"/>
  </w:style>
  <w:style w:type="paragraph" w:styleId="Ttulo2">
    <w:name w:val="heading 2"/>
    <w:basedOn w:val="Normal"/>
    <w:next w:val="Normal"/>
    <w:link w:val="Ttulo2Car"/>
    <w:semiHidden/>
    <w:unhideWhenUsed/>
    <w:qFormat/>
    <w:rsid w:val="004C1675"/>
    <w:pPr>
      <w:keepNext/>
      <w:spacing w:after="0" w:line="240" w:lineRule="auto"/>
      <w:jc w:val="center"/>
      <w:outlineLvl w:val="1"/>
    </w:pPr>
    <w:rPr>
      <w:rFonts w:ascii="Arial" w:eastAsia="Arial Unicode MS" w:hAnsi="Arial" w:cs="Arial"/>
      <w:b/>
      <w:bCs/>
      <w:sz w:val="40"/>
      <w:szCs w:val="24"/>
      <w:u w:val="single"/>
      <w:lang w:eastAsia="es-ES"/>
    </w:rPr>
  </w:style>
  <w:style w:type="paragraph" w:styleId="Ttulo4">
    <w:name w:val="heading 4"/>
    <w:basedOn w:val="Normal"/>
    <w:next w:val="Normal"/>
    <w:link w:val="Ttulo4Car"/>
    <w:semiHidden/>
    <w:unhideWhenUsed/>
    <w:qFormat/>
    <w:rsid w:val="004C1675"/>
    <w:pPr>
      <w:keepNext/>
      <w:spacing w:after="0" w:line="360" w:lineRule="auto"/>
      <w:jc w:val="center"/>
      <w:outlineLvl w:val="3"/>
    </w:pPr>
    <w:rPr>
      <w:rFonts w:ascii="Arial" w:eastAsia="Arial Unicode MS" w:hAnsi="Arial" w:cs="Times New Roman"/>
      <w:sz w:val="28"/>
      <w:szCs w:val="24"/>
      <w:lang w:eastAsia="es-ES"/>
    </w:rPr>
  </w:style>
  <w:style w:type="paragraph" w:styleId="Ttulo7">
    <w:name w:val="heading 7"/>
    <w:basedOn w:val="Normal"/>
    <w:next w:val="Normal"/>
    <w:link w:val="Ttulo7Car"/>
    <w:unhideWhenUsed/>
    <w:qFormat/>
    <w:rsid w:val="004C1675"/>
    <w:pPr>
      <w:keepNext/>
      <w:spacing w:after="0" w:line="240" w:lineRule="auto"/>
      <w:outlineLvl w:val="6"/>
    </w:pPr>
    <w:rPr>
      <w:rFonts w:ascii="Arial" w:eastAsia="Times New Roman" w:hAnsi="Arial" w:cs="Arial"/>
      <w:sz w:val="24"/>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51D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1DE3"/>
    <w:rPr>
      <w:sz w:val="20"/>
      <w:szCs w:val="20"/>
    </w:rPr>
  </w:style>
  <w:style w:type="paragraph" w:customStyle="1" w:styleId="Default">
    <w:name w:val="Default"/>
    <w:rsid w:val="00CC2B1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2B11"/>
    <w:pPr>
      <w:ind w:left="720"/>
      <w:contextualSpacing/>
    </w:pPr>
  </w:style>
  <w:style w:type="character" w:styleId="Refdenotaalpie">
    <w:name w:val="footnote reference"/>
    <w:basedOn w:val="Fuentedeprrafopredeter"/>
    <w:uiPriority w:val="99"/>
    <w:semiHidden/>
    <w:unhideWhenUsed/>
    <w:rsid w:val="003A3FFF"/>
    <w:rPr>
      <w:vertAlign w:val="superscript"/>
    </w:rPr>
  </w:style>
  <w:style w:type="paragraph" w:styleId="Textodeglobo">
    <w:name w:val="Balloon Text"/>
    <w:basedOn w:val="Normal"/>
    <w:link w:val="TextodegloboCar"/>
    <w:uiPriority w:val="99"/>
    <w:semiHidden/>
    <w:unhideWhenUsed/>
    <w:rsid w:val="003A3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3FFF"/>
    <w:rPr>
      <w:rFonts w:ascii="Tahoma" w:hAnsi="Tahoma" w:cs="Tahoma"/>
      <w:sz w:val="16"/>
      <w:szCs w:val="16"/>
    </w:rPr>
  </w:style>
  <w:style w:type="paragraph" w:styleId="Textosinformato">
    <w:name w:val="Plain Text"/>
    <w:basedOn w:val="Normal"/>
    <w:link w:val="TextosinformatoCar"/>
    <w:rsid w:val="00D1277C"/>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1277C"/>
    <w:rPr>
      <w:rFonts w:ascii="Courier New" w:eastAsia="Times New Roman" w:hAnsi="Courier New" w:cs="Courier New"/>
      <w:sz w:val="20"/>
      <w:szCs w:val="20"/>
      <w:lang w:val="es-ES" w:eastAsia="es-ES"/>
    </w:rPr>
  </w:style>
  <w:style w:type="paragraph" w:customStyle="1" w:styleId="Texto">
    <w:name w:val="Texto"/>
    <w:basedOn w:val="Normal"/>
    <w:link w:val="TextoCar"/>
    <w:rsid w:val="00D1277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D1277C"/>
    <w:rPr>
      <w:rFonts w:ascii="Arial" w:eastAsia="Times New Roman" w:hAnsi="Arial" w:cs="Arial"/>
      <w:sz w:val="18"/>
      <w:szCs w:val="18"/>
      <w:lang w:val="es-ES" w:eastAsia="es-ES"/>
    </w:rPr>
  </w:style>
  <w:style w:type="table" w:styleId="Listaclara-nfasis3">
    <w:name w:val="Light List Accent 3"/>
    <w:basedOn w:val="Tablanormal"/>
    <w:uiPriority w:val="61"/>
    <w:rsid w:val="00D127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D1277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nhideWhenUsed/>
    <w:rsid w:val="00D1277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semiHidden/>
    <w:rsid w:val="004C1675"/>
    <w:rPr>
      <w:rFonts w:ascii="Arial" w:eastAsia="Arial Unicode MS" w:hAnsi="Arial" w:cs="Arial"/>
      <w:b/>
      <w:bCs/>
      <w:sz w:val="40"/>
      <w:szCs w:val="24"/>
      <w:u w:val="single"/>
      <w:lang w:eastAsia="es-ES"/>
    </w:rPr>
  </w:style>
  <w:style w:type="character" w:customStyle="1" w:styleId="Ttulo4Car">
    <w:name w:val="Título 4 Car"/>
    <w:basedOn w:val="Fuentedeprrafopredeter"/>
    <w:link w:val="Ttulo4"/>
    <w:semiHidden/>
    <w:rsid w:val="004C1675"/>
    <w:rPr>
      <w:rFonts w:ascii="Arial" w:eastAsia="Arial Unicode MS" w:hAnsi="Arial" w:cs="Times New Roman"/>
      <w:sz w:val="28"/>
      <w:szCs w:val="24"/>
      <w:lang w:eastAsia="es-ES"/>
    </w:rPr>
  </w:style>
  <w:style w:type="character" w:customStyle="1" w:styleId="Ttulo7Car">
    <w:name w:val="Título 7 Car"/>
    <w:basedOn w:val="Fuentedeprrafopredeter"/>
    <w:link w:val="Ttulo7"/>
    <w:rsid w:val="004C1675"/>
    <w:rPr>
      <w:rFonts w:ascii="Arial" w:eastAsia="Times New Roman" w:hAnsi="Arial" w:cs="Arial"/>
      <w:sz w:val="24"/>
      <w:szCs w:val="24"/>
      <w:u w:val="single"/>
      <w:lang w:eastAsia="es-ES"/>
    </w:rPr>
  </w:style>
  <w:style w:type="table" w:styleId="Tablaconcuadrcula">
    <w:name w:val="Table Grid"/>
    <w:basedOn w:val="Tablanormal"/>
    <w:uiPriority w:val="59"/>
    <w:rsid w:val="00110392"/>
    <w:pPr>
      <w:spacing w:after="0" w:line="36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73A86"/>
    <w:rPr>
      <w:sz w:val="16"/>
      <w:szCs w:val="16"/>
    </w:rPr>
  </w:style>
  <w:style w:type="paragraph" w:styleId="Textocomentario">
    <w:name w:val="annotation text"/>
    <w:basedOn w:val="Normal"/>
    <w:link w:val="TextocomentarioCar"/>
    <w:uiPriority w:val="99"/>
    <w:semiHidden/>
    <w:unhideWhenUsed/>
    <w:rsid w:val="00A73A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3A86"/>
    <w:rPr>
      <w:sz w:val="20"/>
      <w:szCs w:val="20"/>
    </w:rPr>
  </w:style>
  <w:style w:type="paragraph" w:styleId="Asuntodelcomentario">
    <w:name w:val="annotation subject"/>
    <w:basedOn w:val="Textocomentario"/>
    <w:next w:val="Textocomentario"/>
    <w:link w:val="AsuntodelcomentarioCar"/>
    <w:uiPriority w:val="99"/>
    <w:semiHidden/>
    <w:unhideWhenUsed/>
    <w:rsid w:val="00A73A86"/>
    <w:rPr>
      <w:b/>
      <w:bCs/>
    </w:rPr>
  </w:style>
  <w:style w:type="character" w:customStyle="1" w:styleId="AsuntodelcomentarioCar">
    <w:name w:val="Asunto del comentario Car"/>
    <w:basedOn w:val="TextocomentarioCar"/>
    <w:link w:val="Asuntodelcomentario"/>
    <w:uiPriority w:val="99"/>
    <w:semiHidden/>
    <w:rsid w:val="00A73A86"/>
    <w:rPr>
      <w:b/>
      <w:bCs/>
      <w:sz w:val="20"/>
      <w:szCs w:val="20"/>
    </w:rPr>
  </w:style>
  <w:style w:type="character" w:styleId="Textoennegrita">
    <w:name w:val="Strong"/>
    <w:basedOn w:val="Fuentedeprrafopredeter"/>
    <w:rsid w:val="00472BF4"/>
    <w:rPr>
      <w:b/>
      <w:bCs/>
    </w:rPr>
  </w:style>
  <w:style w:type="character" w:styleId="nfasis">
    <w:name w:val="Emphasis"/>
    <w:basedOn w:val="Fuentedeprrafopredeter"/>
    <w:rsid w:val="00472BF4"/>
    <w:rPr>
      <w:i/>
      <w:iCs/>
    </w:rPr>
  </w:style>
  <w:style w:type="paragraph" w:styleId="Encabezado">
    <w:name w:val="header"/>
    <w:basedOn w:val="Normal"/>
    <w:link w:val="EncabezadoCar"/>
    <w:uiPriority w:val="99"/>
    <w:unhideWhenUsed/>
    <w:rsid w:val="00000B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0B68"/>
  </w:style>
  <w:style w:type="paragraph" w:styleId="Piedepgina">
    <w:name w:val="footer"/>
    <w:basedOn w:val="Normal"/>
    <w:link w:val="PiedepginaCar"/>
    <w:uiPriority w:val="99"/>
    <w:unhideWhenUsed/>
    <w:rsid w:val="00000B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0B68"/>
  </w:style>
  <w:style w:type="paragraph" w:styleId="Epgrafe">
    <w:name w:val="caption"/>
    <w:basedOn w:val="Normal"/>
    <w:next w:val="Normal"/>
    <w:uiPriority w:val="35"/>
    <w:unhideWhenUsed/>
    <w:qFormat/>
    <w:rsid w:val="007D5832"/>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233F2"/>
    <w:pPr>
      <w:spacing w:after="0"/>
    </w:pPr>
  </w:style>
  <w:style w:type="character" w:styleId="Hipervnculo">
    <w:name w:val="Hyperlink"/>
    <w:basedOn w:val="Fuentedeprrafopredeter"/>
    <w:uiPriority w:val="99"/>
    <w:unhideWhenUsed/>
    <w:rsid w:val="00023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9129">
      <w:bodyDiv w:val="1"/>
      <w:marLeft w:val="0"/>
      <w:marRight w:val="0"/>
      <w:marTop w:val="0"/>
      <w:marBottom w:val="0"/>
      <w:divBdr>
        <w:top w:val="none" w:sz="0" w:space="0" w:color="auto"/>
        <w:left w:val="none" w:sz="0" w:space="0" w:color="auto"/>
        <w:bottom w:val="none" w:sz="0" w:space="0" w:color="auto"/>
        <w:right w:val="none" w:sz="0" w:space="0" w:color="auto"/>
      </w:divBdr>
    </w:div>
    <w:div w:id="802160870">
      <w:bodyDiv w:val="1"/>
      <w:marLeft w:val="0"/>
      <w:marRight w:val="0"/>
      <w:marTop w:val="0"/>
      <w:marBottom w:val="0"/>
      <w:divBdr>
        <w:top w:val="none" w:sz="0" w:space="0" w:color="auto"/>
        <w:left w:val="none" w:sz="0" w:space="0" w:color="auto"/>
        <w:bottom w:val="none" w:sz="0" w:space="0" w:color="auto"/>
        <w:right w:val="none" w:sz="0" w:space="0" w:color="auto"/>
      </w:divBdr>
    </w:div>
    <w:div w:id="1539010732">
      <w:bodyDiv w:val="1"/>
      <w:marLeft w:val="0"/>
      <w:marRight w:val="0"/>
      <w:marTop w:val="0"/>
      <w:marBottom w:val="0"/>
      <w:divBdr>
        <w:top w:val="none" w:sz="0" w:space="0" w:color="auto"/>
        <w:left w:val="none" w:sz="0" w:space="0" w:color="auto"/>
        <w:bottom w:val="none" w:sz="0" w:space="0" w:color="auto"/>
        <w:right w:val="none" w:sz="0" w:space="0" w:color="auto"/>
      </w:divBdr>
      <w:divsChild>
        <w:div w:id="1983268461">
          <w:marLeft w:val="547"/>
          <w:marRight w:val="0"/>
          <w:marTop w:val="0"/>
          <w:marBottom w:val="0"/>
          <w:divBdr>
            <w:top w:val="none" w:sz="0" w:space="0" w:color="auto"/>
            <w:left w:val="none" w:sz="0" w:space="0" w:color="auto"/>
            <w:bottom w:val="none" w:sz="0" w:space="0" w:color="auto"/>
            <w:right w:val="none" w:sz="0" w:space="0" w:color="auto"/>
          </w:divBdr>
        </w:div>
      </w:divsChild>
    </w:div>
    <w:div w:id="1753744153">
      <w:bodyDiv w:val="1"/>
      <w:marLeft w:val="0"/>
      <w:marRight w:val="0"/>
      <w:marTop w:val="0"/>
      <w:marBottom w:val="0"/>
      <w:divBdr>
        <w:top w:val="none" w:sz="0" w:space="0" w:color="auto"/>
        <w:left w:val="none" w:sz="0" w:space="0" w:color="auto"/>
        <w:bottom w:val="none" w:sz="0" w:space="0" w:color="auto"/>
        <w:right w:val="none" w:sz="0" w:space="0" w:color="auto"/>
      </w:divBdr>
      <w:divsChild>
        <w:div w:id="1038042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ntosai.org/es/organizaciones-regionales/asosai.html" TargetMode="External"/><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tosai.org/es/organizaciones-regionales/eurosai.html" TargetMode="External"/><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intosai.org/es/organizaciones-regionales/arabosai.html"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ntosai.org/es/organizaciones-regionales/afrosai.html" TargetMode="External"/><Relationship Id="rId20" Type="http://schemas.openxmlformats.org/officeDocument/2006/relationships/hyperlink" Target="http://www.intosai.org/es/organizaciones-regionales/carosai.html"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ntosai.org/es/organizaciones-regionales/olacefs.html" TargetMode="Externa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image" Target="http://www3.gratisweb.com/economiauaem/economia.jpg" TargetMode="External"/><Relationship Id="rId19" Type="http://schemas.openxmlformats.org/officeDocument/2006/relationships/hyperlink" Target="http://www.intosai.org/es/organizaciones-regionales/pasai.html" TargetMode="External"/><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03568287\Documents\Mis%20Documentos\OCD\TES%20OCD\TESIS\2018\Dctos.%20Trabajo\Fondos%20Ejercicio%2020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Fondos de Aportaciones Federales "Ramo 33", para el fortalecimiento de programas de beneficio social</a:t>
            </a:r>
          </a:p>
          <a:p>
            <a:pPr>
              <a:defRPr/>
            </a:pPr>
            <a:r>
              <a:rPr lang="en-US"/>
              <a:t>(Millones de Pesos)</a:t>
            </a:r>
          </a:p>
        </c:rich>
      </c:tx>
      <c:layout/>
      <c:overlay val="0"/>
    </c:title>
    <c:autoTitleDeleted val="0"/>
    <c:plotArea>
      <c:layout>
        <c:manualLayout>
          <c:layoutTarget val="inner"/>
          <c:xMode val="edge"/>
          <c:yMode val="edge"/>
          <c:x val="0.12125240594925635"/>
          <c:y val="0.21685208333333333"/>
          <c:w val="0.81007037037037022"/>
          <c:h val="0.62978402777777776"/>
        </c:manualLayout>
      </c:layout>
      <c:lineChart>
        <c:grouping val="standard"/>
        <c:varyColors val="0"/>
        <c:ser>
          <c:idx val="0"/>
          <c:order val="0"/>
          <c:tx>
            <c:strRef>
              <c:f>'Cta. Púb.'!$B$4:$C$4</c:f>
              <c:strCache>
                <c:ptCount val="1"/>
                <c:pt idx="0">
                  <c:v>Ejercicio Porcentaje</c:v>
                </c:pt>
              </c:strCache>
            </c:strRef>
          </c:tx>
          <c:spPr>
            <a:ln>
              <a:solidFill>
                <a:srgbClr val="C3D69B"/>
              </a:solidFill>
            </a:ln>
          </c:spPr>
          <c:marker>
            <c:symbol val="circle"/>
            <c:size val="7"/>
            <c:spPr>
              <a:solidFill>
                <a:srgbClr val="DC92CE"/>
              </a:solidFill>
              <a:ln w="12700">
                <a:solidFill>
                  <a:srgbClr val="C3D69B"/>
                </a:solidFill>
              </a:ln>
            </c:spPr>
          </c:marker>
          <c:dLbls>
            <c:dLbl>
              <c:idx val="0"/>
              <c:layout>
                <c:manualLayout>
                  <c:x val="-6.4675925925925928E-2"/>
                  <c:y val="-4.5779507866685748E-2"/>
                </c:manualLayout>
              </c:layout>
              <c:showLegendKey val="0"/>
              <c:showVal val="1"/>
              <c:showCatName val="0"/>
              <c:showSerName val="0"/>
              <c:showPercent val="0"/>
              <c:showBubbleSize val="0"/>
            </c:dLbl>
            <c:dLbl>
              <c:idx val="1"/>
              <c:layout>
                <c:manualLayout>
                  <c:x val="-6.4675925925925901E-2"/>
                  <c:y val="-3.6623606293348598E-2"/>
                </c:manualLayout>
              </c:layout>
              <c:showLegendKey val="0"/>
              <c:showVal val="1"/>
              <c:showCatName val="0"/>
              <c:showSerName val="0"/>
              <c:showPercent val="0"/>
              <c:showBubbleSize val="0"/>
            </c:dLbl>
            <c:dLbl>
              <c:idx val="2"/>
              <c:layout>
                <c:manualLayout>
                  <c:x val="-5.8796296296296353E-2"/>
                  <c:y val="-3.2045655506680065E-2"/>
                </c:manualLayout>
              </c:layout>
              <c:showLegendKey val="0"/>
              <c:showVal val="1"/>
              <c:showCatName val="0"/>
              <c:showSerName val="0"/>
              <c:showPercent val="0"/>
              <c:showBubbleSize val="0"/>
            </c:dLbl>
            <c:dLbl>
              <c:idx val="3"/>
              <c:layout>
                <c:manualLayout>
                  <c:x val="-6.1736111111111054E-2"/>
                  <c:y val="-3.6623966761914477E-2"/>
                </c:manualLayout>
              </c:layout>
              <c:showLegendKey val="0"/>
              <c:showVal val="1"/>
              <c:showCatName val="0"/>
              <c:showSerName val="0"/>
              <c:showPercent val="0"/>
              <c:showBubbleSize val="0"/>
            </c:dLbl>
            <c:dLbl>
              <c:idx val="4"/>
              <c:layout>
                <c:manualLayout>
                  <c:x val="-8.5254629629629625E-2"/>
                  <c:y val="-4.1201557080017173E-2"/>
                </c:manualLayout>
              </c:layout>
              <c:showLegendKey val="0"/>
              <c:showVal val="1"/>
              <c:showCatName val="0"/>
              <c:showSerName val="0"/>
              <c:showPercent val="0"/>
              <c:showBubbleSize val="0"/>
            </c:dLbl>
            <c:dLbl>
              <c:idx val="5"/>
              <c:layout>
                <c:manualLayout>
                  <c:x val="-7.6435185185185189E-2"/>
                  <c:y val="-3.6623606293348598E-2"/>
                </c:manualLayout>
              </c:layout>
              <c:showLegendKey val="0"/>
              <c:showVal val="1"/>
              <c:showCatName val="0"/>
              <c:showSerName val="0"/>
              <c:showPercent val="0"/>
              <c:showBubbleSize val="0"/>
            </c:dLbl>
            <c:dLbl>
              <c:idx val="6"/>
              <c:layout>
                <c:manualLayout>
                  <c:x val="-4.9977083333333332E-2"/>
                  <c:y val="-3.6623606293348598E-2"/>
                </c:manualLayout>
              </c:layout>
              <c:showLegendKey val="0"/>
              <c:showVal val="1"/>
              <c:showCatName val="0"/>
              <c:showSerName val="0"/>
              <c:showPercent val="0"/>
              <c:showBubbleSize val="0"/>
            </c:dLbl>
            <c:dLbl>
              <c:idx val="7"/>
              <c:layout>
                <c:manualLayout>
                  <c:x val="-2.9398379629629628E-2"/>
                  <c:y val="-3.2045655506680024E-2"/>
                </c:manualLayout>
              </c:layout>
              <c:showLegendKey val="0"/>
              <c:showVal val="1"/>
              <c:showCatName val="0"/>
              <c:showSerName val="0"/>
              <c:showPercent val="0"/>
              <c:showBubbleSize val="0"/>
            </c:dLbl>
            <c:txPr>
              <a:bodyPr/>
              <a:lstStyle/>
              <a:p>
                <a:pPr>
                  <a:defRPr sz="700" i="1"/>
                </a:pPr>
                <a:endParaRPr lang="es-MX"/>
              </a:p>
            </c:txPr>
            <c:showLegendKey val="0"/>
            <c:showVal val="1"/>
            <c:showCatName val="0"/>
            <c:showSerName val="0"/>
            <c:showPercent val="0"/>
            <c:showBubbleSize val="0"/>
            <c:showLeaderLines val="0"/>
          </c:dLbls>
          <c:cat>
            <c:numRef>
              <c:f>'Cta. Púb.'!$D$3:$J$3</c:f>
              <c:numCache>
                <c:formatCode>General</c:formatCode>
                <c:ptCount val="7"/>
                <c:pt idx="0">
                  <c:v>2010</c:v>
                </c:pt>
                <c:pt idx="1">
                  <c:v>2011</c:v>
                </c:pt>
                <c:pt idx="2">
                  <c:v>2012</c:v>
                </c:pt>
                <c:pt idx="3">
                  <c:v>2013</c:v>
                </c:pt>
                <c:pt idx="4">
                  <c:v>2014</c:v>
                </c:pt>
                <c:pt idx="5">
                  <c:v>2015</c:v>
                </c:pt>
                <c:pt idx="6">
                  <c:v>2016</c:v>
                </c:pt>
              </c:numCache>
            </c:numRef>
          </c:cat>
          <c:val>
            <c:numRef>
              <c:f>'Cta. Púb.'!$D$4:$J$4</c:f>
              <c:numCache>
                <c:formatCode>#,##0.0</c:formatCode>
                <c:ptCount val="7"/>
                <c:pt idx="0">
                  <c:v>45529.8</c:v>
                </c:pt>
                <c:pt idx="1">
                  <c:v>50253.9</c:v>
                </c:pt>
                <c:pt idx="2">
                  <c:v>53515.6</c:v>
                </c:pt>
                <c:pt idx="3">
                  <c:v>57607</c:v>
                </c:pt>
                <c:pt idx="4">
                  <c:v>62396.2</c:v>
                </c:pt>
                <c:pt idx="5">
                  <c:v>62690.9</c:v>
                </c:pt>
                <c:pt idx="6">
                  <c:v>65156.1</c:v>
                </c:pt>
              </c:numCache>
            </c:numRef>
          </c:val>
          <c:smooth val="0"/>
        </c:ser>
        <c:dLbls>
          <c:showLegendKey val="0"/>
          <c:showVal val="0"/>
          <c:showCatName val="0"/>
          <c:showSerName val="0"/>
          <c:showPercent val="0"/>
          <c:showBubbleSize val="0"/>
        </c:dLbls>
        <c:marker val="1"/>
        <c:smooth val="0"/>
        <c:axId val="62667776"/>
        <c:axId val="62706432"/>
      </c:lineChart>
      <c:catAx>
        <c:axId val="62667776"/>
        <c:scaling>
          <c:orientation val="minMax"/>
        </c:scaling>
        <c:delete val="0"/>
        <c:axPos val="b"/>
        <c:numFmt formatCode="General" sourceLinked="1"/>
        <c:majorTickMark val="out"/>
        <c:minorTickMark val="none"/>
        <c:tickLblPos val="nextTo"/>
        <c:crossAx val="62706432"/>
        <c:crosses val="autoZero"/>
        <c:auto val="1"/>
        <c:lblAlgn val="ctr"/>
        <c:lblOffset val="100"/>
        <c:noMultiLvlLbl val="0"/>
      </c:catAx>
      <c:valAx>
        <c:axId val="62706432"/>
        <c:scaling>
          <c:orientation val="minMax"/>
        </c:scaling>
        <c:delete val="0"/>
        <c:axPos val="l"/>
        <c:majorGridlines/>
        <c:numFmt formatCode="0.0" sourceLinked="0"/>
        <c:majorTickMark val="out"/>
        <c:minorTickMark val="none"/>
        <c:tickLblPos val="nextTo"/>
        <c:crossAx val="62667776"/>
        <c:crosses val="autoZero"/>
        <c:crossBetween val="between"/>
      </c:valAx>
      <c:spPr>
        <a:noFill/>
      </c:spPr>
    </c:plotArea>
    <c:plotVisOnly val="1"/>
    <c:dispBlanksAs val="gap"/>
    <c:showDLblsOverMax val="0"/>
  </c:chart>
  <c:spPr>
    <a:gradFill>
      <a:gsLst>
        <a:gs pos="0">
          <a:srgbClr val="CED4C1"/>
        </a:gs>
        <a:gs pos="50000">
          <a:schemeClr val="bg1"/>
        </a:gs>
        <a:gs pos="100000">
          <a:srgbClr val="CED4C1"/>
        </a:gs>
      </a:gsLst>
      <a:lin ang="18900000" scaled="1"/>
    </a:gradFill>
    <a:ln w="15875">
      <a:solidFill>
        <a:srgbClr val="CED4C1"/>
      </a:solidFill>
    </a:ln>
  </c:spPr>
  <c:txPr>
    <a:bodyPr/>
    <a:lstStyle/>
    <a:p>
      <a:pPr>
        <a:defRPr sz="800">
          <a:latin typeface="Arial" panose="020B0604020202020204" pitchFamily="34" charset="0"/>
          <a:cs typeface="Arial" panose="020B0604020202020204"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B6273-81BF-45AD-BC55-25D39958B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17156</Words>
  <Characters>94360</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CARDENAS DIAZ</dc:creator>
  <cp:lastModifiedBy>OSCAR CARDENAS DIAZ</cp:lastModifiedBy>
  <cp:revision>2</cp:revision>
  <cp:lastPrinted>2018-05-24T16:55:00Z</cp:lastPrinted>
  <dcterms:created xsi:type="dcterms:W3CDTF">2018-05-24T17:08:00Z</dcterms:created>
  <dcterms:modified xsi:type="dcterms:W3CDTF">2018-05-24T17:08:00Z</dcterms:modified>
</cp:coreProperties>
</file>